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B734" w14:textId="23C4CE2F" w:rsidR="004E2C1E" w:rsidRPr="00EF1E1C" w:rsidRDefault="00211B16" w:rsidP="00EF1E1C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5AEF84" wp14:editId="76A3A09F">
            <wp:simplePos x="0" y="0"/>
            <wp:positionH relativeFrom="column">
              <wp:posOffset>-674370</wp:posOffset>
            </wp:positionH>
            <wp:positionV relativeFrom="paragraph">
              <wp:posOffset>-824865</wp:posOffset>
            </wp:positionV>
            <wp:extent cx="8019415" cy="650875"/>
            <wp:effectExtent l="0" t="0" r="6985" b="9525"/>
            <wp:wrapNone/>
            <wp:docPr id="1" name="Picture 1" descr="Wharton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rton-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F92">
        <w:rPr>
          <w:rFonts w:ascii="Helvetica Neue Light" w:hAnsi="Helvetica Neue Light"/>
          <w:color w:val="2E74B5" w:themeColor="accent1" w:themeShade="BF"/>
          <w:sz w:val="52"/>
          <w:szCs w:val="52"/>
        </w:rPr>
        <w:t>Teaching Note</w:t>
      </w:r>
      <w:r w:rsidRPr="00211B16">
        <w:rPr>
          <w:rFonts w:ascii="Helvetica Neue" w:hAnsi="Helvetica Neue"/>
          <w:color w:val="2E74B5" w:themeColor="accent1" w:themeShade="BF"/>
          <w:sz w:val="48"/>
          <w:szCs w:val="48"/>
        </w:rPr>
        <w:br/>
      </w:r>
      <w:r w:rsidR="00DF6DB0">
        <w:rPr>
          <w:rFonts w:ascii="Helvetica Neue" w:hAnsi="Helvetica Neue"/>
          <w:color w:val="2E74B5" w:themeColor="accent1" w:themeShade="BF"/>
          <w:sz w:val="36"/>
          <w:szCs w:val="36"/>
        </w:rPr>
        <w:t xml:space="preserve">Introduction to </w:t>
      </w:r>
      <w:proofErr w:type="spellStart"/>
      <w:r w:rsidR="00DF6DB0">
        <w:rPr>
          <w:rFonts w:ascii="Helvetica Neue" w:hAnsi="Helvetica Neue"/>
          <w:color w:val="2E74B5" w:themeColor="accent1" w:themeShade="BF"/>
          <w:sz w:val="36"/>
          <w:szCs w:val="36"/>
        </w:rPr>
        <w:t>ExecuComp</w:t>
      </w:r>
      <w:proofErr w:type="spellEnd"/>
    </w:p>
    <w:p w14:paraId="52FA0581" w14:textId="371E82D7" w:rsidR="00DC374A" w:rsidRDefault="00E928D0" w:rsidP="000A4071">
      <w:pPr>
        <w:pStyle w:val="NoSpacing"/>
        <w:rPr>
          <w:rFonts w:ascii="Helvetica Neue" w:hAnsi="Helvetica Neue"/>
        </w:rPr>
      </w:pPr>
      <w:hyperlink r:id="rId8" w:history="1">
        <w:r w:rsidR="00742F8C" w:rsidRPr="00D8636F">
          <w:rPr>
            <w:rStyle w:val="Hyperlink"/>
            <w:rFonts w:ascii="Helvetica Neue" w:hAnsi="Helvetica Neue"/>
          </w:rPr>
          <w:t>https://wrds-www.wharton.upenn.edu/classroom/execucomp/</w:t>
        </w:r>
      </w:hyperlink>
    </w:p>
    <w:p w14:paraId="5CB207DE" w14:textId="77777777" w:rsidR="00085D3D" w:rsidRPr="00211B16" w:rsidRDefault="00085D3D" w:rsidP="000A4071">
      <w:pPr>
        <w:pStyle w:val="NoSpacing"/>
        <w:rPr>
          <w:rFonts w:ascii="Helvetica Neue" w:hAnsi="Helvetica Neue"/>
        </w:rPr>
      </w:pPr>
    </w:p>
    <w:p w14:paraId="4EF44C10" w14:textId="77777777" w:rsidR="00DF6DB0" w:rsidRDefault="00FA7311" w:rsidP="00DF6DB0">
      <w:pPr>
        <w:pBdr>
          <w:bottom w:val="single" w:sz="12" w:space="2" w:color="9CC2E5" w:themeColor="accent1" w:themeTint="99"/>
        </w:pBdr>
        <w:rPr>
          <w:rFonts w:ascii="Helvetica Neue Medium" w:hAnsi="Helvetica Neue Medium"/>
          <w:color w:val="2E74B5" w:themeColor="accent1" w:themeShade="BF"/>
          <w:sz w:val="24"/>
          <w:szCs w:val="24"/>
        </w:rPr>
      </w:pPr>
      <w:r w:rsidRPr="00211B16">
        <w:rPr>
          <w:rFonts w:ascii="Helvetica Neue Medium" w:hAnsi="Helvetica Neue Medium"/>
          <w:color w:val="2E74B5" w:themeColor="accent1" w:themeShade="BF"/>
          <w:sz w:val="24"/>
          <w:szCs w:val="24"/>
        </w:rPr>
        <w:t xml:space="preserve">A. Case Overview: presents a synopsis of the exercise that is being taught. </w:t>
      </w:r>
    </w:p>
    <w:p w14:paraId="5A1FB9C7" w14:textId="36A08EEE" w:rsidR="0082311F" w:rsidRDefault="00B32DB2" w:rsidP="00F87FEB">
      <w:pPr>
        <w:spacing w:before="100" w:beforeAutospacing="1" w:after="100" w:afterAutospacing="1" w:line="240" w:lineRule="auto"/>
        <w:rPr>
          <w:rFonts w:ascii="Helvetica Neue" w:hAnsi="Helvetica Neue"/>
        </w:rPr>
      </w:pPr>
      <w:r w:rsidRPr="00B32DB2">
        <w:rPr>
          <w:rFonts w:ascii="Helvetica Neue" w:hAnsi="Helvetica Neue"/>
        </w:rPr>
        <w:t xml:space="preserve">Data availability, specifically the introduction of Standard &amp; Poor’s </w:t>
      </w:r>
      <w:proofErr w:type="spellStart"/>
      <w:r w:rsidRPr="00B32DB2">
        <w:rPr>
          <w:rFonts w:ascii="Helvetica Neue" w:hAnsi="Helvetica Neue"/>
        </w:rPr>
        <w:t>Compustat</w:t>
      </w:r>
      <w:proofErr w:type="spellEnd"/>
      <w:r w:rsidRPr="00B32DB2">
        <w:rPr>
          <w:rFonts w:ascii="Helvetica Neue" w:hAnsi="Helvetica Neue"/>
        </w:rPr>
        <w:t xml:space="preserve"> </w:t>
      </w:r>
      <w:proofErr w:type="spellStart"/>
      <w:r w:rsidRPr="00B32DB2">
        <w:rPr>
          <w:rFonts w:ascii="Helvetica Neue" w:hAnsi="Helvetica Neue"/>
        </w:rPr>
        <w:t>ExecuComp</w:t>
      </w:r>
      <w:proofErr w:type="spellEnd"/>
      <w:r w:rsidRPr="00B32DB2">
        <w:rPr>
          <w:rFonts w:ascii="Helvetica Neue" w:hAnsi="Helvetica Neue"/>
        </w:rPr>
        <w:t xml:space="preserve"> in 1994, has led to </w:t>
      </w:r>
      <w:r w:rsidR="0082311F">
        <w:rPr>
          <w:rFonts w:ascii="Helvetica Neue" w:hAnsi="Helvetica Neue"/>
        </w:rPr>
        <w:t>a</w:t>
      </w:r>
      <w:r w:rsidR="00742F8C">
        <w:rPr>
          <w:rFonts w:ascii="Helvetica Neue" w:hAnsi="Helvetica Neue"/>
        </w:rPr>
        <w:t xml:space="preserve"> recent</w:t>
      </w:r>
      <w:r w:rsidRPr="00B32DB2">
        <w:rPr>
          <w:rFonts w:ascii="Helvetica Neue" w:hAnsi="Helvetica Neue"/>
        </w:rPr>
        <w:t xml:space="preserve"> rise of academic research in </w:t>
      </w:r>
      <w:r w:rsidR="005E7059">
        <w:rPr>
          <w:rFonts w:ascii="Helvetica Neue" w:hAnsi="Helvetica Neue"/>
        </w:rPr>
        <w:t>t</w:t>
      </w:r>
      <w:r w:rsidR="00021FE9">
        <w:rPr>
          <w:rFonts w:ascii="Helvetica Neue" w:hAnsi="Helvetica Neue"/>
        </w:rPr>
        <w:t>he field of executive compensation</w:t>
      </w:r>
      <w:r w:rsidRPr="00B32DB2">
        <w:rPr>
          <w:rFonts w:ascii="Helvetica Neue" w:hAnsi="Helvetica Neue"/>
        </w:rPr>
        <w:t>.</w:t>
      </w:r>
      <w:r w:rsidRPr="00B32DB2">
        <w:rPr>
          <w:rFonts w:ascii="Helvetica Neue" w:hAnsi="Helvetica Neue"/>
          <w:vertAlign w:val="superscript"/>
        </w:rPr>
        <w:t>1</w:t>
      </w:r>
      <w:r w:rsidR="00DD7CAB">
        <w:rPr>
          <w:rFonts w:ascii="Helvetica Neue" w:hAnsi="Helvetica Neue"/>
          <w:vertAlign w:val="superscript"/>
        </w:rPr>
        <w:t xml:space="preserve"> </w:t>
      </w:r>
      <w:r w:rsidRPr="00B32DB2">
        <w:rPr>
          <w:rFonts w:ascii="Helvetica Neue" w:hAnsi="Helvetica Neue"/>
        </w:rPr>
        <w:t xml:space="preserve"> </w:t>
      </w:r>
      <w:r w:rsidR="00DD7CAB" w:rsidRPr="00DD7CAB">
        <w:rPr>
          <w:rFonts w:ascii="Helvetica Neue" w:hAnsi="Helvetica Neue"/>
        </w:rPr>
        <w:t xml:space="preserve">Ideally, </w:t>
      </w:r>
      <w:r w:rsidR="00DD7CAB">
        <w:rPr>
          <w:rFonts w:ascii="Helvetica Neue" w:hAnsi="Helvetica Neue"/>
        </w:rPr>
        <w:t xml:space="preserve">researchers using </w:t>
      </w:r>
      <w:proofErr w:type="spellStart"/>
      <w:r w:rsidR="00DD7CAB">
        <w:rPr>
          <w:rFonts w:ascii="Helvetica Neue" w:hAnsi="Helvetica Neue"/>
        </w:rPr>
        <w:t>ExecuComp</w:t>
      </w:r>
      <w:proofErr w:type="spellEnd"/>
      <w:r w:rsidR="00DD7CAB">
        <w:rPr>
          <w:rFonts w:ascii="Helvetica Neue" w:hAnsi="Helvetica Neue"/>
        </w:rPr>
        <w:t xml:space="preserve"> data </w:t>
      </w:r>
      <w:r w:rsidR="00DD7CAB" w:rsidRPr="00DD7CAB">
        <w:rPr>
          <w:rFonts w:ascii="Helvetica Neue" w:hAnsi="Helvetica Neue"/>
        </w:rPr>
        <w:t xml:space="preserve">should </w:t>
      </w:r>
      <w:r w:rsidR="00DD7CAB">
        <w:rPr>
          <w:rFonts w:ascii="Helvetica Neue" w:hAnsi="Helvetica Neue"/>
        </w:rPr>
        <w:t xml:space="preserve">have a </w:t>
      </w:r>
      <w:r w:rsidR="00021FE9">
        <w:rPr>
          <w:rFonts w:ascii="Helvetica Neue" w:hAnsi="Helvetica Neue"/>
        </w:rPr>
        <w:t xml:space="preserve">high </w:t>
      </w:r>
      <w:r w:rsidR="00DD7CAB">
        <w:rPr>
          <w:rFonts w:ascii="Helvetica Neue" w:hAnsi="Helvetica Neue"/>
        </w:rPr>
        <w:t>level of comfort using the dataset. This t</w:t>
      </w:r>
      <w:r w:rsidR="00FD65B5">
        <w:rPr>
          <w:rFonts w:ascii="Helvetica Neue" w:hAnsi="Helvetica Neue"/>
        </w:rPr>
        <w:t>ool</w:t>
      </w:r>
      <w:r w:rsidR="00DD7CAB">
        <w:rPr>
          <w:rFonts w:ascii="Helvetica Neue" w:hAnsi="Helvetica Neue"/>
        </w:rPr>
        <w:t xml:space="preserve"> has been designed </w:t>
      </w:r>
      <w:r w:rsidR="00FD65B5">
        <w:rPr>
          <w:rFonts w:ascii="Helvetica Neue" w:hAnsi="Helvetica Neue"/>
        </w:rPr>
        <w:t xml:space="preserve">as a basic introduction to the </w:t>
      </w:r>
      <w:r w:rsidR="00324ED3">
        <w:rPr>
          <w:rFonts w:ascii="Helvetica Neue" w:hAnsi="Helvetica Neue"/>
        </w:rPr>
        <w:t>product</w:t>
      </w:r>
      <w:r w:rsidR="0082311F">
        <w:rPr>
          <w:rFonts w:ascii="Helvetica Neue" w:hAnsi="Helvetica Neue"/>
        </w:rPr>
        <w:t xml:space="preserve">, including an overview of how </w:t>
      </w:r>
      <w:proofErr w:type="spellStart"/>
      <w:r w:rsidR="0082311F">
        <w:rPr>
          <w:rFonts w:ascii="Helvetica Neue" w:hAnsi="Helvetica Neue"/>
        </w:rPr>
        <w:t>ExecuComp</w:t>
      </w:r>
      <w:proofErr w:type="spellEnd"/>
      <w:r w:rsidR="0082311F">
        <w:rPr>
          <w:rFonts w:ascii="Helvetica Neue" w:hAnsi="Helvetica Neue"/>
        </w:rPr>
        <w:t xml:space="preserve"> data was affected by changing accounting standards in 2006. </w:t>
      </w:r>
    </w:p>
    <w:p w14:paraId="6E832FDE" w14:textId="18242366" w:rsidR="00B243EE" w:rsidRPr="00B32DB2" w:rsidRDefault="004B1480" w:rsidP="00F87FEB">
      <w:pPr>
        <w:spacing w:before="100" w:beforeAutospacing="1" w:after="100" w:afterAutospacing="1" w:line="240" w:lineRule="auto"/>
      </w:pPr>
      <w:r>
        <w:rPr>
          <w:rFonts w:ascii="Helvetica Neue" w:hAnsi="Helvetica Neue"/>
        </w:rPr>
        <w:t xml:space="preserve">In a guided exercise, users will </w:t>
      </w:r>
      <w:r w:rsidR="005162E0">
        <w:rPr>
          <w:rFonts w:ascii="Helvetica Neue" w:hAnsi="Helvetica Neue"/>
        </w:rPr>
        <w:t xml:space="preserve">practice performing a search for </w:t>
      </w:r>
      <w:r w:rsidR="00021FE9">
        <w:rPr>
          <w:rFonts w:ascii="Helvetica Neue" w:hAnsi="Helvetica Neue"/>
        </w:rPr>
        <w:t xml:space="preserve">annual </w:t>
      </w:r>
      <w:r w:rsidR="005162E0">
        <w:rPr>
          <w:rFonts w:ascii="Helvetica Neue" w:hAnsi="Helvetica Neue"/>
        </w:rPr>
        <w:t>CE</w:t>
      </w:r>
      <w:r w:rsidR="008D4CC5">
        <w:rPr>
          <w:rFonts w:ascii="Helvetica Neue" w:hAnsi="Helvetica Neue"/>
        </w:rPr>
        <w:t>O</w:t>
      </w:r>
      <w:r w:rsidR="005162E0">
        <w:rPr>
          <w:rFonts w:ascii="Helvetica Neue" w:hAnsi="Helvetica Neue"/>
        </w:rPr>
        <w:t xml:space="preserve"> total compensation. </w:t>
      </w:r>
      <w:r w:rsidR="0082311F">
        <w:rPr>
          <w:rFonts w:ascii="Helvetica Neue" w:hAnsi="Helvetica Neue"/>
        </w:rPr>
        <w:t xml:space="preserve">A </w:t>
      </w:r>
      <w:r w:rsidR="008D4CC5">
        <w:rPr>
          <w:rFonts w:ascii="Helvetica Neue" w:hAnsi="Helvetica Neue"/>
        </w:rPr>
        <w:t xml:space="preserve">tutorial </w:t>
      </w:r>
      <w:r w:rsidR="0082311F">
        <w:rPr>
          <w:rFonts w:ascii="Helvetica Neue" w:hAnsi="Helvetica Neue"/>
        </w:rPr>
        <w:t xml:space="preserve">to using the query form, including the WRDS conditional statement </w:t>
      </w:r>
      <w:r w:rsidR="0082311F" w:rsidRPr="004B1480">
        <w:rPr>
          <w:rFonts w:ascii="Helvetica Neue" w:hAnsi="Helvetica Neue"/>
        </w:rPr>
        <w:t>builder</w:t>
      </w:r>
      <w:r w:rsidR="005162E0" w:rsidRPr="004B1480">
        <w:rPr>
          <w:rFonts w:ascii="Helvetica Neue" w:hAnsi="Helvetica Neue"/>
        </w:rPr>
        <w:t>,</w:t>
      </w:r>
      <w:r w:rsidR="0082311F" w:rsidRPr="004B1480">
        <w:rPr>
          <w:rFonts w:ascii="Helvetica Neue" w:hAnsi="Helvetica Neue"/>
        </w:rPr>
        <w:t xml:space="preserve"> is provided</w:t>
      </w:r>
      <w:r w:rsidR="005162E0" w:rsidRPr="004B1480">
        <w:rPr>
          <w:rFonts w:ascii="Helvetica Neue" w:hAnsi="Helvetica Neue"/>
        </w:rPr>
        <w:t xml:space="preserve"> </w:t>
      </w:r>
      <w:r w:rsidR="00021FE9" w:rsidRPr="004B1480">
        <w:rPr>
          <w:rFonts w:ascii="Helvetica Neue" w:hAnsi="Helvetica Neue"/>
        </w:rPr>
        <w:t>in</w:t>
      </w:r>
      <w:r w:rsidR="005162E0" w:rsidRPr="004B1480">
        <w:rPr>
          <w:rFonts w:ascii="Helvetica Neue" w:hAnsi="Helvetica Neue"/>
        </w:rPr>
        <w:t xml:space="preserve"> the instructions</w:t>
      </w:r>
      <w:r w:rsidR="0082311F" w:rsidRPr="004B1480">
        <w:rPr>
          <w:rFonts w:ascii="Helvetica Neue" w:hAnsi="Helvetica Neue"/>
        </w:rPr>
        <w:t xml:space="preserve"> in the slide deck.</w:t>
      </w:r>
      <w:r w:rsidR="0082311F" w:rsidRPr="004B1480">
        <w:rPr>
          <w:rFonts w:ascii="Helvetica Neue" w:hAnsi="Helvetica Neue"/>
          <w:b/>
          <w:bCs/>
        </w:rPr>
        <w:t xml:space="preserve"> </w:t>
      </w:r>
      <w:r w:rsidR="005162E0" w:rsidRPr="004B1480">
        <w:rPr>
          <w:rFonts w:ascii="Helvetica Neue" w:hAnsi="Helvetica Neue"/>
          <w:b/>
          <w:bCs/>
        </w:rPr>
        <w:br/>
      </w:r>
      <w:r w:rsidR="00FD65B5">
        <w:rPr>
          <w:rFonts w:ascii="Helvetica Neue" w:hAnsi="Helvetica Neue"/>
        </w:rPr>
        <w:br/>
      </w:r>
      <w:r w:rsidR="00D10E6B" w:rsidRPr="00D10E6B">
        <w:rPr>
          <w:rFonts w:ascii="Helvetica Neue" w:hAnsi="Helvetica Neue"/>
          <w:vertAlign w:val="superscript"/>
        </w:rPr>
        <w:t>1</w:t>
      </w:r>
      <w:r w:rsidR="00B32DB2" w:rsidRPr="00B32DB2">
        <w:rPr>
          <w:rFonts w:ascii="Helvetica Neue" w:hAnsi="Helvetica Neue"/>
          <w:vertAlign w:val="superscript"/>
        </w:rPr>
        <w:t xml:space="preserve"> </w:t>
      </w:r>
      <w:r w:rsidR="00B32DB2" w:rsidRPr="00B32DB2">
        <w:t xml:space="preserve">Andrew Koch, Stu </w:t>
      </w:r>
      <w:proofErr w:type="spellStart"/>
      <w:r w:rsidR="00B32DB2" w:rsidRPr="00B32DB2">
        <w:t>Gillan</w:t>
      </w:r>
      <w:proofErr w:type="spellEnd"/>
      <w:r w:rsidR="00B32DB2" w:rsidRPr="00B32DB2">
        <w:t xml:space="preserve">, Jay Hartzell, and Laura </w:t>
      </w:r>
      <w:proofErr w:type="spellStart"/>
      <w:r w:rsidR="00B32DB2" w:rsidRPr="00B32DB2">
        <w:t>Starks</w:t>
      </w:r>
      <w:proofErr w:type="gramStart"/>
      <w:r w:rsidR="00B32DB2" w:rsidRPr="00B32DB2">
        <w:t>,</w:t>
      </w:r>
      <w:r w:rsidR="00DF6DB0" w:rsidRPr="00B32DB2">
        <w:t>”Getting</w:t>
      </w:r>
      <w:proofErr w:type="spellEnd"/>
      <w:proofErr w:type="gramEnd"/>
      <w:r w:rsidR="00DF6DB0" w:rsidRPr="00B32DB2">
        <w:t xml:space="preserve"> the Incentives Right: Backfilling and Biases in Executive Compensation Data,” </w:t>
      </w:r>
      <w:r w:rsidR="00DF6DB0" w:rsidRPr="00B32DB2">
        <w:rPr>
          <w:i/>
          <w:iCs/>
        </w:rPr>
        <w:t>Review of Financial Studies</w:t>
      </w:r>
      <w:r w:rsidR="00DF6DB0" w:rsidRPr="00B32DB2">
        <w:t xml:space="preserve"> </w:t>
      </w:r>
      <w:r w:rsidR="00D1661F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Volume 31, Issue 4, (2018) 1460–1498</w:t>
      </w:r>
      <w:r w:rsidR="00D1661F">
        <w:t>.</w:t>
      </w:r>
    </w:p>
    <w:p w14:paraId="39D05B73" w14:textId="77777777" w:rsidR="009357F2" w:rsidRPr="00211B16" w:rsidRDefault="00211B16" w:rsidP="009B72E5">
      <w:pPr>
        <w:pBdr>
          <w:bottom w:val="single" w:sz="12" w:space="3" w:color="9CC2E5" w:themeColor="accent1" w:themeTint="99"/>
        </w:pBdr>
        <w:spacing w:line="240" w:lineRule="auto"/>
        <w:rPr>
          <w:rFonts w:ascii="Helvetica Neue Medium" w:hAnsi="Helvetica Neue Medium"/>
          <w:color w:val="2E74B5" w:themeColor="accent1" w:themeShade="BF"/>
          <w:sz w:val="24"/>
          <w:szCs w:val="24"/>
        </w:rPr>
      </w:pPr>
      <w:r>
        <w:rPr>
          <w:rFonts w:ascii="Helvetica Neue Medium" w:hAnsi="Helvetica Neue Medium"/>
          <w:color w:val="2E74B5" w:themeColor="accent1" w:themeShade="BF"/>
          <w:sz w:val="24"/>
          <w:szCs w:val="24"/>
        </w:rPr>
        <w:t>B</w:t>
      </w:r>
      <w:r w:rsidRPr="00211B16">
        <w:rPr>
          <w:rFonts w:ascii="Helvetica Neue Medium" w:hAnsi="Helvetica Neue Medium"/>
          <w:color w:val="2E74B5" w:themeColor="accent1" w:themeShade="BF"/>
          <w:sz w:val="24"/>
          <w:szCs w:val="24"/>
        </w:rPr>
        <w:t>. Learning Objectives: after this lesson the following objectives should be met.</w:t>
      </w:r>
    </w:p>
    <w:p w14:paraId="095111BD" w14:textId="77777777" w:rsidR="00D65795" w:rsidRPr="00D65795" w:rsidRDefault="00D65795" w:rsidP="00D65795">
      <w:pPr>
        <w:pStyle w:val="NoSpacing"/>
        <w:ind w:left="360"/>
        <w:rPr>
          <w:rFonts w:ascii="Helvetica Neue" w:hAnsi="Helvetica Neue"/>
        </w:rPr>
      </w:pPr>
      <w:r w:rsidRPr="00D65795">
        <w:rPr>
          <w:rFonts w:ascii="Helvetica Neue" w:hAnsi="Helvetica Neue"/>
        </w:rPr>
        <w:t xml:space="preserve">Upon completing the </w:t>
      </w:r>
      <w:r w:rsidR="002A2BB9">
        <w:rPr>
          <w:rFonts w:ascii="Helvetica Neue" w:hAnsi="Helvetica Neue"/>
        </w:rPr>
        <w:t xml:space="preserve">assignment, </w:t>
      </w:r>
      <w:r w:rsidRPr="00D65795">
        <w:rPr>
          <w:rFonts w:ascii="Helvetica Neue" w:hAnsi="Helvetica Neue"/>
        </w:rPr>
        <w:t>students will:</w:t>
      </w:r>
      <w:r>
        <w:rPr>
          <w:rFonts w:ascii="Helvetica Neue" w:hAnsi="Helvetica Neue"/>
        </w:rPr>
        <w:br/>
      </w:r>
    </w:p>
    <w:p w14:paraId="62ECCF7E" w14:textId="1D5A1C9F" w:rsidR="00B32DB2" w:rsidRDefault="00B32DB2" w:rsidP="00B32DB2">
      <w:pPr>
        <w:pStyle w:val="NoSpacing"/>
        <w:numPr>
          <w:ilvl w:val="0"/>
          <w:numId w:val="29"/>
        </w:numPr>
        <w:rPr>
          <w:rFonts w:ascii="Helvetica Neue" w:hAnsi="Helvetica Neue"/>
        </w:rPr>
      </w:pPr>
      <w:r w:rsidRPr="00B32DB2">
        <w:rPr>
          <w:rFonts w:ascii="Helvetica Neue" w:hAnsi="Helvetica Neue"/>
        </w:rPr>
        <w:t xml:space="preserve">Become familiar with </w:t>
      </w:r>
      <w:proofErr w:type="spellStart"/>
      <w:r w:rsidRPr="00B32DB2">
        <w:rPr>
          <w:rFonts w:ascii="Helvetica Neue" w:hAnsi="Helvetica Neue"/>
        </w:rPr>
        <w:t>Compustat’s</w:t>
      </w:r>
      <w:proofErr w:type="spellEnd"/>
      <w:r w:rsidRPr="00B32DB2">
        <w:rPr>
          <w:rFonts w:ascii="Helvetica Neue" w:hAnsi="Helvetica Neue"/>
        </w:rPr>
        <w:t xml:space="preserve"> </w:t>
      </w:r>
      <w:proofErr w:type="spellStart"/>
      <w:r w:rsidRPr="00B32DB2">
        <w:rPr>
          <w:rFonts w:ascii="Helvetica Neue" w:hAnsi="Helvetica Neue"/>
        </w:rPr>
        <w:t>ExecuComp</w:t>
      </w:r>
      <w:proofErr w:type="spellEnd"/>
      <w:r w:rsidRPr="00B32DB2">
        <w:rPr>
          <w:rFonts w:ascii="Helvetica Neue" w:hAnsi="Helvetica Neue"/>
        </w:rPr>
        <w:t xml:space="preserve"> data</w:t>
      </w:r>
      <w:r w:rsidR="004B1480">
        <w:rPr>
          <w:rFonts w:ascii="Helvetica Neue" w:hAnsi="Helvetica Neue"/>
        </w:rPr>
        <w:t>set</w:t>
      </w:r>
    </w:p>
    <w:p w14:paraId="2AEF2BA4" w14:textId="77777777" w:rsidR="00B32DB2" w:rsidRPr="00B32DB2" w:rsidRDefault="00B32DB2" w:rsidP="00B32DB2">
      <w:pPr>
        <w:pStyle w:val="NoSpacing"/>
        <w:ind w:left="720"/>
        <w:rPr>
          <w:rFonts w:ascii="Helvetica Neue" w:hAnsi="Helvetica Neue"/>
        </w:rPr>
      </w:pPr>
    </w:p>
    <w:p w14:paraId="6FF53CC2" w14:textId="45A74AE9" w:rsidR="00B32DB2" w:rsidRPr="00B32DB2" w:rsidRDefault="005162E0" w:rsidP="00213F36">
      <w:pPr>
        <w:pStyle w:val="NoSpacing"/>
        <w:numPr>
          <w:ilvl w:val="0"/>
          <w:numId w:val="29"/>
        </w:numPr>
        <w:rPr>
          <w:rFonts w:ascii="Helvetica Neue Medium" w:hAnsi="Helvetica Neue Medium"/>
          <w:sz w:val="24"/>
          <w:szCs w:val="24"/>
        </w:rPr>
      </w:pPr>
      <w:r>
        <w:rPr>
          <w:rFonts w:ascii="Helvetica Neue" w:hAnsi="Helvetica Neue"/>
        </w:rPr>
        <w:t xml:space="preserve">Execute a query and download </w:t>
      </w:r>
      <w:proofErr w:type="spellStart"/>
      <w:r w:rsidR="00B32DB2" w:rsidRPr="00B32DB2">
        <w:rPr>
          <w:rFonts w:ascii="Helvetica Neue" w:hAnsi="Helvetica Neue"/>
        </w:rPr>
        <w:t>ExecuComp</w:t>
      </w:r>
      <w:proofErr w:type="spellEnd"/>
      <w:r w:rsidR="00B32DB2" w:rsidRPr="00B32DB2">
        <w:rPr>
          <w:rFonts w:ascii="Helvetica Neue" w:hAnsi="Helvetica Neue"/>
        </w:rPr>
        <w:t xml:space="preserve"> data to Excel</w:t>
      </w:r>
    </w:p>
    <w:p w14:paraId="2E28D491" w14:textId="77777777" w:rsidR="00B32DB2" w:rsidRPr="00B32DB2" w:rsidRDefault="00B32DB2" w:rsidP="00B32DB2">
      <w:pPr>
        <w:pStyle w:val="ListParagraph"/>
        <w:rPr>
          <w:rFonts w:ascii="Helvetica Neue" w:hAnsi="Helvetica Neue"/>
        </w:rPr>
      </w:pPr>
    </w:p>
    <w:p w14:paraId="4828D4C0" w14:textId="77777777" w:rsidR="00211B16" w:rsidRPr="00211B16" w:rsidRDefault="00211B16" w:rsidP="009B72E5">
      <w:pPr>
        <w:pBdr>
          <w:bottom w:val="single" w:sz="12" w:space="3" w:color="9CC2E5" w:themeColor="accent1" w:themeTint="99"/>
        </w:pBdr>
        <w:spacing w:line="240" w:lineRule="auto"/>
        <w:rPr>
          <w:rFonts w:ascii="Helvetica Neue Medium" w:hAnsi="Helvetica Neue Medium"/>
          <w:color w:val="2E74B5" w:themeColor="accent1" w:themeShade="BF"/>
          <w:sz w:val="24"/>
          <w:szCs w:val="24"/>
        </w:rPr>
      </w:pPr>
      <w:r>
        <w:rPr>
          <w:rFonts w:ascii="Helvetica Neue Medium" w:hAnsi="Helvetica Neue Medium"/>
          <w:color w:val="2E74B5" w:themeColor="accent1" w:themeShade="BF"/>
          <w:sz w:val="24"/>
          <w:szCs w:val="24"/>
        </w:rPr>
        <w:t>C</w:t>
      </w:r>
      <w:r w:rsidRPr="00211B16">
        <w:rPr>
          <w:rFonts w:ascii="Helvetica Neue Medium" w:hAnsi="Helvetica Neue Medium"/>
          <w:color w:val="2E74B5" w:themeColor="accent1" w:themeShade="BF"/>
          <w:sz w:val="24"/>
          <w:szCs w:val="24"/>
        </w:rPr>
        <w:t>. Teaching Approach/Pedagogy: an explanation of how the lesson will be taught, and who the target audience is.</w:t>
      </w:r>
    </w:p>
    <w:p w14:paraId="6176B7BE" w14:textId="25F66A01" w:rsidR="004B55B5" w:rsidRDefault="004B1480" w:rsidP="009B72E5">
      <w:pPr>
        <w:pStyle w:val="NoSpacing"/>
        <w:rPr>
          <w:rFonts w:ascii="Helvetica Neue" w:hAnsi="Helvetica Neue"/>
        </w:rPr>
      </w:pPr>
      <w:r>
        <w:rPr>
          <w:rFonts w:ascii="Helvetica Neue" w:hAnsi="Helvetica Neue"/>
        </w:rPr>
        <w:t xml:space="preserve">Researchers </w:t>
      </w:r>
      <w:r w:rsidR="002E1A78" w:rsidRPr="002E1A78">
        <w:rPr>
          <w:rFonts w:ascii="Helvetica Neue" w:hAnsi="Helvetica Neue"/>
        </w:rPr>
        <w:t>are the primary</w:t>
      </w:r>
      <w:r w:rsidR="00B72D9C">
        <w:rPr>
          <w:rFonts w:ascii="Helvetica Neue" w:hAnsi="Helvetica Neue"/>
        </w:rPr>
        <w:t xml:space="preserve"> target audience. </w:t>
      </w:r>
      <w:r w:rsidR="002E1A78" w:rsidRPr="002E1A78">
        <w:rPr>
          <w:rFonts w:ascii="Helvetica Neue" w:hAnsi="Helvetica Neue"/>
        </w:rPr>
        <w:t xml:space="preserve">Assignment instructions are found in the accompanying PowerPoint slide deck, which you may distribute to students.  </w:t>
      </w:r>
    </w:p>
    <w:p w14:paraId="2273E6BE" w14:textId="77777777" w:rsidR="002E1A78" w:rsidRPr="00211B16" w:rsidRDefault="002E1A78" w:rsidP="009B72E5">
      <w:pPr>
        <w:pStyle w:val="NoSpacing"/>
        <w:rPr>
          <w:rFonts w:ascii="Helvetica Neue" w:hAnsi="Helvetica Neue"/>
        </w:rPr>
      </w:pPr>
    </w:p>
    <w:p w14:paraId="5367BE05" w14:textId="77777777" w:rsidR="00211B16" w:rsidRPr="00211B16" w:rsidRDefault="00211B16" w:rsidP="009B72E5">
      <w:pPr>
        <w:pBdr>
          <w:bottom w:val="single" w:sz="12" w:space="3" w:color="9CC2E5" w:themeColor="accent1" w:themeTint="99"/>
        </w:pBdr>
        <w:spacing w:line="240" w:lineRule="auto"/>
        <w:rPr>
          <w:rFonts w:ascii="Helvetica Neue Medium" w:hAnsi="Helvetica Neue Medium"/>
          <w:color w:val="2E74B5" w:themeColor="accent1" w:themeShade="BF"/>
          <w:sz w:val="24"/>
          <w:szCs w:val="24"/>
        </w:rPr>
      </w:pPr>
      <w:r>
        <w:rPr>
          <w:rFonts w:ascii="Helvetica Neue Medium" w:hAnsi="Helvetica Neue Medium"/>
          <w:color w:val="2E74B5" w:themeColor="accent1" w:themeShade="BF"/>
          <w:sz w:val="24"/>
          <w:szCs w:val="24"/>
        </w:rPr>
        <w:lastRenderedPageBreak/>
        <w:t>D</w:t>
      </w:r>
      <w:r w:rsidRPr="00211B16">
        <w:rPr>
          <w:rFonts w:ascii="Helvetica Neue Medium" w:hAnsi="Helvetica Neue Medium"/>
          <w:color w:val="2E74B5" w:themeColor="accent1" w:themeShade="BF"/>
          <w:sz w:val="24"/>
          <w:szCs w:val="24"/>
        </w:rPr>
        <w:t>. Assignment and Discussion Questions: provides questions that stimulate thought and facilitate understanding of the lesson.</w:t>
      </w:r>
    </w:p>
    <w:p w14:paraId="0DBA3335" w14:textId="1401F37F" w:rsidR="00021FE9" w:rsidRDefault="00021FE9" w:rsidP="001B3433">
      <w:pPr>
        <w:pStyle w:val="NoSpacing"/>
        <w:numPr>
          <w:ilvl w:val="0"/>
          <w:numId w:val="17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What </w:t>
      </w:r>
      <w:r w:rsidR="00C567C8">
        <w:rPr>
          <w:rFonts w:ascii="Helvetica Neue" w:hAnsi="Helvetica Neue"/>
        </w:rPr>
        <w:t xml:space="preserve">components typically </w:t>
      </w:r>
      <w:r>
        <w:rPr>
          <w:rFonts w:ascii="Helvetica Neue" w:hAnsi="Helvetica Neue"/>
        </w:rPr>
        <w:t>make up executive compensation?</w:t>
      </w:r>
    </w:p>
    <w:p w14:paraId="3B949B8B" w14:textId="48981714" w:rsidR="00472ADC" w:rsidRDefault="005162E0" w:rsidP="001B3433">
      <w:pPr>
        <w:pStyle w:val="NoSpacing"/>
        <w:numPr>
          <w:ilvl w:val="0"/>
          <w:numId w:val="17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After reviewing the data available in </w:t>
      </w:r>
      <w:proofErr w:type="spellStart"/>
      <w:r>
        <w:rPr>
          <w:rFonts w:ascii="Helvetica Neue" w:hAnsi="Helvetica Neue"/>
        </w:rPr>
        <w:t>ExecuComp</w:t>
      </w:r>
      <w:proofErr w:type="spellEnd"/>
      <w:r>
        <w:rPr>
          <w:rFonts w:ascii="Helvetica Neue" w:hAnsi="Helvetica Neue"/>
        </w:rPr>
        <w:t>, can you think of any possible research questions you might want to explore using this data?</w:t>
      </w:r>
      <w:r w:rsidR="00F836F4">
        <w:rPr>
          <w:rFonts w:ascii="Helvetica Neue" w:hAnsi="Helvetica Neue"/>
        </w:rPr>
        <w:br/>
      </w:r>
    </w:p>
    <w:p w14:paraId="4F1FE61B" w14:textId="77777777" w:rsidR="00472ADC" w:rsidRPr="00211B16" w:rsidRDefault="00472ADC" w:rsidP="009B72E5">
      <w:pPr>
        <w:pBdr>
          <w:bottom w:val="single" w:sz="12" w:space="3" w:color="9CC2E5" w:themeColor="accent1" w:themeTint="99"/>
        </w:pBdr>
        <w:spacing w:line="240" w:lineRule="auto"/>
        <w:rPr>
          <w:rFonts w:ascii="Helvetica Neue Medium" w:hAnsi="Helvetica Neue Medium"/>
          <w:color w:val="2E74B5" w:themeColor="accent1" w:themeShade="BF"/>
          <w:sz w:val="24"/>
          <w:szCs w:val="24"/>
        </w:rPr>
      </w:pPr>
      <w:r>
        <w:rPr>
          <w:rFonts w:ascii="Helvetica Neue Medium" w:hAnsi="Helvetica Neue Medium"/>
          <w:color w:val="2E74B5" w:themeColor="accent1" w:themeShade="BF"/>
          <w:sz w:val="24"/>
          <w:szCs w:val="24"/>
        </w:rPr>
        <w:t>E. Conclusion and Feedback</w:t>
      </w:r>
      <w:r w:rsidRPr="00211B16">
        <w:rPr>
          <w:rFonts w:ascii="Helvetica Neue Medium" w:hAnsi="Helvetica Neue Medium"/>
          <w:color w:val="2E74B5" w:themeColor="accent1" w:themeShade="BF"/>
          <w:sz w:val="24"/>
          <w:szCs w:val="24"/>
        </w:rPr>
        <w:t xml:space="preserve">: </w:t>
      </w:r>
      <w:r w:rsidRPr="00472ADC">
        <w:rPr>
          <w:rFonts w:ascii="Helvetica Neue Medium" w:hAnsi="Helvetica Neue Medium"/>
          <w:color w:val="2E74B5" w:themeColor="accent1" w:themeShade="BF"/>
          <w:sz w:val="24"/>
          <w:szCs w:val="24"/>
        </w:rPr>
        <w:t xml:space="preserve">assesses whether learning objectives were met and solicits feedback from students about the effectiveness of the assignment. </w:t>
      </w:r>
    </w:p>
    <w:p w14:paraId="15CB8602" w14:textId="77777777" w:rsidR="00472ADC" w:rsidRDefault="00472ADC" w:rsidP="009B72E5">
      <w:pPr>
        <w:pStyle w:val="NoSpacing"/>
        <w:rPr>
          <w:rFonts w:ascii="Helvetica Neue" w:hAnsi="Helvetica Neue"/>
        </w:rPr>
      </w:pPr>
      <w:r w:rsidRPr="00472ADC">
        <w:rPr>
          <w:rFonts w:ascii="Helvetica Neue" w:hAnsi="Helvetica Neue"/>
        </w:rPr>
        <w:t>Were the learning objectives met?  Be sure to solicit feedback from students in order to ascertain what worked and what didn’t work with the assignment.</w:t>
      </w:r>
    </w:p>
    <w:p w14:paraId="3BE0B94B" w14:textId="77777777" w:rsidR="00472ADC" w:rsidRPr="00211B16" w:rsidRDefault="00472ADC" w:rsidP="00406497">
      <w:pPr>
        <w:pStyle w:val="NoSpacing"/>
        <w:spacing w:line="300" w:lineRule="auto"/>
        <w:rPr>
          <w:rFonts w:ascii="Helvetica Neue" w:hAnsi="Helvetica Neue"/>
        </w:rPr>
      </w:pPr>
    </w:p>
    <w:p w14:paraId="0105DF11" w14:textId="77777777" w:rsidR="006069BA" w:rsidRDefault="00D9703A" w:rsidP="00B231AC">
      <w:pPr>
        <w:pBdr>
          <w:top w:val="single" w:sz="12" w:space="6" w:color="9CC2E5" w:themeColor="accent1" w:themeTint="99"/>
          <w:left w:val="single" w:sz="12" w:space="6" w:color="9CC2E5" w:themeColor="accent1" w:themeTint="99"/>
          <w:bottom w:val="single" w:sz="12" w:space="8" w:color="9CC2E5" w:themeColor="accent1" w:themeTint="99"/>
          <w:right w:val="single" w:sz="12" w:space="6" w:color="9CC2E5" w:themeColor="accent1" w:themeTint="99"/>
        </w:pBdr>
        <w:rPr>
          <w:rFonts w:ascii="Helvetica Neue" w:eastAsia="Calibri" w:hAnsi="Helvetica Neue" w:cs="Times New Roman"/>
          <w:b/>
          <w:color w:val="2E74B5" w:themeColor="accent1" w:themeShade="BF"/>
        </w:rPr>
      </w:pPr>
      <w:r w:rsidRPr="00280638">
        <w:rPr>
          <w:rFonts w:ascii="Helvetica Neue" w:eastAsia="Calibri" w:hAnsi="Helvetica Neue" w:cs="Times New Roman"/>
          <w:b/>
          <w:color w:val="2E74B5" w:themeColor="accent1" w:themeShade="BF"/>
        </w:rPr>
        <w:t>YOUR FEEDBACK IS VITAL TO THE WRDS CLASSROOM INITIATIVE.  PLEASE USE THE FOLLOWING LINK TO SEND COMMENTS AND SUGGESTIONS:</w:t>
      </w:r>
    </w:p>
    <w:p w14:paraId="37313F6C" w14:textId="575BD659" w:rsidR="00D9703A" w:rsidRPr="006069BA" w:rsidRDefault="006069BA" w:rsidP="00B231AC">
      <w:pPr>
        <w:pBdr>
          <w:top w:val="single" w:sz="12" w:space="6" w:color="9CC2E5" w:themeColor="accent1" w:themeTint="99"/>
          <w:left w:val="single" w:sz="12" w:space="6" w:color="9CC2E5" w:themeColor="accent1" w:themeTint="99"/>
          <w:bottom w:val="single" w:sz="12" w:space="8" w:color="9CC2E5" w:themeColor="accent1" w:themeTint="99"/>
          <w:right w:val="single" w:sz="12" w:space="6" w:color="9CC2E5" w:themeColor="accent1" w:themeTint="99"/>
        </w:pBdr>
        <w:rPr>
          <w:rFonts w:ascii="Helvetica Neue" w:eastAsia="Calibri" w:hAnsi="Helvetica Neue" w:cs="Times New Roman"/>
          <w:b/>
          <w:bCs/>
          <w:color w:val="2E74B5" w:themeColor="accent1" w:themeShade="BF"/>
          <w:sz w:val="24"/>
          <w:szCs w:val="24"/>
        </w:rPr>
      </w:pPr>
      <w:hyperlink r:id="rId9" w:tgtFrame="_blank" w:history="1">
        <w:r w:rsidRPr="006069BA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8F8F8"/>
          </w:rPr>
          <w:t>https://wrds-www.wharton.upenn.edu/contact-support/</w:t>
        </w:r>
      </w:hyperlink>
    </w:p>
    <w:sectPr w:rsidR="00D9703A" w:rsidRPr="0060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DF71" w14:textId="77777777" w:rsidR="00E928D0" w:rsidRDefault="00E928D0" w:rsidP="00DF6DB0">
      <w:pPr>
        <w:spacing w:after="0" w:line="240" w:lineRule="auto"/>
      </w:pPr>
      <w:r>
        <w:separator/>
      </w:r>
    </w:p>
  </w:endnote>
  <w:endnote w:type="continuationSeparator" w:id="0">
    <w:p w14:paraId="32BC1EE1" w14:textId="77777777" w:rsidR="00E928D0" w:rsidRDefault="00E928D0" w:rsidP="00DF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A515" w14:textId="77777777" w:rsidR="00E928D0" w:rsidRDefault="00E928D0" w:rsidP="00DF6DB0">
      <w:pPr>
        <w:spacing w:after="0" w:line="240" w:lineRule="auto"/>
      </w:pPr>
      <w:r>
        <w:separator/>
      </w:r>
    </w:p>
  </w:footnote>
  <w:footnote w:type="continuationSeparator" w:id="0">
    <w:p w14:paraId="2699737F" w14:textId="77777777" w:rsidR="00E928D0" w:rsidRDefault="00E928D0" w:rsidP="00DF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C2E"/>
    <w:multiLevelType w:val="hybridMultilevel"/>
    <w:tmpl w:val="9E3011F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064D68D4"/>
    <w:multiLevelType w:val="hybridMultilevel"/>
    <w:tmpl w:val="9C0A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6C2"/>
    <w:multiLevelType w:val="hybridMultilevel"/>
    <w:tmpl w:val="29D8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5518E"/>
    <w:multiLevelType w:val="hybridMultilevel"/>
    <w:tmpl w:val="F09AE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4046B"/>
    <w:multiLevelType w:val="hybridMultilevel"/>
    <w:tmpl w:val="6104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1ACF"/>
    <w:multiLevelType w:val="hybridMultilevel"/>
    <w:tmpl w:val="279CF1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5E66F3"/>
    <w:multiLevelType w:val="hybridMultilevel"/>
    <w:tmpl w:val="2E7EDF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471BC"/>
    <w:multiLevelType w:val="hybridMultilevel"/>
    <w:tmpl w:val="03A8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65868"/>
    <w:multiLevelType w:val="hybridMultilevel"/>
    <w:tmpl w:val="BF303E2C"/>
    <w:lvl w:ilvl="0" w:tplc="99C24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E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4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0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AE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85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0C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01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CD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773583"/>
    <w:multiLevelType w:val="hybridMultilevel"/>
    <w:tmpl w:val="2E2CB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757C0"/>
    <w:multiLevelType w:val="hybridMultilevel"/>
    <w:tmpl w:val="72861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6D40E1"/>
    <w:multiLevelType w:val="hybridMultilevel"/>
    <w:tmpl w:val="AA7CCA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C144E1"/>
    <w:multiLevelType w:val="hybridMultilevel"/>
    <w:tmpl w:val="76841E36"/>
    <w:lvl w:ilvl="0" w:tplc="AC66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EE76EE"/>
    <w:multiLevelType w:val="hybridMultilevel"/>
    <w:tmpl w:val="96CA5BEE"/>
    <w:lvl w:ilvl="0" w:tplc="44D86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81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8A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E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29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C3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9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8D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48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61073C"/>
    <w:multiLevelType w:val="hybridMultilevel"/>
    <w:tmpl w:val="B960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406E9"/>
    <w:multiLevelType w:val="hybridMultilevel"/>
    <w:tmpl w:val="ACC0F3F4"/>
    <w:lvl w:ilvl="0" w:tplc="8EFA9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00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0A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81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62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E6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62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44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6B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310139"/>
    <w:multiLevelType w:val="hybridMultilevel"/>
    <w:tmpl w:val="3BB8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07FDD"/>
    <w:multiLevelType w:val="hybridMultilevel"/>
    <w:tmpl w:val="B6BA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86C08"/>
    <w:multiLevelType w:val="hybridMultilevel"/>
    <w:tmpl w:val="75BAE79A"/>
    <w:lvl w:ilvl="0" w:tplc="AE58E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5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EC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61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0B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8E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A0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86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46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260BB0"/>
    <w:multiLevelType w:val="hybridMultilevel"/>
    <w:tmpl w:val="140210A6"/>
    <w:lvl w:ilvl="0" w:tplc="EFB6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E2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6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44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69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45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42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C7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D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865710"/>
    <w:multiLevelType w:val="hybridMultilevel"/>
    <w:tmpl w:val="7D0C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51BE5"/>
    <w:multiLevelType w:val="hybridMultilevel"/>
    <w:tmpl w:val="CAE66106"/>
    <w:lvl w:ilvl="0" w:tplc="9FD06A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B246E"/>
    <w:multiLevelType w:val="hybridMultilevel"/>
    <w:tmpl w:val="A97474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BA1131"/>
    <w:multiLevelType w:val="hybridMultilevel"/>
    <w:tmpl w:val="697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369E2"/>
    <w:multiLevelType w:val="hybridMultilevel"/>
    <w:tmpl w:val="CD8290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FE0548"/>
    <w:multiLevelType w:val="hybridMultilevel"/>
    <w:tmpl w:val="992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519AF"/>
    <w:multiLevelType w:val="hybridMultilevel"/>
    <w:tmpl w:val="A328CE24"/>
    <w:lvl w:ilvl="0" w:tplc="06A8C3E4">
      <w:start w:val="1"/>
      <w:numFmt w:val="decimal"/>
      <w:lvlText w:val="%1."/>
      <w:lvlJc w:val="left"/>
      <w:pPr>
        <w:ind w:left="130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C74E43"/>
    <w:multiLevelType w:val="hybridMultilevel"/>
    <w:tmpl w:val="C6FA12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F7497E"/>
    <w:multiLevelType w:val="multilevel"/>
    <w:tmpl w:val="37B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81CC5"/>
    <w:multiLevelType w:val="hybridMultilevel"/>
    <w:tmpl w:val="46823E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4"/>
  </w:num>
  <w:num w:numId="3">
    <w:abstractNumId w:val="6"/>
  </w:num>
  <w:num w:numId="4">
    <w:abstractNumId w:val="12"/>
  </w:num>
  <w:num w:numId="5">
    <w:abstractNumId w:val="29"/>
  </w:num>
  <w:num w:numId="6">
    <w:abstractNumId w:val="22"/>
  </w:num>
  <w:num w:numId="7">
    <w:abstractNumId w:val="17"/>
  </w:num>
  <w:num w:numId="8">
    <w:abstractNumId w:val="5"/>
  </w:num>
  <w:num w:numId="9">
    <w:abstractNumId w:val="21"/>
  </w:num>
  <w:num w:numId="10">
    <w:abstractNumId w:val="14"/>
  </w:num>
  <w:num w:numId="11">
    <w:abstractNumId w:val="2"/>
  </w:num>
  <w:num w:numId="12">
    <w:abstractNumId w:val="26"/>
  </w:num>
  <w:num w:numId="13">
    <w:abstractNumId w:val="0"/>
  </w:num>
  <w:num w:numId="14">
    <w:abstractNumId w:val="11"/>
  </w:num>
  <w:num w:numId="15">
    <w:abstractNumId w:val="20"/>
  </w:num>
  <w:num w:numId="16">
    <w:abstractNumId w:val="1"/>
  </w:num>
  <w:num w:numId="17">
    <w:abstractNumId w:val="9"/>
  </w:num>
  <w:num w:numId="18">
    <w:abstractNumId w:val="23"/>
  </w:num>
  <w:num w:numId="19">
    <w:abstractNumId w:val="28"/>
  </w:num>
  <w:num w:numId="20">
    <w:abstractNumId w:val="7"/>
  </w:num>
  <w:num w:numId="21">
    <w:abstractNumId w:val="8"/>
  </w:num>
  <w:num w:numId="22">
    <w:abstractNumId w:val="16"/>
  </w:num>
  <w:num w:numId="23">
    <w:abstractNumId w:val="4"/>
  </w:num>
  <w:num w:numId="24">
    <w:abstractNumId w:val="15"/>
  </w:num>
  <w:num w:numId="25">
    <w:abstractNumId w:val="3"/>
  </w:num>
  <w:num w:numId="26">
    <w:abstractNumId w:val="25"/>
  </w:num>
  <w:num w:numId="27">
    <w:abstractNumId w:val="19"/>
  </w:num>
  <w:num w:numId="28">
    <w:abstractNumId w:val="10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E2"/>
    <w:rsid w:val="00000BAF"/>
    <w:rsid w:val="0001748A"/>
    <w:rsid w:val="000174A7"/>
    <w:rsid w:val="00021FE9"/>
    <w:rsid w:val="00032FCF"/>
    <w:rsid w:val="0003518D"/>
    <w:rsid w:val="000372E1"/>
    <w:rsid w:val="00042F62"/>
    <w:rsid w:val="0005120D"/>
    <w:rsid w:val="0005408F"/>
    <w:rsid w:val="00057F86"/>
    <w:rsid w:val="00062E1E"/>
    <w:rsid w:val="00066473"/>
    <w:rsid w:val="000714DC"/>
    <w:rsid w:val="00073ED3"/>
    <w:rsid w:val="00074B55"/>
    <w:rsid w:val="000774DB"/>
    <w:rsid w:val="0008301A"/>
    <w:rsid w:val="00083CBF"/>
    <w:rsid w:val="00085D3D"/>
    <w:rsid w:val="00085E05"/>
    <w:rsid w:val="0009123A"/>
    <w:rsid w:val="0009288B"/>
    <w:rsid w:val="0009306D"/>
    <w:rsid w:val="00096278"/>
    <w:rsid w:val="0009758B"/>
    <w:rsid w:val="000A2EE2"/>
    <w:rsid w:val="000A4071"/>
    <w:rsid w:val="000A58FF"/>
    <w:rsid w:val="000B5C54"/>
    <w:rsid w:val="000B6939"/>
    <w:rsid w:val="000C6E34"/>
    <w:rsid w:val="000D123E"/>
    <w:rsid w:val="000D1BC0"/>
    <w:rsid w:val="000D4B68"/>
    <w:rsid w:val="000E005B"/>
    <w:rsid w:val="000E6E4C"/>
    <w:rsid w:val="000F38B5"/>
    <w:rsid w:val="000F448F"/>
    <w:rsid w:val="00110B31"/>
    <w:rsid w:val="00110DE9"/>
    <w:rsid w:val="00120073"/>
    <w:rsid w:val="0012558D"/>
    <w:rsid w:val="00132DFF"/>
    <w:rsid w:val="0013374E"/>
    <w:rsid w:val="00137F60"/>
    <w:rsid w:val="001558B7"/>
    <w:rsid w:val="001573E2"/>
    <w:rsid w:val="00157B97"/>
    <w:rsid w:val="001607E5"/>
    <w:rsid w:val="001633C0"/>
    <w:rsid w:val="00164A2B"/>
    <w:rsid w:val="00166039"/>
    <w:rsid w:val="00171C32"/>
    <w:rsid w:val="001732F3"/>
    <w:rsid w:val="00174EF9"/>
    <w:rsid w:val="00181834"/>
    <w:rsid w:val="00186BCE"/>
    <w:rsid w:val="00187DB5"/>
    <w:rsid w:val="001A0953"/>
    <w:rsid w:val="001A1E20"/>
    <w:rsid w:val="001A3C9F"/>
    <w:rsid w:val="001A3FA1"/>
    <w:rsid w:val="001A49B6"/>
    <w:rsid w:val="001B18E7"/>
    <w:rsid w:val="001B3433"/>
    <w:rsid w:val="001C049B"/>
    <w:rsid w:val="001C4806"/>
    <w:rsid w:val="001C49B2"/>
    <w:rsid w:val="001D49CD"/>
    <w:rsid w:val="001E31EA"/>
    <w:rsid w:val="001E38BA"/>
    <w:rsid w:val="001E405C"/>
    <w:rsid w:val="001F2C98"/>
    <w:rsid w:val="001F526E"/>
    <w:rsid w:val="001F74D1"/>
    <w:rsid w:val="00204D0C"/>
    <w:rsid w:val="00210423"/>
    <w:rsid w:val="00210E43"/>
    <w:rsid w:val="00211B16"/>
    <w:rsid w:val="0021625C"/>
    <w:rsid w:val="0024398C"/>
    <w:rsid w:val="00247DCD"/>
    <w:rsid w:val="00252E12"/>
    <w:rsid w:val="00257591"/>
    <w:rsid w:val="00266F5D"/>
    <w:rsid w:val="00275F7C"/>
    <w:rsid w:val="00280638"/>
    <w:rsid w:val="00281B05"/>
    <w:rsid w:val="002834B8"/>
    <w:rsid w:val="0029166E"/>
    <w:rsid w:val="00296AC8"/>
    <w:rsid w:val="002A2BB9"/>
    <w:rsid w:val="002A4532"/>
    <w:rsid w:val="002A4FDE"/>
    <w:rsid w:val="002A5048"/>
    <w:rsid w:val="002B1C79"/>
    <w:rsid w:val="002B692D"/>
    <w:rsid w:val="002C26EB"/>
    <w:rsid w:val="002C66C7"/>
    <w:rsid w:val="002C688F"/>
    <w:rsid w:val="002C71A0"/>
    <w:rsid w:val="002C7852"/>
    <w:rsid w:val="002D37C8"/>
    <w:rsid w:val="002E1A78"/>
    <w:rsid w:val="002E60BE"/>
    <w:rsid w:val="002F1442"/>
    <w:rsid w:val="002F2A0B"/>
    <w:rsid w:val="00305F56"/>
    <w:rsid w:val="00306A2E"/>
    <w:rsid w:val="0031555D"/>
    <w:rsid w:val="00315E91"/>
    <w:rsid w:val="003216FB"/>
    <w:rsid w:val="00324ED3"/>
    <w:rsid w:val="003251E9"/>
    <w:rsid w:val="00330596"/>
    <w:rsid w:val="00331854"/>
    <w:rsid w:val="00332B44"/>
    <w:rsid w:val="00332E8D"/>
    <w:rsid w:val="00347FB6"/>
    <w:rsid w:val="0035299E"/>
    <w:rsid w:val="003540BE"/>
    <w:rsid w:val="0035710A"/>
    <w:rsid w:val="00365AE9"/>
    <w:rsid w:val="003675B2"/>
    <w:rsid w:val="00370A21"/>
    <w:rsid w:val="003836DC"/>
    <w:rsid w:val="003A2B73"/>
    <w:rsid w:val="003A39E2"/>
    <w:rsid w:val="003B2256"/>
    <w:rsid w:val="003B42C5"/>
    <w:rsid w:val="003C04DF"/>
    <w:rsid w:val="003C455B"/>
    <w:rsid w:val="003D1213"/>
    <w:rsid w:val="003D60EF"/>
    <w:rsid w:val="003E3B3F"/>
    <w:rsid w:val="003E5399"/>
    <w:rsid w:val="003F0412"/>
    <w:rsid w:val="003F1650"/>
    <w:rsid w:val="003F33B2"/>
    <w:rsid w:val="00401375"/>
    <w:rsid w:val="00404F89"/>
    <w:rsid w:val="00406497"/>
    <w:rsid w:val="00412C2F"/>
    <w:rsid w:val="00431153"/>
    <w:rsid w:val="00434A4D"/>
    <w:rsid w:val="00435423"/>
    <w:rsid w:val="00437520"/>
    <w:rsid w:val="00437882"/>
    <w:rsid w:val="004413E3"/>
    <w:rsid w:val="0044162B"/>
    <w:rsid w:val="00444757"/>
    <w:rsid w:val="004454B6"/>
    <w:rsid w:val="004460D5"/>
    <w:rsid w:val="00465FAE"/>
    <w:rsid w:val="00471734"/>
    <w:rsid w:val="00472ADC"/>
    <w:rsid w:val="0047529F"/>
    <w:rsid w:val="00485080"/>
    <w:rsid w:val="004861DC"/>
    <w:rsid w:val="00492EA5"/>
    <w:rsid w:val="004A2721"/>
    <w:rsid w:val="004B1480"/>
    <w:rsid w:val="004B24BC"/>
    <w:rsid w:val="004B55B5"/>
    <w:rsid w:val="004B7C99"/>
    <w:rsid w:val="004D1A62"/>
    <w:rsid w:val="004D4088"/>
    <w:rsid w:val="004D4A4C"/>
    <w:rsid w:val="004D7564"/>
    <w:rsid w:val="004E25E3"/>
    <w:rsid w:val="004E27BC"/>
    <w:rsid w:val="004E2C1E"/>
    <w:rsid w:val="004E71D3"/>
    <w:rsid w:val="00507CC9"/>
    <w:rsid w:val="00511BBD"/>
    <w:rsid w:val="00512EDA"/>
    <w:rsid w:val="00515959"/>
    <w:rsid w:val="005162E0"/>
    <w:rsid w:val="005252BC"/>
    <w:rsid w:val="005263E4"/>
    <w:rsid w:val="00527CC9"/>
    <w:rsid w:val="00542FA0"/>
    <w:rsid w:val="00546EBE"/>
    <w:rsid w:val="00552B6E"/>
    <w:rsid w:val="00554F16"/>
    <w:rsid w:val="00555D7D"/>
    <w:rsid w:val="00557E65"/>
    <w:rsid w:val="00571308"/>
    <w:rsid w:val="00571C8D"/>
    <w:rsid w:val="005746EA"/>
    <w:rsid w:val="005772FF"/>
    <w:rsid w:val="00580B46"/>
    <w:rsid w:val="005837A5"/>
    <w:rsid w:val="005837EF"/>
    <w:rsid w:val="00583C47"/>
    <w:rsid w:val="005948C5"/>
    <w:rsid w:val="005959BE"/>
    <w:rsid w:val="00597070"/>
    <w:rsid w:val="005A15D1"/>
    <w:rsid w:val="005A263A"/>
    <w:rsid w:val="005A3AD4"/>
    <w:rsid w:val="005A4793"/>
    <w:rsid w:val="005B1A28"/>
    <w:rsid w:val="005B2165"/>
    <w:rsid w:val="005B6E61"/>
    <w:rsid w:val="005C16ED"/>
    <w:rsid w:val="005C3CEF"/>
    <w:rsid w:val="005C6E25"/>
    <w:rsid w:val="005C735A"/>
    <w:rsid w:val="005D0CF7"/>
    <w:rsid w:val="005D14A2"/>
    <w:rsid w:val="005D3A32"/>
    <w:rsid w:val="005D611D"/>
    <w:rsid w:val="005E7059"/>
    <w:rsid w:val="006069BA"/>
    <w:rsid w:val="0061156B"/>
    <w:rsid w:val="0061474E"/>
    <w:rsid w:val="00615834"/>
    <w:rsid w:val="00622950"/>
    <w:rsid w:val="00627872"/>
    <w:rsid w:val="006323CD"/>
    <w:rsid w:val="006427C1"/>
    <w:rsid w:val="00653817"/>
    <w:rsid w:val="006555C8"/>
    <w:rsid w:val="0065752D"/>
    <w:rsid w:val="00657C2B"/>
    <w:rsid w:val="006651FA"/>
    <w:rsid w:val="00665C4C"/>
    <w:rsid w:val="00667743"/>
    <w:rsid w:val="00670903"/>
    <w:rsid w:val="0069656D"/>
    <w:rsid w:val="006A0DBF"/>
    <w:rsid w:val="006A1057"/>
    <w:rsid w:val="006A4FB3"/>
    <w:rsid w:val="006A70A3"/>
    <w:rsid w:val="006B42AA"/>
    <w:rsid w:val="006B51AA"/>
    <w:rsid w:val="006C2C86"/>
    <w:rsid w:val="006C38A9"/>
    <w:rsid w:val="006E09FA"/>
    <w:rsid w:val="006E55A5"/>
    <w:rsid w:val="006F1545"/>
    <w:rsid w:val="006F3373"/>
    <w:rsid w:val="00701862"/>
    <w:rsid w:val="00705DD2"/>
    <w:rsid w:val="007100F0"/>
    <w:rsid w:val="00716BBE"/>
    <w:rsid w:val="0072189E"/>
    <w:rsid w:val="007229FC"/>
    <w:rsid w:val="00727879"/>
    <w:rsid w:val="00730348"/>
    <w:rsid w:val="0073128B"/>
    <w:rsid w:val="00740542"/>
    <w:rsid w:val="00740FE5"/>
    <w:rsid w:val="00742C89"/>
    <w:rsid w:val="00742F8C"/>
    <w:rsid w:val="00744FFA"/>
    <w:rsid w:val="00745B94"/>
    <w:rsid w:val="0075293A"/>
    <w:rsid w:val="0076475F"/>
    <w:rsid w:val="00764895"/>
    <w:rsid w:val="00767F84"/>
    <w:rsid w:val="00781D0F"/>
    <w:rsid w:val="007A7428"/>
    <w:rsid w:val="007B16BD"/>
    <w:rsid w:val="007B2559"/>
    <w:rsid w:val="007C1ACD"/>
    <w:rsid w:val="007C7340"/>
    <w:rsid w:val="007D6109"/>
    <w:rsid w:val="007E31C2"/>
    <w:rsid w:val="007E49CA"/>
    <w:rsid w:val="007E4BD7"/>
    <w:rsid w:val="007E5797"/>
    <w:rsid w:val="007F1B27"/>
    <w:rsid w:val="0080117A"/>
    <w:rsid w:val="00803DEB"/>
    <w:rsid w:val="00803EC5"/>
    <w:rsid w:val="008110C0"/>
    <w:rsid w:val="00821B46"/>
    <w:rsid w:val="0082311F"/>
    <w:rsid w:val="00825B94"/>
    <w:rsid w:val="0084187E"/>
    <w:rsid w:val="0085135C"/>
    <w:rsid w:val="00854869"/>
    <w:rsid w:val="00863FBE"/>
    <w:rsid w:val="00864439"/>
    <w:rsid w:val="008702C8"/>
    <w:rsid w:val="00885A6B"/>
    <w:rsid w:val="008875EB"/>
    <w:rsid w:val="008913CF"/>
    <w:rsid w:val="00895402"/>
    <w:rsid w:val="00895545"/>
    <w:rsid w:val="008958D8"/>
    <w:rsid w:val="00895BF6"/>
    <w:rsid w:val="00896EAC"/>
    <w:rsid w:val="008A1836"/>
    <w:rsid w:val="008A3635"/>
    <w:rsid w:val="008A3CD0"/>
    <w:rsid w:val="008B1082"/>
    <w:rsid w:val="008B632B"/>
    <w:rsid w:val="008C30C5"/>
    <w:rsid w:val="008C6AE4"/>
    <w:rsid w:val="008D1B7D"/>
    <w:rsid w:val="008D4CC5"/>
    <w:rsid w:val="008D72C8"/>
    <w:rsid w:val="008E1171"/>
    <w:rsid w:val="008E2886"/>
    <w:rsid w:val="008E2AF0"/>
    <w:rsid w:val="008E35D9"/>
    <w:rsid w:val="008E67AF"/>
    <w:rsid w:val="008F0557"/>
    <w:rsid w:val="008F078B"/>
    <w:rsid w:val="008F19DF"/>
    <w:rsid w:val="008F5965"/>
    <w:rsid w:val="008F7ADC"/>
    <w:rsid w:val="00900BE1"/>
    <w:rsid w:val="0090112D"/>
    <w:rsid w:val="0090658A"/>
    <w:rsid w:val="009067D7"/>
    <w:rsid w:val="00910CFB"/>
    <w:rsid w:val="00920417"/>
    <w:rsid w:val="00920B70"/>
    <w:rsid w:val="00921870"/>
    <w:rsid w:val="00921F79"/>
    <w:rsid w:val="0092348D"/>
    <w:rsid w:val="009333AA"/>
    <w:rsid w:val="00934876"/>
    <w:rsid w:val="009357F2"/>
    <w:rsid w:val="009411D7"/>
    <w:rsid w:val="00942BCD"/>
    <w:rsid w:val="009466A8"/>
    <w:rsid w:val="00962298"/>
    <w:rsid w:val="00964AD0"/>
    <w:rsid w:val="00966221"/>
    <w:rsid w:val="00970E70"/>
    <w:rsid w:val="00972547"/>
    <w:rsid w:val="00981783"/>
    <w:rsid w:val="00983B18"/>
    <w:rsid w:val="0099111D"/>
    <w:rsid w:val="009A5912"/>
    <w:rsid w:val="009A706A"/>
    <w:rsid w:val="009B4609"/>
    <w:rsid w:val="009B66E7"/>
    <w:rsid w:val="009B72E5"/>
    <w:rsid w:val="009B7E77"/>
    <w:rsid w:val="009C2A1D"/>
    <w:rsid w:val="009C3617"/>
    <w:rsid w:val="009C3AF6"/>
    <w:rsid w:val="009C65F7"/>
    <w:rsid w:val="009D037E"/>
    <w:rsid w:val="009D25F9"/>
    <w:rsid w:val="009D6AAF"/>
    <w:rsid w:val="009E11CF"/>
    <w:rsid w:val="009E19DC"/>
    <w:rsid w:val="009E1E3E"/>
    <w:rsid w:val="00A064C4"/>
    <w:rsid w:val="00A07E99"/>
    <w:rsid w:val="00A11DA4"/>
    <w:rsid w:val="00A147E8"/>
    <w:rsid w:val="00A2079D"/>
    <w:rsid w:val="00A239D9"/>
    <w:rsid w:val="00A23A5A"/>
    <w:rsid w:val="00A304B9"/>
    <w:rsid w:val="00A42337"/>
    <w:rsid w:val="00A42539"/>
    <w:rsid w:val="00A5551A"/>
    <w:rsid w:val="00A63E3D"/>
    <w:rsid w:val="00A660CF"/>
    <w:rsid w:val="00A708BB"/>
    <w:rsid w:val="00A81A71"/>
    <w:rsid w:val="00A94830"/>
    <w:rsid w:val="00A95378"/>
    <w:rsid w:val="00AB16B1"/>
    <w:rsid w:val="00AC3521"/>
    <w:rsid w:val="00AC3699"/>
    <w:rsid w:val="00AD3B87"/>
    <w:rsid w:val="00AE0525"/>
    <w:rsid w:val="00AE7CD7"/>
    <w:rsid w:val="00AF5E57"/>
    <w:rsid w:val="00AF6807"/>
    <w:rsid w:val="00B031F2"/>
    <w:rsid w:val="00B10053"/>
    <w:rsid w:val="00B159AD"/>
    <w:rsid w:val="00B16088"/>
    <w:rsid w:val="00B22B1A"/>
    <w:rsid w:val="00B231AC"/>
    <w:rsid w:val="00B231AD"/>
    <w:rsid w:val="00B243EE"/>
    <w:rsid w:val="00B32DB2"/>
    <w:rsid w:val="00B37707"/>
    <w:rsid w:val="00B40E67"/>
    <w:rsid w:val="00B52466"/>
    <w:rsid w:val="00B545DD"/>
    <w:rsid w:val="00B57909"/>
    <w:rsid w:val="00B61A81"/>
    <w:rsid w:val="00B62FF5"/>
    <w:rsid w:val="00B66F92"/>
    <w:rsid w:val="00B70A2A"/>
    <w:rsid w:val="00B72D9C"/>
    <w:rsid w:val="00B759BB"/>
    <w:rsid w:val="00B81882"/>
    <w:rsid w:val="00B83055"/>
    <w:rsid w:val="00B844B8"/>
    <w:rsid w:val="00B8710E"/>
    <w:rsid w:val="00B97B1F"/>
    <w:rsid w:val="00BA18DE"/>
    <w:rsid w:val="00BC3EE2"/>
    <w:rsid w:val="00BD5B08"/>
    <w:rsid w:val="00BE1AFF"/>
    <w:rsid w:val="00BE30DA"/>
    <w:rsid w:val="00BE44CE"/>
    <w:rsid w:val="00BE6CB8"/>
    <w:rsid w:val="00BF216B"/>
    <w:rsid w:val="00BF3D90"/>
    <w:rsid w:val="00BF6611"/>
    <w:rsid w:val="00BF6843"/>
    <w:rsid w:val="00C00264"/>
    <w:rsid w:val="00C054F4"/>
    <w:rsid w:val="00C22031"/>
    <w:rsid w:val="00C23B8A"/>
    <w:rsid w:val="00C34974"/>
    <w:rsid w:val="00C5198B"/>
    <w:rsid w:val="00C52F6A"/>
    <w:rsid w:val="00C5567E"/>
    <w:rsid w:val="00C56788"/>
    <w:rsid w:val="00C567C8"/>
    <w:rsid w:val="00C61CC4"/>
    <w:rsid w:val="00C64745"/>
    <w:rsid w:val="00C669EB"/>
    <w:rsid w:val="00C72859"/>
    <w:rsid w:val="00C759BC"/>
    <w:rsid w:val="00C824A1"/>
    <w:rsid w:val="00C86B1A"/>
    <w:rsid w:val="00C874EA"/>
    <w:rsid w:val="00C90C3D"/>
    <w:rsid w:val="00C9190A"/>
    <w:rsid w:val="00C95B87"/>
    <w:rsid w:val="00C9660D"/>
    <w:rsid w:val="00CA2151"/>
    <w:rsid w:val="00CA22C0"/>
    <w:rsid w:val="00CB3E81"/>
    <w:rsid w:val="00CC409F"/>
    <w:rsid w:val="00CC6C4B"/>
    <w:rsid w:val="00CC7F99"/>
    <w:rsid w:val="00CD59B9"/>
    <w:rsid w:val="00CF6A1C"/>
    <w:rsid w:val="00D016C8"/>
    <w:rsid w:val="00D0313B"/>
    <w:rsid w:val="00D04260"/>
    <w:rsid w:val="00D0507C"/>
    <w:rsid w:val="00D10E6B"/>
    <w:rsid w:val="00D1661F"/>
    <w:rsid w:val="00D16E38"/>
    <w:rsid w:val="00D2187E"/>
    <w:rsid w:val="00D25526"/>
    <w:rsid w:val="00D269FA"/>
    <w:rsid w:val="00D3152D"/>
    <w:rsid w:val="00D31CCB"/>
    <w:rsid w:val="00D3388C"/>
    <w:rsid w:val="00D338BA"/>
    <w:rsid w:val="00D33BA9"/>
    <w:rsid w:val="00D40F2A"/>
    <w:rsid w:val="00D5662B"/>
    <w:rsid w:val="00D618EA"/>
    <w:rsid w:val="00D62210"/>
    <w:rsid w:val="00D65795"/>
    <w:rsid w:val="00D70AB4"/>
    <w:rsid w:val="00D77A39"/>
    <w:rsid w:val="00D91FF2"/>
    <w:rsid w:val="00D92EB9"/>
    <w:rsid w:val="00D9703A"/>
    <w:rsid w:val="00DA4C32"/>
    <w:rsid w:val="00DA67C2"/>
    <w:rsid w:val="00DA6E94"/>
    <w:rsid w:val="00DB1478"/>
    <w:rsid w:val="00DB4468"/>
    <w:rsid w:val="00DC374A"/>
    <w:rsid w:val="00DC6894"/>
    <w:rsid w:val="00DD57E6"/>
    <w:rsid w:val="00DD75C3"/>
    <w:rsid w:val="00DD7CAB"/>
    <w:rsid w:val="00DE1B7C"/>
    <w:rsid w:val="00DE77DD"/>
    <w:rsid w:val="00DF45C5"/>
    <w:rsid w:val="00DF6DB0"/>
    <w:rsid w:val="00E117E1"/>
    <w:rsid w:val="00E11922"/>
    <w:rsid w:val="00E17FA5"/>
    <w:rsid w:val="00E2597F"/>
    <w:rsid w:val="00E41B7A"/>
    <w:rsid w:val="00E431F5"/>
    <w:rsid w:val="00E53158"/>
    <w:rsid w:val="00E53365"/>
    <w:rsid w:val="00E57E1C"/>
    <w:rsid w:val="00E60194"/>
    <w:rsid w:val="00E61118"/>
    <w:rsid w:val="00E62367"/>
    <w:rsid w:val="00E6768A"/>
    <w:rsid w:val="00E7025B"/>
    <w:rsid w:val="00E71263"/>
    <w:rsid w:val="00E7792A"/>
    <w:rsid w:val="00E813D6"/>
    <w:rsid w:val="00E81F68"/>
    <w:rsid w:val="00E85368"/>
    <w:rsid w:val="00E90474"/>
    <w:rsid w:val="00E928D0"/>
    <w:rsid w:val="00E92923"/>
    <w:rsid w:val="00E92DD5"/>
    <w:rsid w:val="00E93BCA"/>
    <w:rsid w:val="00EA45CF"/>
    <w:rsid w:val="00EA5D38"/>
    <w:rsid w:val="00EB3A6F"/>
    <w:rsid w:val="00EB7B42"/>
    <w:rsid w:val="00EB7D76"/>
    <w:rsid w:val="00EC2271"/>
    <w:rsid w:val="00EC4921"/>
    <w:rsid w:val="00EC7508"/>
    <w:rsid w:val="00ED1D47"/>
    <w:rsid w:val="00ED3C4A"/>
    <w:rsid w:val="00EE1447"/>
    <w:rsid w:val="00EE6922"/>
    <w:rsid w:val="00EE7744"/>
    <w:rsid w:val="00EF1E1C"/>
    <w:rsid w:val="00EF3E76"/>
    <w:rsid w:val="00EF535F"/>
    <w:rsid w:val="00EF7E87"/>
    <w:rsid w:val="00F00EDD"/>
    <w:rsid w:val="00F07002"/>
    <w:rsid w:val="00F11F14"/>
    <w:rsid w:val="00F256DE"/>
    <w:rsid w:val="00F26BCA"/>
    <w:rsid w:val="00F31DF1"/>
    <w:rsid w:val="00F325BB"/>
    <w:rsid w:val="00F32B5A"/>
    <w:rsid w:val="00F406F7"/>
    <w:rsid w:val="00F422E0"/>
    <w:rsid w:val="00F42C73"/>
    <w:rsid w:val="00F42D53"/>
    <w:rsid w:val="00F44428"/>
    <w:rsid w:val="00F53706"/>
    <w:rsid w:val="00F54B69"/>
    <w:rsid w:val="00F5677D"/>
    <w:rsid w:val="00F6144E"/>
    <w:rsid w:val="00F63F96"/>
    <w:rsid w:val="00F6764F"/>
    <w:rsid w:val="00F678F7"/>
    <w:rsid w:val="00F70063"/>
    <w:rsid w:val="00F74199"/>
    <w:rsid w:val="00F762E1"/>
    <w:rsid w:val="00F770D4"/>
    <w:rsid w:val="00F8349E"/>
    <w:rsid w:val="00F836F4"/>
    <w:rsid w:val="00F87FEB"/>
    <w:rsid w:val="00F95FA6"/>
    <w:rsid w:val="00FA5A89"/>
    <w:rsid w:val="00FA7311"/>
    <w:rsid w:val="00FB1CBE"/>
    <w:rsid w:val="00FB35BF"/>
    <w:rsid w:val="00FB6B41"/>
    <w:rsid w:val="00FC4D70"/>
    <w:rsid w:val="00FC4FAB"/>
    <w:rsid w:val="00FC533F"/>
    <w:rsid w:val="00FD65B5"/>
    <w:rsid w:val="00FE58E3"/>
    <w:rsid w:val="00FE6DF7"/>
    <w:rsid w:val="00FE7516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44221"/>
  <w15:docId w15:val="{07383FE0-5E01-4B3A-99CF-D04D6359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7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8E7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0D4B68"/>
  </w:style>
  <w:style w:type="paragraph" w:styleId="ListParagraph">
    <w:name w:val="List Paragraph"/>
    <w:basedOn w:val="Normal"/>
    <w:uiPriority w:val="34"/>
    <w:qFormat/>
    <w:rsid w:val="00211B16"/>
    <w:pPr>
      <w:ind w:left="720"/>
      <w:contextualSpacing/>
    </w:pPr>
  </w:style>
  <w:style w:type="character" w:customStyle="1" w:styleId="article-content">
    <w:name w:val="article-content"/>
    <w:basedOn w:val="DefaultParagraphFont"/>
    <w:rsid w:val="006E09FA"/>
  </w:style>
  <w:style w:type="character" w:styleId="PlaceholderText">
    <w:name w:val="Placeholder Text"/>
    <w:basedOn w:val="DefaultParagraphFont"/>
    <w:uiPriority w:val="99"/>
    <w:semiHidden/>
    <w:rsid w:val="003F04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D1B7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6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6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76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classroom/execucom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rds-www.wharton.upenn.edu/contact-suppor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Box%20Sync\AI%20Team\WRDS%20Classroom\Working%20docs\Teaching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Teaching Note Template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Obopta</dc:creator>
  <cp:lastModifiedBy>Allen (he/him), Tim</cp:lastModifiedBy>
  <cp:revision>2</cp:revision>
  <dcterms:created xsi:type="dcterms:W3CDTF">2021-08-30T16:29:00Z</dcterms:created>
  <dcterms:modified xsi:type="dcterms:W3CDTF">2021-08-30T16:29:00Z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-1781536148</vt:i4>
  </property>
</Properties>
</file>