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2"/>
          <w:szCs w:val="52"/>
        </w:rPr>
        <w:t xml:space="preserve">EU AI ACT CONFORMITY ASSESSMENT HANDBOOK</w:t>
      </w:r>
    </w:p>
    <w:p>
      <w:pPr>
        <w:spacing w:after="300" w:before="300"/>
        <w:jc w:val="center"/>
      </w:pPr>
      <w:r>
        <w:rPr>
          <w:rFonts w:ascii="Calibri" w:cs="Calibri" w:eastAsia="Calibri" w:hAnsi="Calibri"/>
          <w:color w:val="2E5395"/>
          <w:sz w:val="30"/>
          <w:szCs w:val="30"/>
        </w:rPr>
        <w:t xml:space="preserve">A Beginner's Step-by-Step Guide to AI Act Compliance</w:t>
      </w:r>
    </w:p>
    <w:p>
      <w:pPr>
        <w:spacing w:before="200"/>
        <w:jc w:val="center"/>
      </w:pPr>
      <w:r>
        <w:rPr>
          <w:rFonts w:ascii="Calibri" w:cs="Calibri" w:eastAsia="Calibri" w:hAnsi="Calibri"/>
          <w:i/>
          <w:iCs/>
          <w:color w:val="595959"/>
          <w:sz w:val="24"/>
          <w:szCs w:val="24"/>
        </w:rPr>
        <w:t xml:space="preserve">For new risk &amp; AI-compliance professionals conducting or preparing for a conformity assessment under Regulation (EU) 2024/1689, as amended by the Digital Omnibus Regulation (EU) 2026/1744</w:t>
      </w:r>
    </w:p>
    <w:p>
      <w:pPr>
        <w:spacing w:before="800"/>
        <w:jc w:val="center"/>
      </w:pPr>
      <w:r>
        <w:rPr>
          <w:rFonts w:ascii="Calibri" w:cs="Calibri" w:eastAsia="Calibri" w:hAnsi="Calibri"/>
          <w:color w:val="595959"/>
          <w:sz w:val="22"/>
          <w:szCs w:val="22"/>
        </w:rPr>
        <w:t xml:space="preserve">Companion to: EU_AI_Act_Conformity_Toolkit.xlsx</w:t>
      </w:r>
    </w:p>
    <w:p>
      <w:pPr>
        <w:spacing w:before="40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risk/compliance work and to the EU AI Act. It assumes no prior background in AI regulation and builds up from first principles to a full, repeatable conformity assessment process.</w:t>
      </w:r>
    </w:p>
    <w:p>
      <w:pPr>
        <w:spacing w:after="160" w:line="276"/>
      </w:pPr>
      <w:r>
        <w:rPr>
          <w:rFonts w:ascii="Calibri" w:cs="Calibri" w:eastAsia="Calibri" w:hAnsi="Calibri"/>
          <w:sz w:val="22"/>
          <w:szCs w:val="22"/>
        </w:rPr>
        <w:t xml:space="preserve">Before anything else, understand what this document is not. The EU AI Act is a binding law, not a voluntary framework, and a conformity assessment under it is not the same thing as an ISO management-system certification audit. For most high-risk categories the law expects the provider itself to self-assess and self-attest (Annex VI); only a narrower set of cases requires an independent notified body (Annex VII). This handbook teaches that risk-tiered, largely self-assessed compliance journey — not a third-party certification-audit journey.</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Fundamentals: conformity assessment vs. an ISO certification audit vs. simple self-attestation; key terms; the assessor's code of conduct; the compliance journey at a glance.</w:t>
      </w:r>
    </w:p>
    <w:p>
      <w:pPr>
        <w:pStyle w:val="ListParagraph"/>
        <w:numPr>
          <w:ilvl w:val="0"/>
          <w:numId w:val="2"/>
        </w:numPr>
        <w:spacing w:after="100"/>
      </w:pPr>
      <w:r>
        <w:rPr>
          <w:rFonts w:ascii="Calibri" w:cs="Calibri" w:eastAsia="Calibri" w:hAnsi="Calibri"/>
          <w:sz w:val="22"/>
          <w:szCs w:val="22"/>
        </w:rPr>
        <w:t xml:space="preserve">Part Two – Understanding the EU AI Act: why it exists, the 4 risk tiers, conformity assessment routes, the high-risk obligations, CE marking, GPAI obligations, and a prominent callout on the 2026 Digital Omnibus timeline change.</w:t>
      </w:r>
    </w:p>
    <w:p>
      <w:pPr>
        <w:pStyle w:val="ListParagraph"/>
        <w:numPr>
          <w:ilvl w:val="0"/>
          <w:numId w:val="2"/>
        </w:numPr>
        <w:spacing w:after="100"/>
      </w:pPr>
      <w:r>
        <w:rPr>
          <w:rFonts w:ascii="Calibri" w:cs="Calibri" w:eastAsia="Calibri" w:hAnsi="Calibri"/>
          <w:sz w:val="22"/>
          <w:szCs w:val="22"/>
        </w:rPr>
        <w:t xml:space="preserve">Part Three – The conformity assessment journey end to end, from inventorying AI systems through to reassessment after substantial modification.</w:t>
      </w:r>
    </w:p>
    <w:p>
      <w:pPr>
        <w:pStyle w:val="ListParagraph"/>
        <w:numPr>
          <w:ilvl w:val="0"/>
          <w:numId w:val="2"/>
        </w:numPr>
        <w:spacing w:after="100"/>
      </w:pPr>
      <w:r>
        <w:rPr>
          <w:rFonts w:ascii="Calibri" w:cs="Calibri" w:eastAsia="Calibri" w:hAnsi="Calibri"/>
          <w:sz w:val="22"/>
          <w:szCs w:val="22"/>
        </w:rPr>
        <w:t xml:space="preserve">Part Four – Twelve step-by-step walkthroughs, each tied to a fillable template in the companion Excel workbook, "EU_AI_Act_Conformity_Toolkit.xlsx."</w:t>
      </w:r>
    </w:p>
    <w:p>
      <w:pPr>
        <w:pStyle w:val="ListParagraph"/>
        <w:numPr>
          <w:ilvl w:val="0"/>
          <w:numId w:val="2"/>
        </w:numPr>
        <w:spacing w:after="100"/>
      </w:pPr>
      <w:r>
        <w:rPr>
          <w:rFonts w:ascii="Calibri" w:cs="Calibri" w:eastAsia="Calibri" w:hAnsi="Calibri"/>
          <w:sz w:val="22"/>
          <w:szCs w:val="22"/>
        </w:rPr>
        <w:t xml:space="preserve">Part Five – How to reuse and mature the toolkit, and why this particular Regulation requires more frequent re-checking than most.</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Assessment Plan" in the EU AI Act Conformity Toolkit workbook.</w:t>
            </w:r>
          </w:p>
        </w:tc>
      </w:tr>
    </w:tbl>
    <w:p>
      <w:pPr>
        <w:spacing w:after="120"/>
      </w:pPr>
    </w:p>
    <w:p>
      <w:pPr>
        <w:spacing w:after="160" w:line="276"/>
      </w:pPr>
      <w:r>
        <w:rPr>
          <w:rFonts w:ascii="Calibri" w:cs="Calibri" w:eastAsia="Calibri" w:hAnsi="Calibri"/>
          <w:sz w:val="22"/>
          <w:szCs w:val="22"/>
        </w:rPr>
        <w:t xml:space="preserve">This handbook covers both providers (organizations that build or substantially modify an AI system) and deployers (organizations that use one under their own authority), since most in-house compliance teams sit in one role for some systems and the other role for others.</w:t>
      </w:r>
    </w:p>
    <w:p>
      <w:pPr>
        <w:pStyle w:val="Heading1"/>
        <w:spacing w:after="200" w:before="400"/>
      </w:pPr>
      <w:r>
        <w:t xml:space="preserve">Part One – Fundamentals</w:t>
      </w:r>
    </w:p>
    <w:p>
      <w:pPr>
        <w:pStyle w:val="Heading2"/>
        <w:spacing w:after="150" w:before="300"/>
      </w:pPr>
      <w:r>
        <w:t xml:space="preserve">1.1 Conformity Assessment vs. an ISO Certification Audit vs. Self-Attestation</w:t>
      </w:r>
    </w:p>
    <w:p>
      <w:pPr>
        <w:spacing w:after="160" w:line="276"/>
      </w:pPr>
      <w:r>
        <w:rPr>
          <w:rFonts w:ascii="Calibri" w:cs="Calibri" w:eastAsia="Calibri" w:hAnsi="Calibri"/>
          <w:sz w:val="22"/>
          <w:szCs w:val="22"/>
        </w:rPr>
        <w:t xml:space="preserve">These three things are often confused, and beginners frequently import assumptions from one into another. They are genuinely different: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400"/>
      </w:tblGrid>
      <w:tr>
        <w:trPr>
          <w:cantSplit/>
          <w:tblHeader/>
        </w:trPr>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ISO certification audit</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AI Act conformity assessment</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Simple self-attestation</w:t>
            </w:r>
          </w:p>
        </w:tc>
      </w:tr>
      <w:tr>
        <w:trPr>
          <w:cantSplit/>
        </w:trPr>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Who decides the outcome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independent, accredited certification body, based on an audit by its own auditors</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Usually the provider itself (Annex VI); a notified body only for specific cases (Annex VII)</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 alone, with no external verification at all</w:t>
            </w:r>
          </w:p>
        </w:tc>
      </w:tr>
      <w:tr>
        <w:trPr>
          <w:cantSplit/>
        </w:trP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status</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Voluntary; a market/commercial signal, not a legal requirement</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legal obligation under a binding EU Regulation, backed by fines up to 7% of turnover</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a recognized regulatory route for AI Act high-risk systems</w:t>
            </w:r>
          </w:p>
        </w:tc>
      </w:tr>
      <w:tr>
        <w:trPr>
          <w:cantSplit/>
        </w:trPr>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What is produced</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time-limited certificate, reassessed periodically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Declaration of Conformity plus CE marking, valid until the system is substantially modified</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standardized output; no CE marking</w:t>
            </w:r>
          </w:p>
        </w:tc>
      </w:tr>
      <w:tr>
        <w:trPr>
          <w:cantSplit/>
        </w:trPr>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Independent check</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Always — that is the point of certification</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Only for the Annex III point 1 (biometrics) systems that do not fully apply harmonised standards, and for Annex I regulated products under existing sectoral law</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Never</w:t>
            </w:r>
          </w:p>
        </w:tc>
      </w:tr>
    </w:tbl>
    <w:p>
      <w:pPr>
        <w:spacing w:after="160" w:line="276"/>
      </w:pPr>
      <w:r>
        <w:rPr>
          <w:rFonts w:ascii="Calibri" w:cs="Calibri" w:eastAsia="Calibri" w:hAnsi="Calibri"/>
          <w:sz w:val="22"/>
          <w:szCs w:val="22"/>
        </w:rPr>
        <w:t xml:space="preserve">The practical upshot: most of your work under the AI Act will look like building a rigorous internal compliance file and self-certifying against it — closer in spirit to a well-run internal audit than to a Stage 1/Stage 2 ISO certification engagement. Do not assume a notified body will check your work; for most high-risk categories, nobody outside your organization reviews the file before you place the system on the market. That makes your own rigor the only safeguard, and is exactly why this handbook exists.</w:t>
      </w:r>
    </w:p>
    <w:p>
      <w:pPr>
        <w:pStyle w:val="Heading2"/>
        <w:spacing w:after="150" w:before="300"/>
      </w:pPr>
      <w:r>
        <w:t xml:space="preserve">1.2 Key Terms You Need Before You Start</w:t>
      </w:r>
    </w:p>
    <w:p>
      <w:pPr>
        <w:spacing w:after="160" w:line="276"/>
      </w:pPr>
      <w:r>
        <w:rPr>
          <w:rFonts w:ascii="Calibri" w:cs="Calibri" w:eastAsia="Calibri" w:hAnsi="Calibri"/>
          <w:b/>
          <w:bCs/>
          <w:i w:val="false"/>
          <w:iCs w:val="false"/>
          <w:sz w:val="22"/>
          <w:szCs w:val="22"/>
        </w:rPr>
        <w:t xml:space="preserve">Provider: </w:t>
      </w:r>
      <w:r>
        <w:rPr>
          <w:rFonts w:ascii="Calibri" w:cs="Calibri" w:eastAsia="Calibri" w:hAnsi="Calibri"/>
          <w:b w:val="false"/>
          <w:bCs w:val="false"/>
          <w:i w:val="false"/>
          <w:iCs w:val="false"/>
          <w:sz w:val="22"/>
          <w:szCs w:val="22"/>
        </w:rPr>
        <w:t xml:space="preserve">A natural or legal person that develops an AI system or GPAI model, or has one developed, and places it on the market or puts it into service under its own name or trademark.</w:t>
      </w:r>
    </w:p>
    <w:p>
      <w:pPr>
        <w:spacing w:after="160" w:line="276"/>
      </w:pPr>
      <w:r>
        <w:rPr>
          <w:rFonts w:ascii="Calibri" w:cs="Calibri" w:eastAsia="Calibri" w:hAnsi="Calibri"/>
          <w:b/>
          <w:bCs/>
          <w:i w:val="false"/>
          <w:iCs w:val="false"/>
          <w:sz w:val="22"/>
          <w:szCs w:val="22"/>
        </w:rPr>
        <w:t xml:space="preserve">Deployer: </w:t>
      </w:r>
      <w:r>
        <w:rPr>
          <w:rFonts w:ascii="Calibri" w:cs="Calibri" w:eastAsia="Calibri" w:hAnsi="Calibri"/>
          <w:b w:val="false"/>
          <w:bCs w:val="false"/>
          <w:i w:val="false"/>
          <w:iCs w:val="false"/>
          <w:sz w:val="22"/>
          <w:szCs w:val="22"/>
        </w:rPr>
        <w:t xml:space="preserve">A natural or legal person using an AI system under its authority, other than a purely personal, non-professional activity.</w:t>
      </w:r>
    </w:p>
    <w:p>
      <w:pPr>
        <w:spacing w:after="160" w:line="276"/>
      </w:pPr>
      <w:r>
        <w:rPr>
          <w:rFonts w:ascii="Calibri" w:cs="Calibri" w:eastAsia="Calibri" w:hAnsi="Calibri"/>
          <w:b/>
          <w:bCs/>
          <w:i w:val="false"/>
          <w:iCs w:val="false"/>
          <w:sz w:val="22"/>
          <w:szCs w:val="22"/>
        </w:rPr>
        <w:t xml:space="preserve">Authorized representative: </w:t>
      </w:r>
      <w:r>
        <w:rPr>
          <w:rFonts w:ascii="Calibri" w:cs="Calibri" w:eastAsia="Calibri" w:hAnsi="Calibri"/>
          <w:b w:val="false"/>
          <w:bCs w:val="false"/>
          <w:i w:val="false"/>
          <w:iCs w:val="false"/>
          <w:sz w:val="22"/>
          <w:szCs w:val="22"/>
        </w:rPr>
        <w:t xml:space="preserve">A person established in the EU with a written mandate from a non-EU provider to carry out specified compliance tasks on its behalf.</w:t>
      </w:r>
    </w:p>
    <w:p>
      <w:pPr>
        <w:spacing w:after="160" w:line="276"/>
      </w:pPr>
      <w:r>
        <w:rPr>
          <w:rFonts w:ascii="Calibri" w:cs="Calibri" w:eastAsia="Calibri" w:hAnsi="Calibri"/>
          <w:b/>
          <w:bCs/>
          <w:i w:val="false"/>
          <w:iCs w:val="false"/>
          <w:sz w:val="22"/>
          <w:szCs w:val="22"/>
        </w:rPr>
        <w:t xml:space="preserve">Importer / Distributor: </w:t>
      </w:r>
      <w:r>
        <w:rPr>
          <w:rFonts w:ascii="Calibri" w:cs="Calibri" w:eastAsia="Calibri" w:hAnsi="Calibri"/>
          <w:b w:val="false"/>
          <w:bCs w:val="false"/>
          <w:i w:val="false"/>
          <w:iCs w:val="false"/>
          <w:sz w:val="22"/>
          <w:szCs w:val="22"/>
        </w:rPr>
        <w:t xml:space="preserve">An importer places a non-EU provider's system on the EU market; a distributor makes a system available on the EU market without being the provider or importer. Both have defined verification duties.</w:t>
      </w:r>
    </w:p>
    <w:p>
      <w:pPr>
        <w:spacing w:after="160" w:line="276"/>
      </w:pPr>
      <w:r>
        <w:rPr>
          <w:rFonts w:ascii="Calibri" w:cs="Calibri" w:eastAsia="Calibri" w:hAnsi="Calibri"/>
          <w:b/>
          <w:bCs/>
          <w:i w:val="false"/>
          <w:iCs w:val="false"/>
          <w:sz w:val="22"/>
          <w:szCs w:val="22"/>
        </w:rPr>
        <w:t xml:space="preserve">Operator: </w:t>
      </w:r>
      <w:r>
        <w:rPr>
          <w:rFonts w:ascii="Calibri" w:cs="Calibri" w:eastAsia="Calibri" w:hAnsi="Calibri"/>
          <w:b w:val="false"/>
          <w:bCs w:val="false"/>
          <w:i w:val="false"/>
          <w:iCs w:val="false"/>
          <w:sz w:val="22"/>
          <w:szCs w:val="22"/>
        </w:rPr>
        <w:t xml:space="preserve">Umbrella term covering provider, deployer, authorized representative, importer and distributor.</w:t>
      </w:r>
    </w:p>
    <w:p>
      <w:pPr>
        <w:spacing w:after="160" w:line="276"/>
      </w:pPr>
      <w:r>
        <w:rPr>
          <w:rFonts w:ascii="Calibri" w:cs="Calibri" w:eastAsia="Calibri" w:hAnsi="Calibri"/>
          <w:b/>
          <w:bCs/>
          <w:i w:val="false"/>
          <w:iCs w:val="false"/>
          <w:sz w:val="22"/>
          <w:szCs w:val="22"/>
        </w:rPr>
        <w:t xml:space="preserve">Notified body: </w:t>
      </w:r>
      <w:r>
        <w:rPr>
          <w:rFonts w:ascii="Calibri" w:cs="Calibri" w:eastAsia="Calibri" w:hAnsi="Calibri"/>
          <w:b w:val="false"/>
          <w:bCs w:val="false"/>
          <w:i w:val="false"/>
          <w:iCs w:val="false"/>
          <w:sz w:val="22"/>
          <w:szCs w:val="22"/>
        </w:rPr>
        <w:t xml:space="preserve">An independent conformity-assessment organization designated and monitored by an EU Member State, authorized to carry out third-party (Annex VII) conformity assessments.</w:t>
      </w:r>
    </w:p>
    <w:p>
      <w:pPr>
        <w:spacing w:after="160" w:line="276"/>
      </w:pPr>
      <w:r>
        <w:rPr>
          <w:rFonts w:ascii="Calibri" w:cs="Calibri" w:eastAsia="Calibri" w:hAnsi="Calibri"/>
          <w:b/>
          <w:bCs/>
          <w:i w:val="false"/>
          <w:iCs w:val="false"/>
          <w:sz w:val="22"/>
          <w:szCs w:val="22"/>
        </w:rPr>
        <w:t xml:space="preserve">Market surveillance authority (MSA): </w:t>
      </w:r>
      <w:r>
        <w:rPr>
          <w:rFonts w:ascii="Calibri" w:cs="Calibri" w:eastAsia="Calibri" w:hAnsi="Calibri"/>
          <w:b w:val="false"/>
          <w:bCs w:val="false"/>
          <w:i w:val="false"/>
          <w:iCs w:val="false"/>
          <w:sz w:val="22"/>
          <w:szCs w:val="22"/>
        </w:rPr>
        <w:t xml:space="preserve">The national authority responsible for monitoring compliance of AI systems on the market and investigating non-compliance; also acts as the notified body for law-enforcement/migration/asylum authorities in certain cases.</w:t>
      </w:r>
    </w:p>
    <w:p>
      <w:pPr>
        <w:spacing w:after="160" w:line="276"/>
      </w:pPr>
      <w:r>
        <w:rPr>
          <w:rFonts w:ascii="Calibri" w:cs="Calibri" w:eastAsia="Calibri" w:hAnsi="Calibri"/>
          <w:b/>
          <w:bCs/>
          <w:i w:val="false"/>
          <w:iCs w:val="false"/>
          <w:sz w:val="22"/>
          <w:szCs w:val="22"/>
        </w:rPr>
        <w:t xml:space="preserve">High-risk AI system: </w:t>
      </w:r>
      <w:r>
        <w:rPr>
          <w:rFonts w:ascii="Calibri" w:cs="Calibri" w:eastAsia="Calibri" w:hAnsi="Calibri"/>
          <w:b w:val="false"/>
          <w:bCs w:val="false"/>
          <w:i w:val="false"/>
          <w:iCs w:val="false"/>
          <w:sz w:val="22"/>
          <w:szCs w:val="22"/>
        </w:rPr>
        <w:t xml:space="preserve">An AI system that falls within Annex I (a safety component of a regulated product) or Annex III (one of the 8 listed use-case categories), and does not qualify for the Art 6(3) narrow-task carve-out.</w:t>
      </w:r>
    </w:p>
    <w:p>
      <w:pPr>
        <w:spacing w:after="160" w:line="276"/>
      </w:pPr>
      <w:r>
        <w:rPr>
          <w:rFonts w:ascii="Calibri" w:cs="Calibri" w:eastAsia="Calibri" w:hAnsi="Calibri"/>
          <w:b/>
          <w:bCs/>
          <w:i w:val="false"/>
          <w:iCs w:val="false"/>
          <w:sz w:val="22"/>
          <w:szCs w:val="22"/>
        </w:rPr>
        <w:t xml:space="preserve">Conformity assessment: </w:t>
      </w:r>
      <w:r>
        <w:rPr>
          <w:rFonts w:ascii="Calibri" w:cs="Calibri" w:eastAsia="Calibri" w:hAnsi="Calibri"/>
          <w:b w:val="false"/>
          <w:bCs w:val="false"/>
          <w:i w:val="false"/>
          <w:iCs w:val="false"/>
          <w:sz w:val="22"/>
          <w:szCs w:val="22"/>
        </w:rPr>
        <w:t xml:space="preserve">The process of verifying whether the requirements of Chapter III, Section 2 (the high-risk obligations) have been fulfilled, via self-assessment (Annex VI) or notified-body assessment (Annex VII).</w:t>
      </w:r>
    </w:p>
    <w:p>
      <w:pPr>
        <w:spacing w:after="160" w:line="276"/>
      </w:pPr>
      <w:r>
        <w:rPr>
          <w:rFonts w:ascii="Calibri" w:cs="Calibri" w:eastAsia="Calibri" w:hAnsi="Calibri"/>
          <w:sz w:val="22"/>
          <w:szCs w:val="22"/>
        </w:rPr>
        <w:t xml:space="preserve">(The full glossary, including GPAI and post-market terms, appears at the end of this handbook.)</w:t>
      </w:r>
    </w:p>
    <w:p>
      <w:pPr>
        <w:pStyle w:val="Heading2"/>
        <w:spacing w:after="150" w:before="300"/>
      </w:pPr>
      <w:r>
        <w:t xml:space="preserve">1.3 The Assessor's Code of Conduct</w:t>
      </w:r>
    </w:p>
    <w:p>
      <w:pPr>
        <w:spacing w:after="160" w:line="276"/>
      </w:pPr>
      <w:r>
        <w:rPr>
          <w:rFonts w:ascii="Calibri" w:cs="Calibri" w:eastAsia="Calibri" w:hAnsi="Calibri"/>
          <w:sz w:val="22"/>
          <w:szCs w:val="22"/>
        </w:rPr>
        <w:t xml:space="preserve">Even though most AI Act conformity assessment is self-assessment rather than third-party audit, the same professional discipline used in regulated audit work applies — you are still producing a record regulators, courts, and affected individuals may eventually rely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honest and diligent; only take on assessment work you are competent to do, and say so when you are not.</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presentation</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the true state of compliance, including gaps, even when it is inconvenient for a launch timeline.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professional care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diligence and judgement proportionate to the risk tier of the system — a credit-scoring system deserves more scrutiny than a low-risk internal tool.</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 of judgement</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Even as an internal self-assessor, do not let commercial pressure change a risk-tier or conformity-route conclusion.</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Conclusions must rest on verifiable evidence (test results, logs, documentation), not assurances or good intentions.</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approach</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 effort on what matters most: prohibited-practice screening first, then high-risk categories with the greatest potential impact on individuals.</w:t>
            </w:r>
          </w:p>
        </w:tc>
      </w:tr>
    </w:tbl>
    <w:p>
      <w:pPr>
        <w:pStyle w:val="Heading2"/>
        <w:spacing w:after="150" w:before="300"/>
      </w:pPr>
      <w:r>
        <w:t xml:space="preserve">1.4 The Compliance Journey at a Glance</w:t>
      </w:r>
    </w:p>
    <w:p>
      <w:pPr>
        <w:spacing w:after="160" w:line="276"/>
      </w:pPr>
      <w:r>
        <w:rPr>
          <w:rFonts w:ascii="Calibri" w:cs="Calibri" w:eastAsia="Calibri" w:hAnsi="Calibri"/>
          <w:sz w:val="22"/>
          <w:szCs w:val="22"/>
        </w:rPr>
        <w:t xml:space="preserve">Every AI system's journey through the Act follows the same core sequence, elaborated fully in Part Three and put into practice in Part Four.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Inventory &amp; screen</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Catalog every AI system; screen each one against the 9 prohibited practices (Template 3).</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Classify risk tier</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Determine unacceptable / high-risk / limited-risk / minimal-risk status, applying the Art 6(3) narrow-task test where relevant (Template 2).</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Determine route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 high-risk systems, decide Annex VI self-assessment vs. Annex VII notified-body assessment (Template 6).</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Build the compliance backbone</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management system (Art 9), data governance (Art 10), QMS (Art 17) (Template 4).</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Document &amp; assess</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Compile Annex IV technical documentation; complete the conformity assessment (Templates 4, 5).</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Declare &amp; mark</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Issue the Declaration of Conformity; affix CE marking; register in the EU database (Template 6).</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Monitor &amp; maintain</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Post-market monitoring, incident reporting, and reassessment after substantial modification (Templates 9, 10).</w:t>
            </w:r>
          </w:p>
        </w:tc>
      </w:tr>
    </w:tbl>
    <w:p>
      <w:r>
        <w:br w:type="page"/>
      </w:r>
    </w:p>
    <w:p>
      <w:pPr>
        <w:pStyle w:val="Heading1"/>
        <w:spacing w:after="200" w:before="400"/>
      </w:pPr>
      <w:r>
        <w:t xml:space="preserve">Part Two – Understanding the EU AI Act</w:t>
      </w:r>
    </w:p>
    <w:p>
      <w:pPr>
        <w:pStyle w:val="Heading2"/>
        <w:spacing w:after="150" w:before="300"/>
      </w:pPr>
      <w:r>
        <w:t xml:space="preserve">2.1 Why the Act Exists, and When It Applies</w:t>
      </w:r>
    </w:p>
    <w:p>
      <w:pPr>
        <w:spacing w:after="160" w:line="276"/>
      </w:pPr>
      <w:r>
        <w:rPr>
          <w:rFonts w:ascii="Calibri" w:cs="Calibri" w:eastAsia="Calibri" w:hAnsi="Calibri"/>
          <w:sz w:val="22"/>
          <w:szCs w:val="22"/>
        </w:rPr>
        <w:t xml:space="preserve">Regulation (EU) 2024/1689 (the "AI Act") is the first comprehensive, horizontal law regulating artificial intelligence in a major economy. It entered into force on 1 August 2024. Rather than regulating AI as a single category, it uses a risk-tiered approach: the higher the potential for harm to health, safety or fundamental rights, the heavier the legal obligations. It applies to providers and deployers inside the EU, and — with the Act's extraterritorial reach — to providers outside the EU whose AI system's output is used within the EU.</w:t>
      </w:r>
    </w:p>
    <w:p>
      <w:pPr>
        <w:spacing w:after="160" w:line="276"/>
      </w:pPr>
      <w:r>
        <w:rPr>
          <w:rFonts w:ascii="Calibri" w:cs="Calibri" w:eastAsia="Calibri" w:hAnsi="Calibri"/>
          <w:sz w:val="22"/>
          <w:szCs w:val="22"/>
        </w:rPr>
        <w:t xml:space="preserve">On 27 July 2026, the "Digital Omnibus" Regulation (EU) 2026/1744 entered into force, amending the AI Act. It did not change the risk-tier structure, but it postponed several high-risk compliance deadlines, added a ninth prohibited practice, and introduced targeted relief for smaller organizations. Section 2.6 below covers this in full — read it carefully, because a great deal of publicly available material still cites the original, now-superseded 2026/2027 dates.</w:t>
      </w:r>
    </w:p>
    <w:p>
      <w:pPr>
        <w:pStyle w:val="Heading2"/>
        <w:spacing w:after="150" w:before="300"/>
      </w:pPr>
      <w:r>
        <w:t xml:space="preserve">2.2 The Four Risk Tiers</w:t>
      </w:r>
    </w:p>
    <w:p>
      <w:pPr>
        <w:spacing w:after="160" w:line="276"/>
      </w:pPr>
      <w:r>
        <w:rPr>
          <w:rFonts w:ascii="Calibri" w:cs="Calibri" w:eastAsia="Calibri" w:hAnsi="Calibri"/>
          <w:sz w:val="22"/>
          <w:szCs w:val="22"/>
        </w:rPr>
        <w:t xml:space="preserve">Every AI system falls into exactly one of four tiers. Classification (Template 2) is the single most consequential decision in the whole compliance process, because it determines every obligation that follows.</w:t>
      </w:r>
    </w:p>
    <w:p>
      <w:pPr>
        <w:pStyle w:val="Heading3"/>
        <w:spacing w:after="120" w:before="240"/>
      </w:pPr>
      <w:r>
        <w:t xml:space="preserve">Tier 1 — Unacceptable risk (Article 5): prohibited outright</w:t>
      </w:r>
    </w:p>
    <w:p>
      <w:pPr>
        <w:spacing w:after="160" w:line="276"/>
      </w:pPr>
      <w:r>
        <w:rPr>
          <w:rFonts w:ascii="Calibri" w:cs="Calibri" w:eastAsia="Calibri" w:hAnsi="Calibri"/>
          <w:sz w:val="22"/>
          <w:szCs w:val="22"/>
        </w:rPr>
        <w:t xml:space="preserve">Nine practices are banned outright — no amount of documentation or mitigation makes them lawful. If prohibited-practice screening (Template 3) finds a match, the system cannot be placed on the market or put into service in that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6480"/>
      </w:tblGrid>
      <w:tr>
        <w:trPr>
          <w:cantSplit/>
          <w:tblHeader/>
        </w:trPr>
        <w:tc>
          <w:tcPr>
            <w:tcW w:type="dxa" w:w="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3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Practice</w:t>
            </w:r>
          </w:p>
        </w:tc>
        <w:tc>
          <w:tcPr>
            <w:tcW w:type="dxa" w:w="6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3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Subliminal / manipulative / deceptive techniques</w:t>
            </w:r>
          </w:p>
        </w:tc>
        <w:tc>
          <w:tcPr>
            <w:tcW w:type="dxa" w:w="6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Deploying subliminal techniques beyond a person's consciousness, or purposefully manipulative/deceptive techniques, that materially distort behavior and cause (or are reasonably likely to cause) significant harm.</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Exploiting vulnerabilities</w:t>
            </w:r>
          </w:p>
        </w:tc>
        <w:tc>
          <w:tcPr>
            <w:tcW w:type="dxa" w:w="6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Exploiting vulnerabilities due to age, disability, or a specific social or economic situation, in a way that materially distorts behavior and causes (or is reasonably likely to cause) significant harm.</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3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Social scoring</w:t>
            </w:r>
          </w:p>
        </w:tc>
        <w:tc>
          <w:tcPr>
            <w:tcW w:type="dxa" w:w="6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Evaluating or classifying natural persons over time based on social behavior or known/predicted personal characteristics, leading to detrimental or unfavorable treatment that is unjustified or disproportionate.</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Individual crime-risk prediction from profiling alone</w:t>
            </w:r>
          </w:p>
        </w:tc>
        <w:tc>
          <w:tcPr>
            <w:tcW w:type="dxa" w:w="6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the risk of a natural person committing a criminal offense based solely on profiling or personality-trait assessment. Narrow exception: supporting a human assessment based on objective, verifiable facts directly linked to criminal activity.</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3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Untargeted facial-image scraping</w:t>
            </w:r>
          </w:p>
        </w:tc>
        <w:tc>
          <w:tcPr>
            <w:tcW w:type="dxa" w:w="6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Creating or expanding facial-recognition databases through untargeted scraping of facial images from the internet or CCTV footage.</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Emotion inference in workplace/education</w:t>
            </w:r>
          </w:p>
        </w:tc>
        <w:tc>
          <w:tcPr>
            <w:tcW w:type="dxa" w:w="6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Inferring emotions in the workplace or in education institutions, except for medical or safety purposes.</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3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Sensitive biometric categorization</w:t>
            </w:r>
          </w:p>
        </w:tc>
        <w:tc>
          <w:tcPr>
            <w:tcW w:type="dxa" w:w="6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Biometric categorization systems that infer race, political opinions, trade-union membership, religious or philosophical beliefs, sex life, or sexual orientation.</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Real-time remote biometric identification (law enforcement)</w:t>
            </w:r>
          </w:p>
        </w:tc>
        <w:tc>
          <w:tcPr>
            <w:tcW w:type="dxa" w:w="6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Using 'real-time' remote biometric identification in publicly accessible spaces for law enforcement purposes. Narrow exceptions: searching for missing persons, preventing an imminent threat to life, or investigating serious crime, each subject to conditions and authorization.</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3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AI-generated non-consensual intimate imagery / CSAM (NEW — 2026 Digital Omnibus)</w:t>
            </w:r>
          </w:p>
        </w:tc>
        <w:tc>
          <w:tcPr>
            <w:tcW w:type="dxa" w:w="6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Producing or manipulating non-consensual intimate imagery ('nudifiers' and similar tools) and AI-generated child sexual abuse material. Added by Regulation (EU) 2026/1744; compliance required by 2 December 2026.</w:t>
            </w:r>
          </w:p>
        </w:tc>
      </w:tr>
    </w:tbl>
    <w:p>
      <w:pPr>
        <w:pStyle w:val="Heading3"/>
        <w:spacing w:after="120" w:before="240"/>
      </w:pPr>
      <w:r>
        <w:t xml:space="preserve">Tier 2 — High-risk (Article 6 + Annex III, and Annex I products)</w:t>
      </w:r>
    </w:p>
    <w:p>
      <w:pPr>
        <w:spacing w:after="160" w:line="276"/>
      </w:pPr>
      <w:r>
        <w:rPr>
          <w:rFonts w:ascii="Calibri" w:cs="Calibri" w:eastAsia="Calibri" w:hAnsi="Calibri"/>
          <w:sz w:val="22"/>
          <w:szCs w:val="22"/>
        </w:rPr>
        <w:t xml:space="preserve">High-risk systems may be placed on the market, but only after fulfilling the substantial obligation set in Chapter III, Section 2 (Art 9-15 and 17), completing a conformity assessment, and obtaining a Declaration of Conformity and CE marking. Annex III sets out 8 categories of stand-alone high-risk use case; Annex I covers AI embedded as a safety component in products already regulated by other EU product-safety law (e.g. machinery, medical devices, toys).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rPr>
          <w:cantSplit/>
          <w:tblHeader/>
        </w:trPr>
        <w:tc>
          <w:tcPr>
            <w:tcW w:type="dxa" w:w="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Annex III Category</w:t>
            </w:r>
          </w:p>
        </w:tc>
        <w:tc>
          <w:tcPr>
            <w:tcW w:type="dxa" w:w="71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Examples</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Biometrics</w:t>
            </w:r>
          </w:p>
        </w:tc>
        <w:tc>
          <w:tcPr>
            <w:tcW w:type="dxa" w:w="7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Remote biometric identification; biometric categorization of sensitive attributes; emotion recognition. (The one category where Annex VII notified-body assessment can be mandatory — see 2.4.)</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 infrastructure</w:t>
            </w:r>
          </w:p>
        </w:tc>
        <w:tc>
          <w:tcPr>
            <w:tcW w:type="dxa" w:w="7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Safety components in digital infrastructure, road traffic, and the supply of water, gas, heat or electricity.</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Education &amp; vocational training</w:t>
            </w:r>
          </w:p>
        </w:tc>
        <w:tc>
          <w:tcPr>
            <w:tcW w:type="dxa" w:w="7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Admission/access decisions; evaluation of learning outcomes; assessment of appropriate level of education; monitoring/detecting prohibited behavior during exams.</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Employment &amp; worker management</w:t>
            </w:r>
          </w:p>
        </w:tc>
        <w:tc>
          <w:tcPr>
            <w:tcW w:type="dxa" w:w="7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Recruitment or candidate-evaluation tools; decisions affecting work relationships (promotion, termination, task allocation); performance/behavior monitoring.</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Essential private &amp; public services</w:t>
            </w:r>
          </w:p>
        </w:tc>
        <w:tc>
          <w:tcPr>
            <w:tcW w:type="dxa" w:w="7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Eligibility for public assistance benefits; creditworthiness/credit-scoring; risk assessment and pricing for life and health insurance; emergency-call triage and dispatch.</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Law enforcement</w:t>
            </w:r>
          </w:p>
        </w:tc>
        <w:tc>
          <w:tcPr>
            <w:tcW w:type="dxa" w:w="7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Victim risk assessment; polygraph-type tools; evaluating reliability of evidence; assessing risk of offending/reoffending; profiling in the course of criminal investigations.</w:t>
            </w:r>
          </w:p>
        </w:tc>
      </w:tr>
      <w:tr>
        <w:trPr>
          <w:cantSplit/>
        </w:trPr>
        <w:tc>
          <w:tcPr>
            <w:tcW w:type="dxa" w:w="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Migration, asylum &amp; border control</w:t>
            </w:r>
          </w:p>
        </w:tc>
        <w:tc>
          <w:tcPr>
            <w:tcW w:type="dxa" w:w="7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Polygraph-type tools; risk assessment of irregular migration/security/health risk; examination of asylum/visa applications; detection/recognition of persons (except travel-document verification).</w:t>
            </w:r>
          </w:p>
        </w:tc>
      </w:tr>
      <w:tr>
        <w:trPr>
          <w:cantSplit/>
        </w:trP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Administration of justice &amp; democratic processes</w:t>
            </w:r>
          </w:p>
        </w:tc>
        <w:tc>
          <w:tcPr>
            <w:tcW w:type="dxa" w:w="7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Judicial decision-support systems; systems intended to influence the outcome of elections or referenda. (Purely internal administrative tools are excluded.)</w:t>
            </w:r>
          </w:p>
        </w:tc>
      </w:tr>
    </w:tbl>
    <w:p>
      <w:pPr>
        <w:pStyle w:val="Heading3"/>
        <w:spacing w:after="120" w:before="240"/>
      </w:pPr>
      <w:r>
        <w:t xml:space="preserve">The Article 6(3) narrow-task carve-out</w:t>
      </w:r>
    </w:p>
    <w:p>
      <w:pPr>
        <w:spacing w:after="160" w:line="276"/>
      </w:pPr>
      <w:r>
        <w:rPr>
          <w:rFonts w:ascii="Calibri" w:cs="Calibri" w:eastAsia="Calibri" w:hAnsi="Calibri"/>
          <w:sz w:val="22"/>
          <w:szCs w:val="22"/>
        </w:rPr>
        <w:t xml:space="preserve">An Annex III system is not treated as high-risk if it performs only one of the following narrow functions:</w:t>
      </w:r>
    </w:p>
    <w:p>
      <w:pPr>
        <w:pStyle w:val="ListParagraph"/>
        <w:numPr>
          <w:ilvl w:val="0"/>
          <w:numId w:val="2"/>
        </w:numPr>
        <w:spacing w:after="100"/>
      </w:pPr>
      <w:r>
        <w:rPr>
          <w:rFonts w:ascii="Calibri" w:cs="Calibri" w:eastAsia="Calibri" w:hAnsi="Calibri"/>
          <w:sz w:val="22"/>
          <w:szCs w:val="22"/>
        </w:rPr>
        <w:t xml:space="preserve">A narrow procedural task (e.g. converting unstructured data into structured data).</w:t>
      </w:r>
    </w:p>
    <w:p>
      <w:pPr>
        <w:pStyle w:val="ListParagraph"/>
        <w:numPr>
          <w:ilvl w:val="0"/>
          <w:numId w:val="2"/>
        </w:numPr>
        <w:spacing w:after="100"/>
      </w:pPr>
      <w:r>
        <w:rPr>
          <w:rFonts w:ascii="Calibri" w:cs="Calibri" w:eastAsia="Calibri" w:hAnsi="Calibri"/>
          <w:sz w:val="22"/>
          <w:szCs w:val="22"/>
        </w:rPr>
        <w:t xml:space="preserve">Improving the result of a previously completed human activity.</w:t>
      </w:r>
    </w:p>
    <w:p>
      <w:pPr>
        <w:pStyle w:val="ListParagraph"/>
        <w:numPr>
          <w:ilvl w:val="0"/>
          <w:numId w:val="2"/>
        </w:numPr>
        <w:spacing w:after="100"/>
      </w:pPr>
      <w:r>
        <w:rPr>
          <w:rFonts w:ascii="Calibri" w:cs="Calibri" w:eastAsia="Calibri" w:hAnsi="Calibri"/>
          <w:sz w:val="22"/>
          <w:szCs w:val="22"/>
        </w:rPr>
        <w:t xml:space="preserve">Detecting decision-making patterns or deviations from prior patterns, without replacing or influencing a prior human assessment, without proper human review.</w:t>
      </w:r>
    </w:p>
    <w:p>
      <w:pPr>
        <w:pStyle w:val="ListParagraph"/>
        <w:numPr>
          <w:ilvl w:val="0"/>
          <w:numId w:val="2"/>
        </w:numPr>
        <w:spacing w:after="100"/>
      </w:pPr>
      <w:r>
        <w:rPr>
          <w:rFonts w:ascii="Calibri" w:cs="Calibri" w:eastAsia="Calibri" w:hAnsi="Calibri"/>
          <w:sz w:val="22"/>
          <w:szCs w:val="22"/>
        </w:rPr>
        <w:t xml:space="preserve">A preparatory task for an assessment relevant to the purposes of an Annex III use case.</w:t>
      </w:r>
    </w:p>
    <w:p>
      <w:pPr>
        <w:spacing w:after="160" w:line="276"/>
      </w:pPr>
      <w:r>
        <w:rPr>
          <w:rFonts w:ascii="Calibri" w:cs="Calibri" w:eastAsia="Calibri" w:hAnsi="Calibri"/>
          <w:sz w:val="22"/>
          <w:szCs w:val="22"/>
        </w:rPr>
        <w:t xml:space="preserve">However — and this is the exception beginners most often miss — if the system profiles natural persons at any point, it always remains high-risk, regardless of how narrow the task looks. Providers relying on this carve-out must document the self-assessment that supports it, and must still register the system under Article 49(2) even though it is not treated as high-risk. Template 2 walks through this analysis system by system.</w:t>
      </w:r>
    </w:p>
    <w:p>
      <w:pPr>
        <w:pStyle w:val="Heading3"/>
        <w:spacing w:after="120" w:before="240"/>
      </w:pPr>
      <w:r>
        <w:t xml:space="preserve">Tier 3 — Limited risk (Article 50): transparency obligations, regardless of tier</w:t>
      </w:r>
    </w:p>
    <w:p>
      <w:pPr>
        <w:spacing w:after="160" w:line="276"/>
      </w:pPr>
      <w:r>
        <w:rPr>
          <w:rFonts w:ascii="Calibri" w:cs="Calibri" w:eastAsia="Calibri" w:hAnsi="Calibri"/>
          <w:sz w:val="22"/>
          <w:szCs w:val="22"/>
        </w:rPr>
        <w:t xml:space="preserve">These obligations apply on top of whatever tier a system otherwise falls into — a system can be both high-risk and subject to Article 50 transparency duties.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Obligation</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Chatbots / conversational AI (Art 50(1))</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systems intended to interact directly with natural persons must disclose that the person is interacting with an AI system, unless this is obvious from the circumstances.</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Synthetic content marking (Art 50(2))</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Providers of AI systems generating synthetic audio, image, video or text content must ensure outputs are marked in a machine-readable format as artificially generated or manipulated. Narrow exceptions for assistive editing and lawful law-enforcement use.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Emotion recognition / biometric categorization (Art 50(3))</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Deployers of emotion-recognition or biometric-categorization systems must inform natural persons exposed to the system of its operation.</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Deepfakes and AI-generated public-interest text (Art 50(4))</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Deployers must disclose that image/audio/video content is a deepfake, and that AI-generated/manipulated text published to inform the public on matters of public interest is artificially generated. Satire/artistic works are exempt from disruptive labelling; text under editorial human review is exempt.</w:t>
            </w:r>
          </w:p>
        </w:tc>
      </w:tr>
    </w:tbl>
    <w:p>
      <w:pPr>
        <w:pStyle w:val="Heading3"/>
        <w:spacing w:after="120" w:before="240"/>
      </w:pPr>
      <w:r>
        <w:t xml:space="preserve">Tier 4 — Minimal risk</w:t>
      </w:r>
    </w:p>
    <w:p>
      <w:pPr>
        <w:spacing w:after="160" w:line="276"/>
      </w:pPr>
      <w:r>
        <w:rPr>
          <w:rFonts w:ascii="Calibri" w:cs="Calibri" w:eastAsia="Calibri" w:hAnsi="Calibri"/>
          <w:sz w:val="22"/>
          <w:szCs w:val="22"/>
        </w:rPr>
        <w:t xml:space="preserve">The great majority of AI systems in ordinary business use (spam filters, inventory-optimization tools, most recommendation engines) fall here. No obligations beyond voluntary adherence to codes of conduct under Article 95.</w:t>
      </w:r>
    </w:p>
    <w:p>
      <w:pPr>
        <w:pStyle w:val="Heading2"/>
        <w:spacing w:after="150" w:before="300"/>
      </w:pPr>
      <w:r>
        <w:t xml:space="preserve">2.3 Conformity Assessment Routes: Annex VI vs. Annex VII</w:t>
      </w:r>
    </w:p>
    <w:p>
      <w:pPr>
        <w:spacing w:after="160" w:line="276"/>
      </w:pPr>
      <w:r>
        <w:rPr>
          <w:rFonts w:ascii="Calibri" w:cs="Calibri" w:eastAsia="Calibri" w:hAnsi="Calibri"/>
          <w:sz w:val="22"/>
          <w:szCs w:val="22"/>
        </w:rPr>
        <w:t xml:space="preserve">This is where the AI Act most clearly diverges from an ISO-style certification model. The default route for almost every high-risk category is self-assessment — there is no external gatekeeper standing between the provider and the market.</w:t>
      </w:r>
    </w:p>
    <w:p>
      <w:pPr>
        <w:pStyle w:val="ListParagraph"/>
        <w:numPr>
          <w:ilvl w:val="0"/>
          <w:numId w:val="2"/>
        </w:numPr>
        <w:spacing w:after="100"/>
      </w:pPr>
      <w:r>
        <w:rPr>
          <w:rFonts w:ascii="Calibri" w:cs="Calibri" w:eastAsia="Calibri" w:hAnsi="Calibri"/>
          <w:sz w:val="22"/>
          <w:szCs w:val="22"/>
        </w:rPr>
        <w:t xml:space="preserve">Annex III points 2-8 (critical infrastructure through administration of justice/democratic processes): internal control / self-assessment (Annex VI) only. No notified body is involved at all.</w:t>
      </w:r>
    </w:p>
    <w:p>
      <w:pPr>
        <w:pStyle w:val="ListParagraph"/>
        <w:numPr>
          <w:ilvl w:val="0"/>
          <w:numId w:val="2"/>
        </w:numPr>
        <w:spacing w:after="100"/>
      </w:pPr>
      <w:r>
        <w:rPr>
          <w:rFonts w:ascii="Calibri" w:cs="Calibri" w:eastAsia="Calibri" w:hAnsi="Calibri"/>
          <w:sz w:val="22"/>
          <w:szCs w:val="22"/>
        </w:rPr>
        <w:t xml:space="preserve">Annex III point 1 (biometrics): Annex VI self-assessment is permitted only if the provider has fully applied harmonised standards or common specifications covering all applicable requirements. Otherwise, Annex VII notified-body assessment is mandatory — this is the one Annex III category where a genuine third-party gatekeeper can be legally required.</w:t>
      </w:r>
    </w:p>
    <w:p>
      <w:pPr>
        <w:pStyle w:val="ListParagraph"/>
        <w:numPr>
          <w:ilvl w:val="0"/>
          <w:numId w:val="2"/>
        </w:numPr>
        <w:spacing w:after="100"/>
      </w:pPr>
      <w:r>
        <w:rPr>
          <w:rFonts w:ascii="Calibri" w:cs="Calibri" w:eastAsia="Calibri" w:hAnsi="Calibri"/>
          <w:sz w:val="22"/>
          <w:szCs w:val="22"/>
        </w:rPr>
        <w:t xml:space="preserve">Annex I products (AI as a safety component of an already-regulated product, e.g. machinery, medical devices, toys): follow the existing third-party conformity procedures of the underlying sectoral product-safety legislation, not a separate AI Act process.</w:t>
      </w:r>
    </w:p>
    <w:p>
      <w:pPr>
        <w:pStyle w:val="ListParagraph"/>
        <w:numPr>
          <w:ilvl w:val="0"/>
          <w:numId w:val="2"/>
        </w:numPr>
        <w:spacing w:after="100"/>
      </w:pPr>
      <w:r>
        <w:rPr>
          <w:rFonts w:ascii="Calibri" w:cs="Calibri" w:eastAsia="Calibri" w:hAnsi="Calibri"/>
          <w:sz w:val="22"/>
          <w:szCs w:val="22"/>
        </w:rPr>
        <w:t xml:space="preserve">Law enforcement / migration / asylum authorities: where Annex VII would otherwise apply, the relevant market surveillance authority performs the notified-body role instead of a private notified body.</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Reassessment trigger:  </w:t>
            </w:r>
            <w:r>
              <w:rPr>
                <w:rFonts w:ascii="Calibri" w:cs="Calibri" w:eastAsia="Calibri" w:hAnsi="Calibri"/>
                <w:sz w:val="22"/>
                <w:szCs w:val="22"/>
              </w:rPr>
              <w:t xml:space="preserve">A 'substantial modification' — a change not foreseen in the original conformity assessment that affects compliance or the system's intended purpose — requires a brand-new conformity assessment. The exception: pre-determined changes that were already documented in the original technical documentation for a continuously-learning system do not, by themselves, trigger reassessment.</w:t>
            </w:r>
          </w:p>
        </w:tc>
      </w:tr>
    </w:tbl>
    <w:p>
      <w:pPr>
        <w:pStyle w:val="Heading2"/>
        <w:spacing w:after="150" w:before="300"/>
      </w:pPr>
      <w:r>
        <w:t xml:space="preserve">2.4 The High-Risk Obligations (Articles 9-15, 17)</w:t>
      </w:r>
    </w:p>
    <w:p>
      <w:pPr>
        <w:spacing w:after="160" w:line="276"/>
      </w:pPr>
      <w:r>
        <w:rPr>
          <w:rFonts w:ascii="Calibri" w:cs="Calibri" w:eastAsia="Calibri" w:hAnsi="Calibri"/>
          <w:sz w:val="22"/>
          <w:szCs w:val="22"/>
        </w:rPr>
        <w:t xml:space="preserve">These are the substantive requirements every high-risk provider must satisfy before placing a system on the market, regardless of which conformity assessment route applies. Template 4 turns this table into a working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6200"/>
      </w:tblGrid>
      <w:tr>
        <w:trPr>
          <w:cantSplit/>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Article</w:t>
            </w:r>
          </w:p>
        </w:tc>
        <w:tc>
          <w:tcPr>
            <w:tcW w:type="dxa" w:w="2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w:t>
            </w:r>
          </w:p>
        </w:tc>
        <w:tc>
          <w:tcPr>
            <w:tcW w:type="dxa" w:w="6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 (plain language)</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9</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management system</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continuous, iterative process across the lifecycle: identify known and reasonably foreseeable risks, evaluate them, adopt mitigation measures, and test before market placement. Special attention to effects on minors and other vulnerable groups. Residual risk must be judged acceptable.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and data governance</w:t>
            </w:r>
          </w:p>
        </w:tc>
        <w:tc>
          <w:tcPr>
            <w:tcW w:type="dxa" w:w="6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Training, validation and testing data must be relevant, sufficiently representative, and as free of errors and as complete as possible given the intended purpose. Governance covers collection design, annotation/labeling, and examination for possible bias. A narrow exception permits processing special-category data strictly for bias detection/correction, under safeguards.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11 / Annex IV</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Technical documentation</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Documentation drawn up before market placement and kept up to date, covering: general description, development methods/design/architecture, data requirements, performance/limitations/accuracy (including across subgroups), risk-management description, lifecycle change log, harmonised-standards compliance (or the alternative relied on), a copy of the Declaration of Conformity, and the post-market monitoring plan.</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12</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Record-keeping / automatic logging</w:t>
            </w:r>
          </w:p>
        </w:tc>
        <w:tc>
          <w:tcPr>
            <w:tcW w:type="dxa" w:w="6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Automatic logging of events over the system's lifetime to enable traceability. Biometric identification systems have additional logging duties: usage period, database(s) queried, input data matched, identity of the natural persons who verified results.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13</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Transparency &amp; instructions for use</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Systems must be designed to be sufficiently transparent for deployers to interpret output and use it appropriately; instructions for use must cover capabilities, limitations, performance and conditions of use.</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14</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Human oversight</w:t>
            </w:r>
          </w:p>
        </w:tc>
        <w:tc>
          <w:tcPr>
            <w:tcW w:type="dxa" w:w="6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Measures enabling overseers to understand the system's capabilities and limitations, recognize automation bias, correctly interpret output, and intervene or stop the system. Biometric identification systems require verification/confirmation by at least two competent persons before a deployer acts on a match (exemptable for law enforcement/migration/border under conditions).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15</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Accuracy, robustness &amp; cybersecurity</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Systems must achieve an appropriate level of accuracy, robustness and cybersecurity throughout their lifecycle, resilient to errors, faults and attempts to exploit vulnerabilities.</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17</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Quality management system</w:t>
            </w:r>
          </w:p>
        </w:tc>
        <w:tc>
          <w:tcPr>
            <w:tcW w:type="dxa" w:w="6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documented QMS covering regulatory-compliance strategy, design control, testing/validation procedures, technical specifications, data management, the Art 9 risk-management system, post-market monitoring, incident reporting, record-keeping, and accountability — proportionate to the size of the organization. Financial institutions may largely rely on existing sectoral governance arrangements.</w:t>
            </w:r>
          </w:p>
        </w:tc>
      </w:tr>
    </w:tbl>
    <w:p>
      <w:pPr>
        <w:pStyle w:val="Heading2"/>
        <w:spacing w:after="150" w:before="300"/>
      </w:pPr>
      <w:r>
        <w:t xml:space="preserve">2.5 Declaration of Conformity and CE Marking (Articles 47-48)</w:t>
      </w:r>
    </w:p>
    <w:p>
      <w:pPr>
        <w:spacing w:after="160" w:line="276"/>
      </w:pPr>
      <w:r>
        <w:rPr>
          <w:rFonts w:ascii="Calibri" w:cs="Calibri" w:eastAsia="Calibri" w:hAnsi="Calibri"/>
          <w:sz w:val="22"/>
          <w:szCs w:val="22"/>
        </w:rPr>
        <w:t xml:space="preserve">Once the conformity assessment is complete, the provider issues a Declaration of Conformity: a per-system statement confirming compliance with the Chapter III, Section 2 requirements, containing the information specified in Annex V. It must be machine-readable, digitally signed, retained for 10 years, and updated whenever the system changes in a way that affects compliance. Where a system is also subject to other EU legislation, a single consolidated declaration is permitted.</w:t>
      </w:r>
    </w:p>
    <w:p>
      <w:pPr>
        <w:spacing w:after="160" w:line="276"/>
      </w:pPr>
      <w:r>
        <w:rPr>
          <w:rFonts w:ascii="Calibri" w:cs="Calibri" w:eastAsia="Calibri" w:hAnsi="Calibri"/>
          <w:sz w:val="22"/>
          <w:szCs w:val="22"/>
        </w:rPr>
        <w:t xml:space="preserve">The CE mark is then affixed visibly, legibly and indelibly — a digital CE marking is permitted for systems supplied purely digitally. Where a notified body was involved (the Annex VII route), its identification number accompanies the mark. A single CE mark can cover conformity with multiple overlapping EU regulations, so a system that is also, say, a medical device does not need two separate marks.</w:t>
      </w:r>
    </w:p>
    <w:p>
      <w:pPr>
        <w:pStyle w:val="Heading2"/>
        <w:spacing w:after="150" w:before="300"/>
      </w:pPr>
      <w:r>
        <w:t xml:space="preserve">2.6 General-Purpose AI (GPAI) Obligations (Chapter V, Articles 51-56)</w:t>
      </w:r>
    </w:p>
    <w:p>
      <w:pPr>
        <w:spacing w:after="160" w:line="276"/>
      </w:pPr>
      <w:r>
        <w:rPr>
          <w:rFonts w:ascii="Calibri" w:cs="Calibri" w:eastAsia="Calibri" w:hAnsi="Calibri"/>
          <w:sz w:val="22"/>
          <w:szCs w:val="22"/>
        </w:rPr>
        <w:t xml:space="preserve">GPAI models — models with significant generality, capable of competently performing a wide range of distinct tasks, and integrable into many downstream systems — sit in a separate obligation track from the high-risk regime, running on its own timeline (already in effect since 2 August 2025).</w:t>
      </w:r>
    </w:p>
    <w:p>
      <w:pPr>
        <w:pStyle w:val="Heading3"/>
        <w:spacing w:after="120" w:before="240"/>
      </w:pPr>
      <w:r>
        <w:t xml:space="preserve">Standard GPAI obligations (Article 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Obligation</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Technical documentation (Annex XI)</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Maintain up-to-date technical documentation describing the model's training, testing and evaluation.</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Downstream documentation (Annex XII)</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documentation to downstream providers integrating the model, sufficient for them to understand its capabilities and limitations.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Copyright-compliance policy</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Establish a policy to comply with EU copyright law, including honoring rights-reservation (opt-out) mechanisms.</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Training-content summary</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Publish a sufficiently detailed public summary of training content, using the AI Office's official template.</w:t>
            </w:r>
          </w:p>
        </w:tc>
      </w:tr>
    </w:tbl>
    <w:p>
      <w:pPr>
        <w:spacing w:after="160" w:line="276"/>
      </w:pPr>
      <w:r>
        <w:rPr>
          <w:rFonts w:ascii="Calibri" w:cs="Calibri" w:eastAsia="Calibri" w:hAnsi="Calibri"/>
          <w:sz w:val="22"/>
          <w:szCs w:val="22"/>
        </w:rPr>
        <w:t xml:space="preserve">Open-source models with publicly available weights are exempt from the technical-documentation and downstream-documentation duties above — unless the model is classified as carrying systemic risk, in which case the exemption no longer applies.</w:t>
      </w:r>
    </w:p>
    <w:p>
      <w:pPr>
        <w:pStyle w:val="Heading3"/>
        <w:spacing w:after="120" w:before="240"/>
      </w:pPr>
      <w:r>
        <w:t xml:space="preserve">Systemic-risk GPAI obligations (Article 55) — additional to the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Obligation</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Model evaluation</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Conduct standardized model evaluations, including adversarial testing, to identify and characterize systemic risk.</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Systemic risk assessment &amp; mitigation</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 and mitigate systemic risks that may arise or be amplified at Union level.</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Serious-incident tracking &amp; reporting</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document, and report serious incidents and possible corrective measures to the AI Office without undue delay.</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Cybersecurity</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Ensure an adequate level of cybersecurity protection for the model and its physical infrastructure.</w:t>
            </w:r>
          </w:p>
        </w:tc>
      </w:tr>
    </w:tbl>
    <w:p>
      <w:pPr>
        <w:spacing w:after="160" w:line="276"/>
      </w:pPr>
      <w:r>
        <w:rPr>
          <w:rFonts w:ascii="Calibri" w:cs="Calibri" w:eastAsia="Calibri" w:hAnsi="Calibri"/>
          <w:sz w:val="22"/>
          <w:szCs w:val="22"/>
        </w:rPr>
        <w:t xml:space="preserve">Systemic-risk classification (Article 51) is presumed where a model's cumulative training compute exceeds 10^25 FLOPs, or where the Commission designates it as such on other grounds.</w:t>
      </w:r>
    </w:p>
    <w:p>
      <w:r>
        <w:br w:type="page"/>
      </w:r>
    </w:p>
    <w:p>
      <w:pPr>
        <w:pStyle w:val="Heading2"/>
        <w:spacing w:after="150" w:before="300"/>
      </w:pPr>
      <w:r>
        <w:t xml:space="preserve">2.7 CRITICAL: The Digital Omnibus 2026 Timeline Change</w:t>
      </w:r>
    </w:p>
    <w:tbl>
      <w:tblPr>
        <w:tblW w:type="pct" w:w="100%"/>
        <w:tblBorders>
          <w:top w:val="single" w:color="1F3864" w:sz="12"/>
          <w:left w:val="single" w:color="1F3864" w:sz="12"/>
          <w:bottom w:val="single" w:color="1F3864" w:sz="12"/>
          <w:right w:val="single" w:color="1F3864" w:sz="12"/>
          <w:insideH w:val="single" w:color="auto" w:sz="4"/>
          <w:insideV w:val="single" w:color="auto" w:sz="4"/>
        </w:tblBorders>
      </w:tblPr>
      <w:tblGrid>
        <w:gridCol w:w="100"/>
      </w:tblGrid>
      <w:tr>
        <w:trPr>
          <w:cantSplit/>
        </w:trPr>
        <w:tc>
          <w:tcPr>
            <w:shd w:fill="DCE6F1" w:val="clear"/>
            <w:tcMar>
              <w:top w:type="dxa" w:w="160"/>
              <w:left w:type="dxa" w:w="200"/>
              <w:bottom w:type="dxa" w:w="160"/>
              <w:right w:type="dxa" w:w="200"/>
            </w:tcMar>
          </w:tcPr>
          <w:p>
            <w:pPr>
              <w:spacing w:after="120"/>
            </w:pPr>
            <w:r>
              <w:rPr>
                <w:rFonts w:ascii="Calibri" w:cs="Calibri" w:eastAsia="Calibri" w:hAnsi="Calibri"/>
                <w:b/>
                <w:bCs/>
                <w:color w:val="1F3864"/>
                <w:sz w:val="24"/>
                <w:szCs w:val="24"/>
              </w:rPr>
              <w:t xml:space="preserve">READ THIS BEFORE RELYING ON ANY DATE IN THIS HANDBOOK OR ELSEWHERE</w:t>
            </w:r>
          </w:p>
          <w:p>
            <w:pPr>
              <w:spacing w:after="120"/>
            </w:pPr>
            <w:r>
              <w:rPr>
                <w:rFonts w:ascii="Calibri" w:cs="Calibri" w:eastAsia="Calibri" w:hAnsi="Calibri"/>
                <w:sz w:val="22"/>
                <w:szCs w:val="22"/>
              </w:rPr>
              <w:t xml:space="preserve">On 27 July 2026, the Digital Omnibus Regulation (EU) 2026/1744 entered into force and amended the AI Act's compliance timeline. Two deadlines that many still-circulating articles, slide decks and even some compliance tools cite as 2026/2027 have been legally postponed:</w:t>
            </w:r>
          </w:p>
          <w:p>
            <w:pPr>
              <w:spacing w:after="120"/>
            </w:pPr>
            <w:r>
              <w:rPr>
                <w:rFonts w:ascii="Calibri" w:cs="Calibri" w:eastAsia="Calibri" w:hAnsi="Calibri"/>
                <w:sz w:val="22"/>
                <w:szCs w:val="22"/>
              </w:rPr>
              <w:t xml:space="preserve">• Annex III stand-alone high-risk systems (Chapter III obligations): POSTPONED from 2 August 2026 to 2 December 2027.</w:t>
            </w:r>
          </w:p>
          <w:p>
            <w:pPr>
              <w:spacing w:after="120"/>
            </w:pPr>
            <w:r>
              <w:rPr>
                <w:rFonts w:ascii="Calibri" w:cs="Calibri" w:eastAsia="Calibri" w:hAnsi="Calibri"/>
                <w:sz w:val="22"/>
                <w:szCs w:val="22"/>
              </w:rPr>
              <w:t xml:space="preserve">• Annex I embedded/product high-risk systems (Article 6(1)): POSTPONED from 2 August 2027 to 2 August 2028.</w:t>
            </w:r>
          </w:p>
          <w:p>
            <w:pPr>
              <w:spacing w:after="0"/>
            </w:pPr>
            <w:r>
              <w:rPr>
                <w:rFonts w:ascii="Calibri" w:cs="Calibri" w:eastAsia="Calibri" w:hAnsi="Calibri"/>
                <w:sz w:val="22"/>
                <w:szCs w:val="22"/>
              </w:rPr>
              <w:t xml:space="preserve">If a source you are reading states 2 August 2026 or 2 August 2027 for these two milestones, it predates the Digital Omnibus and is now out of date. The dates below are the current, legally binding dates as of August 2026.</w:t>
            </w:r>
          </w:p>
        </w:tc>
      </w:tr>
    </w:tbl>
    <w:p>
      <w:pPr>
        <w:spacing w:after="120"/>
      </w:pPr>
    </w:p>
    <w:p>
      <w:pPr>
        <w:spacing w:after="160" w:line="276"/>
      </w:pPr>
      <w:r>
        <w:rPr>
          <w:rFonts w:ascii="Calibri" w:cs="Calibri" w:eastAsia="Calibri" w:hAnsi="Calibri"/>
          <w:sz w:val="22"/>
          <w:szCs w:val="22"/>
        </w:rPr>
        <w:t xml:space="preserve">The full phased-applicability table, reflecting the Digital Omnibus changes, is as follows. Template 12 turns this into a working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780"/>
        <w:gridCol w:w="2800"/>
      </w:tblGrid>
      <w:tr>
        <w:trPr>
          <w:cantSplit/>
          <w:tblHeader/>
        </w:trPr>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w:t>
            </w:r>
          </w:p>
        </w:tc>
        <w:tc>
          <w:tcPr>
            <w:tcW w:type="dxa" w:w="57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Status</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Aug 2024</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Entry into force of Regulation (EU) 2024/1689</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Feb 2025</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Article 5 prohibited-practices ban takes effect (original 8 practices)</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 — already in effect</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2025</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GPAI obligations (Art 51-56) take effect</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 — already in effect</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2026</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GPAI penalty enforcement begins</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Staggered enforcement detail from the original Act — not an Omnibus change</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2026</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Article 50 transparency obligations take effect</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Unaffected by the Omnibus</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2026</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Grace period ends: machine-readable/watermarking (Art 50(2)) for systems already on the market before 2 Aug 2026</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New grace-period deadline</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2026</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Compliance deadline for the new Art 5(9) prohibition on AI-generated non-consensual intimate imagery / CSAM</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New — added by the Digital Omnibus</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2027</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National AI regulatory sandboxes operational</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2027</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Annex III stand-alone high-risk systems — Chapter III obligations apply</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CHANGED — postponed from 2 Aug 2026</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28 Jan 2028</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Notified bodies must apply for AI Act designation</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2028</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Annex I embedded/product high-risk systems — Art 6(1) obligations apply</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CHANGED — postponed from 2 Aug 2027</w:t>
            </w:r>
          </w:p>
        </w:tc>
      </w:tr>
    </w:tbl>
    <w:p>
      <w:pPr>
        <w:spacing w:after="120"/>
      </w:pP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Caveat — EU database registration timing:  </w:t>
            </w:r>
            <w:r>
              <w:rPr>
                <w:rFonts w:ascii="Calibri" w:cs="Calibri" w:eastAsia="Calibri" w:hAnsi="Calibri"/>
                <w:sz w:val="22"/>
                <w:szCs w:val="22"/>
              </w:rPr>
              <w:t xml:space="preserve">The Article 71 EU database registration window is not separately, explicitly pinned down in the secondary sources used to research this handbook, beyond tracking the Annex III date above. Check ai-act-service-desk.ec.europa.eu for the authoritative registration-opening date before committing to a registration schedule.</w:t>
            </w:r>
          </w:p>
        </w:tc>
      </w:tr>
    </w:tbl>
    <w:p>
      <w:pPr>
        <w:spacing w:after="120"/>
      </w:pPr>
    </w:p>
    <w:p>
      <w:pPr>
        <w:pStyle w:val="Heading3"/>
        <w:spacing w:after="120" w:before="240"/>
      </w:pPr>
      <w:r>
        <w:t xml:space="preserve">Other Digital Omnibus changes worth knowing</w:t>
      </w:r>
    </w:p>
    <w:p>
      <w:pPr>
        <w:pStyle w:val="ListParagraph"/>
        <w:numPr>
          <w:ilvl w:val="0"/>
          <w:numId w:val="2"/>
        </w:numPr>
        <w:spacing w:after="100"/>
      </w:pPr>
      <w:r>
        <w:rPr>
          <w:rFonts w:ascii="Calibri" w:cs="Calibri" w:eastAsia="Calibri" w:hAnsi="Calibri"/>
          <w:sz w:val="22"/>
          <w:szCs w:val="22"/>
        </w:rPr>
        <w:t xml:space="preserve">A new "small mid-cap" relief category (fewer than 750 employees, turnover up to €150m or balance sheet up to €129m) is now eligible for simplified documentation, a proportionate QMS, and priority access to regulatory sandboxes.</w:t>
      </w:r>
    </w:p>
    <w:p>
      <w:pPr>
        <w:pStyle w:val="ListParagraph"/>
        <w:numPr>
          <w:ilvl w:val="0"/>
          <w:numId w:val="2"/>
        </w:numPr>
        <w:spacing w:after="100"/>
      </w:pPr>
      <w:r>
        <w:rPr>
          <w:rFonts w:ascii="Calibri" w:cs="Calibri" w:eastAsia="Calibri" w:hAnsi="Calibri"/>
          <w:sz w:val="22"/>
          <w:szCs w:val="22"/>
        </w:rPr>
        <w:t xml:space="preserve">The AI Office now holds centralized jurisdiction over GPAI-integrated systems and AI systems within very-large-online-platforms, rather than leaving this solely to national authorities.</w:t>
      </w:r>
    </w:p>
    <w:p>
      <w:pPr>
        <w:pStyle w:val="Heading2"/>
        <w:spacing w:after="150" w:before="300"/>
      </w:pPr>
      <w:r>
        <w:t xml:space="preserve">2.8 Penalties (Article 99 — unchanged by the Digital Omnibus)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780"/>
        <w:gridCol w:w="2900"/>
      </w:tblGrid>
      <w:tr>
        <w:trPr>
          <w:cantSplit/>
          <w:tblHeader/>
        </w:trPr>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Violation category</w:t>
            </w:r>
          </w:p>
        </w:tc>
        <w:tc>
          <w:tcPr>
            <w:tcW w:type="dxa" w:w="37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Maximum penalty</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SME/startup relief</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Prohibited-practice violations (Art 5)</w:t>
            </w:r>
          </w:p>
        </w:tc>
        <w:tc>
          <w:tcPr>
            <w:tcW w:type="dxa" w:w="3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€35,000,000 or 7% of worldwide annual turnover, whichever is HIGHER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r>
        <w:trPr>
          <w:cantSplit/>
        </w:trP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Other obligations (Art 16, 22-24, 26, 50, notified-body requirements, etc.)</w:t>
            </w:r>
          </w:p>
        </w:tc>
        <w:tc>
          <w:tcPr>
            <w:tcW w:type="dxa" w:w="3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€15,000,000 or 3% of worldwide annual turnover, whichever is HIGHER</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Supplying incorrect, incomplete or misleading information</w:t>
            </w:r>
          </w:p>
        </w:tc>
        <w:tc>
          <w:tcPr>
            <w:tcW w:type="dxa" w:w="3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€7,500,000 or 1% of worldwide annual turnover, whichever is HIGHER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bl>
    <w:p>
      <w:pPr>
        <w:spacing w:after="160" w:line="276"/>
      </w:pPr>
      <w:r>
        <w:rPr>
          <w:rFonts w:ascii="Calibri" w:cs="Calibri" w:eastAsia="Calibri" w:hAnsi="Calibri"/>
          <w:sz w:val="22"/>
          <w:szCs w:val="22"/>
        </w:rPr>
        <w:t xml:space="preserve">Note the asymmetry in the relief provision: for large organizations, each tier is capped at whichever of the flat amount or the percentage of turnover is HIGHER (so the bigger number applies). For SMEs and startups, each tier is instead capped at whichever of the two is LOWER — a deliberate design to avoid a flat-euro fine being disproportionate to a small company's revenue.</w:t>
      </w:r>
    </w:p>
    <w:p>
      <w:r>
        <w:br w:type="page"/>
      </w:r>
    </w:p>
    <w:p>
      <w:pPr>
        <w:pStyle w:val="Heading1"/>
        <w:spacing w:after="200" w:before="400"/>
      </w:pPr>
      <w:r>
        <w:t xml:space="preserve">Part Three – The Conformity Assessment Journey End to End</w:t>
      </w:r>
    </w:p>
    <w:p>
      <w:pPr>
        <w:pStyle w:val="Heading2"/>
        <w:spacing w:after="150" w:before="300"/>
      </w:pPr>
      <w:r>
        <w:t xml:space="preserve">3.1 The Full Sequence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70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4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c>
          <w:tcPr>
            <w:tcW w:type="dxa" w:w="2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Companion template(s)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Inventory AI systems</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Catalog every AI system the organization provides or deploys, however small or embedded.</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2 - System Inventory</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Screen for prohibited practices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Check every system against the 9 Article 5 practices; halt immediately on any match.</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3 - Prohibited Acts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Classify risk tier</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Determine unacceptable / high-risk / limited-risk / minimal-risk, applying the Art 6(3) narrow-task test for Annex III candidates.</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2 - System Inventory</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Determine assessment route</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 high-risk systems, decide Annex VI self-assessment vs. Annex VII notified-body assessment.</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6 - CE Marking &amp; Reg</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Build the risk management system (Art 9) and QMS (Art 17)</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Establish the continuous risk-management process and the documented quality management system.</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4 - High-Risk Duties</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Compile Annex IV technical documentation</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Assemble the full documentation set required before conformity assessment.</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5 - Annex IV Tech Doc</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Complete the conformity assessment</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Work through Articles 9-15 and 17 obligation by obligation; engage a notified body if the route requires one.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4 - High-Risk Duties</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Issue Declaration of Conformity &amp; affix CE marking</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Sign the Annex V declaration; affix the CE mark (physical or digital).</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6 - CE Marking &amp; Reg</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 Register in the EU database</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Submit the required Annex VIII information (check the AI Act Service Desk for the current registration window).</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6 - CE Marking &amp; Reg</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 Post-market monitoring &amp; incident reporting</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Actively monitor performance in the field; report serious incidents to the AI Office without undue delay.</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10 - Monitoring &amp; Inc</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11. Reassess after substantial modification</w:t>
            </w:r>
          </w:p>
        </w:tc>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Trigger a fresh conformity assessment whenever a change affects compliance or intended purpose.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Template 9 - Findings &amp; Risk</w:t>
            </w:r>
          </w:p>
        </w:tc>
      </w:tr>
    </w:tbl>
    <w:p>
      <w:pPr>
        <w:pStyle w:val="Heading2"/>
        <w:spacing w:after="150" w:before="300"/>
      </w:pPr>
      <w:r>
        <w:t xml:space="preserve">3.2 Who's Involved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cantSplit/>
          <w:tblHeader/>
        </w:trPr>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6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Lead assessor (internal)</w:t>
            </w:r>
          </w:p>
        </w:tc>
        <w:tc>
          <w:tcPr>
            <w:tcW w:type="dxa" w:w="6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Owns the assessment plan, coordinates the team, signs off the final report and recommendation.</w:t>
            </w:r>
          </w:p>
        </w:tc>
      </w:tr>
      <w:tr>
        <w:trPr>
          <w:cantSplit/>
        </w:trP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AI/technical specialist</w:t>
            </w:r>
          </w:p>
        </w:tc>
        <w:tc>
          <w:tcPr>
            <w:tcW w:type="dxa" w:w="6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Supports on specialist topics (e.g. model testing, bias analysis, cybersecurity) without necessarily owning the full assessment.</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governance lead (organization)</w:t>
            </w:r>
          </w:p>
        </w:tc>
        <w:tc>
          <w:tcPr>
            <w:tcW w:type="dxa" w:w="6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main point of contact; usually owns compliance documentation day to day.</w:t>
            </w:r>
          </w:p>
        </w:tc>
      </w:tr>
      <w:tr>
        <w:trPr>
          <w:cantSplit/>
        </w:trP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System/control owners (organization)</w:t>
            </w:r>
          </w:p>
        </w:tc>
        <w:tc>
          <w:tcPr>
            <w:tcW w:type="dxa" w:w="6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 evidence for their specific area (e.g. data governance lead, ML engineering lead, HR for employment-related systems).</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Notified body (only where Annex VII applies)</w:t>
            </w:r>
          </w:p>
        </w:tc>
        <w:tc>
          <w:tcPr>
            <w:tcW w:type="dxa" w:w="6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Independent technical review and issuance of a certificate for the specific system assessed.</w:t>
            </w:r>
          </w:p>
        </w:tc>
      </w:tr>
      <w:tr>
        <w:trPr>
          <w:cantSplit/>
        </w:trP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Market surveillance authority</w:t>
            </w:r>
          </w:p>
        </w:tc>
        <w:tc>
          <w:tcPr>
            <w:tcW w:type="dxa" w:w="6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Monitors compliance post-market; investigates non-compliance; substitutes for a notified body in specific law-enforcement/migration contexts.</w:t>
            </w:r>
          </w:p>
        </w:tc>
      </w:tr>
    </w:tbl>
    <w:p>
      <w:pPr>
        <w:pStyle w:val="Heading2"/>
        <w:spacing w:after="150" w:before="300"/>
      </w:pPr>
      <w:r>
        <w:t xml:space="preserve">3.3 Inventory, Screening and Classification — What Actually Happens</w:t>
      </w:r>
    </w:p>
    <w:p>
      <w:pPr>
        <w:spacing w:after="160" w:line="276"/>
      </w:pPr>
      <w:r>
        <w:rPr>
          <w:rFonts w:ascii="Calibri" w:cs="Calibri" w:eastAsia="Calibri" w:hAnsi="Calibri"/>
          <w:sz w:val="22"/>
          <w:szCs w:val="22"/>
        </w:rPr>
        <w:t xml:space="preserve">Start broad: list every AI system the organization builds, buys, integrates, or uses — including embedded AI inside purchased software that the organization may not think of as "an AI system." For each one, apply the Article 5 screen first (a fast, binary check), then work through risk-tier classification. This ordering matters: there is no point spending days on Annex IV documentation for a system that turns out to be prohibited outright.</w:t>
      </w:r>
    </w:p>
    <w:p>
      <w:pPr>
        <w:pStyle w:val="ListParagraph"/>
        <w:numPr>
          <w:ilvl w:val="0"/>
          <w:numId w:val="2"/>
        </w:numPr>
        <w:spacing w:after="100"/>
      </w:pPr>
      <w:r>
        <w:rPr>
          <w:rFonts w:ascii="Calibri" w:cs="Calibri" w:eastAsia="Calibri" w:hAnsi="Calibri"/>
          <w:sz w:val="22"/>
          <w:szCs w:val="22"/>
        </w:rPr>
        <w:t xml:space="preserve">Cast the net wide during inventory — shadow AI (tools adopted by individual teams without central sign-off) is a common source of unclassified high-risk systems.</w:t>
      </w:r>
    </w:p>
    <w:p>
      <w:pPr>
        <w:pStyle w:val="ListParagraph"/>
        <w:numPr>
          <w:ilvl w:val="0"/>
          <w:numId w:val="2"/>
        </w:numPr>
        <w:spacing w:after="100"/>
      </w:pPr>
      <w:r>
        <w:rPr>
          <w:rFonts w:ascii="Calibri" w:cs="Calibri" w:eastAsia="Calibri" w:hAnsi="Calibri"/>
          <w:sz w:val="22"/>
          <w:szCs w:val="22"/>
        </w:rPr>
        <w:t xml:space="preserve">Document the Art 6(3) narrow-task reasoning in writing even when a system is excluded from high-risk status — regulators may ask to see it, and it must still be registered under Art 49(2).</w:t>
      </w:r>
    </w:p>
    <w:p>
      <w:pPr>
        <w:pStyle w:val="ListParagraph"/>
        <w:numPr>
          <w:ilvl w:val="0"/>
          <w:numId w:val="2"/>
        </w:numPr>
        <w:spacing w:after="100"/>
      </w:pPr>
      <w:r>
        <w:rPr>
          <w:rFonts w:ascii="Calibri" w:cs="Calibri" w:eastAsia="Calibri" w:hAnsi="Calibri"/>
          <w:sz w:val="22"/>
          <w:szCs w:val="22"/>
        </w:rPr>
        <w:t xml:space="preserve">Revisit classification whenever a system's purpose, data, or deployment context changes — classification is not a one-time exercise.</w:t>
      </w:r>
    </w:p>
    <w:p>
      <w:pPr>
        <w:pStyle w:val="Heading2"/>
        <w:spacing w:after="150" w:before="300"/>
      </w:pPr>
      <w:r>
        <w:t xml:space="preserve">3.4 Building the Compliance Backbone</w:t>
      </w:r>
    </w:p>
    <w:p>
      <w:pPr>
        <w:spacing w:after="160" w:line="276"/>
      </w:pPr>
      <w:r>
        <w:rPr>
          <w:rFonts w:ascii="Calibri" w:cs="Calibri" w:eastAsia="Calibri" w:hAnsi="Calibri"/>
          <w:sz w:val="22"/>
          <w:szCs w:val="22"/>
        </w:rPr>
        <w:t xml:space="preserve">For every system classified high-risk, Articles 9 (risk management) and 17 (quality management system) are the backbone everything else hangs off. Build these before attempting to compile Annex IV documentation, because the documentation largely describes these two systems in action. Article 10 data governance should be built alongside Article 9, since data quality and bias mitigation are themselves a major category of the risks Article 9 requires you to manage.</w:t>
      </w:r>
    </w:p>
    <w:p>
      <w:pPr>
        <w:pStyle w:val="Heading2"/>
        <w:spacing w:after="150" w:before="300"/>
      </w:pPr>
      <w:r>
        <w:t xml:space="preserve">3.5 Completing the Assessment, Declaring, and Registering</w:t>
      </w:r>
    </w:p>
    <w:p>
      <w:pPr>
        <w:spacing w:after="160" w:line="276"/>
      </w:pPr>
      <w:r>
        <w:rPr>
          <w:rFonts w:ascii="Calibri" w:cs="Calibri" w:eastAsia="Calibri" w:hAnsi="Calibri"/>
          <w:sz w:val="22"/>
          <w:szCs w:val="22"/>
        </w:rPr>
        <w:t xml:space="preserve">With the technical documentation compiled and the Article 9-15/17 obligations satisfied, the provider completes the conformity assessment (self-assessment for most Annex III categories; notified-body assessment for the narrower biometrics case described in 2.3), signs the Declaration of Conformity, affixes CE marking, and registers the system in the EU database before placing it on the market or putting it into service.</w:t>
      </w:r>
    </w:p>
    <w:p>
      <w:pPr>
        <w:pStyle w:val="Heading2"/>
        <w:spacing w:after="150" w:before="300"/>
      </w:pPr>
      <w:r>
        <w:t xml:space="preserve">3.6 Post-Market Life: Monitoring, Incidents, and Reassessment</w:t>
      </w:r>
    </w:p>
    <w:p>
      <w:pPr>
        <w:spacing w:after="160" w:line="276"/>
      </w:pPr>
      <w:r>
        <w:rPr>
          <w:rFonts w:ascii="Calibri" w:cs="Calibri" w:eastAsia="Calibri" w:hAnsi="Calibri"/>
          <w:sz w:val="22"/>
          <w:szCs w:val="22"/>
        </w:rPr>
        <w:t xml:space="preserve">Compliance does not end at market placement. Article 72 requires active post-market monitoring for the system's full lifetime; serious incidents must be tracked and reported. Any substantial modification — a materially different training regime, a new intended purpose, a significant architecture change — resets the clock and requires a new conformity assessment, unless the change was already documented as a pre-determined update path in the original technical documentation.</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"EU_AI_Act_Conformity_Toolkit.xlsx." Work through them in order the first time; on future engagements, jump straight to the tab you need.</w:t>
      </w:r>
    </w:p>
    <w:p>
      <w:pPr>
        <w:pStyle w:val="Heading2"/>
        <w:spacing w:after="150" w:before="300"/>
      </w:pPr>
      <w:r>
        <w:t xml:space="preserve">Walkthrough A: Building the Conformity Assessment Plan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Assessment Plan"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mandate ("make sure we comply with the AI Act")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assessment engagement — an initial compliance push or a periodic review.</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Confirm which AI systems and which roles (provider, deployer, or both) are in scope.</w:t>
      </w:r>
    </w:p>
    <w:p>
      <w:pPr>
        <w:pStyle w:val="ListParagraph"/>
        <w:numPr>
          <w:ilvl w:val="0"/>
          <w:numId w:val="3"/>
        </w:numPr>
        <w:spacing w:after="100"/>
      </w:pPr>
      <w:r>
        <w:rPr>
          <w:rFonts w:ascii="Calibri" w:cs="Calibri" w:eastAsia="Calibri" w:hAnsi="Calibri"/>
          <w:sz w:val="22"/>
          <w:szCs w:val="22"/>
        </w:rPr>
        <w:t xml:space="preserve">Define the assessment objectives — typically: classify every in-scope system's risk tier, determine its conformity assessment route, and confirm readiness for a Declaration of Conformity.</w:t>
      </w:r>
    </w:p>
    <w:p>
      <w:pPr>
        <w:pStyle w:val="ListParagraph"/>
        <w:numPr>
          <w:ilvl w:val="0"/>
          <w:numId w:val="3"/>
        </w:numPr>
        <w:spacing w:after="100"/>
      </w:pPr>
      <w:r>
        <w:rPr>
          <w:rFonts w:ascii="Calibri" w:cs="Calibri" w:eastAsia="Calibri" w:hAnsi="Calibri"/>
          <w:sz w:val="22"/>
          <w:szCs w:val="22"/>
        </w:rPr>
        <w:t xml:space="preserve">Define the assessment criteria: Regulation (EU) 2024/1689 as amended by Regulation (EU) 2026/1744, plus the relevant Articles and Annexes for the systems in scope.</w:t>
      </w:r>
    </w:p>
    <w:p>
      <w:pPr>
        <w:pStyle w:val="ListParagraph"/>
        <w:numPr>
          <w:ilvl w:val="0"/>
          <w:numId w:val="3"/>
        </w:numPr>
        <w:spacing w:after="100"/>
      </w:pPr>
      <w:r>
        <w:rPr>
          <w:rFonts w:ascii="Calibri" w:cs="Calibri" w:eastAsia="Calibri" w:hAnsi="Calibri"/>
          <w:sz w:val="22"/>
          <w:szCs w:val="22"/>
        </w:rPr>
        <w:t xml:space="preserve">Assign a competent team; note any technical experts needed (e.g. someone who can evaluate model bias testing or cybersecurity controls).</w:t>
      </w:r>
    </w:p>
    <w:p>
      <w:pPr>
        <w:pStyle w:val="ListParagraph"/>
        <w:numPr>
          <w:ilvl w:val="0"/>
          <w:numId w:val="3"/>
        </w:numPr>
        <w:spacing w:after="100"/>
      </w:pPr>
      <w:r>
        <w:rPr>
          <w:rFonts w:ascii="Calibri" w:cs="Calibri" w:eastAsia="Calibri" w:hAnsi="Calibri"/>
          <w:sz w:val="22"/>
          <w:szCs w:val="22"/>
        </w:rPr>
        <w:t xml:space="preserve">Set a realistic schedule, keeping the Digital Omnibus deadlines from Section 2.7 firmly in view.</w:t>
      </w:r>
    </w:p>
    <w:p>
      <w:pPr>
        <w:pStyle w:val="ListParagraph"/>
        <w:numPr>
          <w:ilvl w:val="0"/>
          <w:numId w:val="3"/>
        </w:numPr>
        <w:spacing w:after="100"/>
      </w:pPr>
      <w:r>
        <w:rPr>
          <w:rFonts w:ascii="Calibri" w:cs="Calibri" w:eastAsia="Calibri" w:hAnsi="Calibri"/>
          <w:sz w:val="22"/>
          <w:szCs w:val="22"/>
        </w:rPr>
        <w:t xml:space="preserve">Fill in the day-by-day schedule grid in the template, listing each workstream against a planned date and assigned assessor.</w:t>
      </w:r>
    </w:p>
    <w:p>
      <w:pPr>
        <w:pStyle w:val="ListParagraph"/>
        <w:numPr>
          <w:ilvl w:val="0"/>
          <w:numId w:val="3"/>
        </w:numPr>
        <w:spacing w:after="100"/>
      </w:pPr>
      <w:r>
        <w:rPr>
          <w:rFonts w:ascii="Calibri" w:cs="Calibri" w:eastAsia="Calibri" w:hAnsi="Calibri"/>
          <w:sz w:val="22"/>
          <w:szCs w:val="22"/>
        </w:rPr>
        <w:t xml:space="preserve">Confirm logistics with the organization's AI governance lead (system access, interviewee availability, remote/on-site mix).</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60-person company providing an AI-powered candidate-screening product for employers, and separately deploying a third-party emergency-call triage tool under contract to a public authority, scopes an engagement covering both roles: provider of the screening product, deployer of the triage tool. Objectives: classify both systems, determine conformity route for the screening product (which the company itself develops), and confirm the triage-tool deployer obligations are met.</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scope only the systems the organization built in-house — deployer obligations for purchased or integrated third-party AI are real obligations too, and are easy to miss.</w:t>
      </w:r>
    </w:p>
    <w:p>
      <w:pPr>
        <w:pStyle w:val="ListParagraph"/>
        <w:numPr>
          <w:ilvl w:val="0"/>
          <w:numId w:val="2"/>
        </w:numPr>
        <w:spacing w:after="100"/>
      </w:pPr>
      <w:r>
        <w:rPr>
          <w:rFonts w:ascii="Calibri" w:cs="Calibri" w:eastAsia="Calibri" w:hAnsi="Calibri"/>
          <w:sz w:val="22"/>
          <w:szCs w:val="22"/>
        </w:rPr>
        <w:t xml:space="preserve">Under-resourcing the plan (e.g. one person, two days, for an organization running a dozen AI systems across HR, credit, and customer service) is the most common root cause of an incomplete assessment — size the plan to the number of systems in scope.</w:t>
      </w:r>
    </w:p>
    <w:p>
      <w:pPr>
        <w:spacing w:after="200"/>
      </w:pPr>
    </w:p>
    <w:p>
      <w:pPr>
        <w:pStyle w:val="Heading2"/>
        <w:spacing w:after="150" w:before="300"/>
      </w:pPr>
      <w:r>
        <w:t xml:space="preserve">Walkthrough B: Inventorying Systems and Classifying Risk Tier</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System Inventory"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complete, defensible risk-tier classification for every AI system in scope, including the Art 6(3) narrow-task analysis.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planning, before any deeper compliance work begins.</w:t>
      </w:r>
    </w:p>
    <w:p>
      <w:pPr>
        <w:pStyle w:val="Heading3"/>
        <w:spacing w:after="120" w:before="240"/>
      </w:pPr>
      <w:r>
        <w:t xml:space="preserve">Steps</w:t>
      </w:r>
    </w:p>
    <w:p>
      <w:pPr>
        <w:pStyle w:val="ListParagraph"/>
        <w:numPr>
          <w:ilvl w:val="0"/>
          <w:numId w:val="4"/>
        </w:numPr>
        <w:spacing w:after="100"/>
      </w:pPr>
      <w:r>
        <w:rPr>
          <w:rFonts w:ascii="Calibri" w:cs="Calibri" w:eastAsia="Calibri" w:hAnsi="Calibri"/>
          <w:sz w:val="22"/>
          <w:szCs w:val="22"/>
        </w:rPr>
        <w:t xml:space="preserve">List every AI system the organization provides or deploys — including embedded/purchased AI easy to overlook (e.g. AI features inside HR or CRM software).</w:t>
      </w:r>
    </w:p>
    <w:p>
      <w:pPr>
        <w:pStyle w:val="ListParagraph"/>
        <w:numPr>
          <w:ilvl w:val="0"/>
          <w:numId w:val="4"/>
        </w:numPr>
        <w:spacing w:after="100"/>
      </w:pPr>
      <w:r>
        <w:rPr>
          <w:rFonts w:ascii="Calibri" w:cs="Calibri" w:eastAsia="Calibri" w:hAnsi="Calibri"/>
          <w:sz w:val="22"/>
          <w:szCs w:val="22"/>
        </w:rPr>
        <w:t xml:space="preserve">For each system, write a plain-language description of its purpose and how it is used.</w:t>
      </w:r>
    </w:p>
    <w:p>
      <w:pPr>
        <w:pStyle w:val="ListParagraph"/>
        <w:numPr>
          <w:ilvl w:val="0"/>
          <w:numId w:val="4"/>
        </w:numPr>
        <w:spacing w:after="100"/>
      </w:pPr>
      <w:r>
        <w:rPr>
          <w:rFonts w:ascii="Calibri" w:cs="Calibri" w:eastAsia="Calibri" w:hAnsi="Calibri"/>
          <w:sz w:val="22"/>
          <w:szCs w:val="22"/>
        </w:rPr>
        <w:t xml:space="preserve">Check whether the system matches any Annex III category (or Annex I product-safety context); record the category if so.</w:t>
      </w:r>
    </w:p>
    <w:p>
      <w:pPr>
        <w:pStyle w:val="ListParagraph"/>
        <w:numPr>
          <w:ilvl w:val="0"/>
          <w:numId w:val="4"/>
        </w:numPr>
        <w:spacing w:after="100"/>
      </w:pPr>
      <w:r>
        <w:rPr>
          <w:rFonts w:ascii="Calibri" w:cs="Calibri" w:eastAsia="Calibri" w:hAnsi="Calibri"/>
          <w:sz w:val="22"/>
          <w:szCs w:val="22"/>
        </w:rPr>
        <w:t xml:space="preserve">For Annex III matches, apply the Art 6(3) narrow-task test: does it perform only a narrow procedural task, improve a completed human task, detect deviations without replacing judgment, or a preparatory task — AND does it avoid profiling natural persons? If profiling occurs, the system is high-risk regardless of how narrow the task looks.</w:t>
      </w:r>
    </w:p>
    <w:p>
      <w:pPr>
        <w:pStyle w:val="ListParagraph"/>
        <w:numPr>
          <w:ilvl w:val="0"/>
          <w:numId w:val="4"/>
        </w:numPr>
        <w:spacing w:after="100"/>
      </w:pPr>
      <w:r>
        <w:rPr>
          <w:rFonts w:ascii="Calibri" w:cs="Calibri" w:eastAsia="Calibri" w:hAnsi="Calibri"/>
          <w:sz w:val="22"/>
          <w:szCs w:val="22"/>
        </w:rPr>
        <w:t xml:space="preserve">Record the resulting tier: unacceptable, high-risk, limited-risk (transparency), or minimal-risk.</w:t>
      </w:r>
    </w:p>
    <w:p>
      <w:pPr>
        <w:pStyle w:val="ListParagraph"/>
        <w:numPr>
          <w:ilvl w:val="0"/>
          <w:numId w:val="4"/>
        </w:numPr>
        <w:spacing w:after="100"/>
      </w:pPr>
      <w:r>
        <w:rPr>
          <w:rFonts w:ascii="Calibri" w:cs="Calibri" w:eastAsia="Calibri" w:hAnsi="Calibri"/>
          <w:sz w:val="22"/>
          <w:szCs w:val="22"/>
        </w:rPr>
        <w:t xml:space="preserve">Note whether Article 49(2) registration is required (mandatory for high-risk systems; also required for systems excluded from high-risk status via the Art 6(3) carve-out).</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System: 'ScreenSmart v3', an AI candidate-screening tool. Annex III match: category 4 (Employment/worker management — recruitment/candidate evaluation). Art 6(3) analysis: the system produces substantive scoring of individual applicants (not a narrow procedural task) and profiles individual candidates directly — the profiling fact alone means the carve-out does not apply. Resulting tier: High-risk. Registration: required under Art 49(2).</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 not stop at 'it's just a scoring tool, not a decision-maker' — if human reviewers routinely accept the AI's recommendation without meaningful independent judgment, the system functions as the decision, and regulators will treat it as such.</w:t>
      </w:r>
    </w:p>
    <w:p>
      <w:pPr>
        <w:pStyle w:val="ListParagraph"/>
        <w:numPr>
          <w:ilvl w:val="0"/>
          <w:numId w:val="2"/>
        </w:numPr>
        <w:spacing w:after="100"/>
      </w:pPr>
      <w:r>
        <w:rPr>
          <w:rFonts w:ascii="Calibri" w:cs="Calibri" w:eastAsia="Calibri" w:hAnsi="Calibri"/>
          <w:sz w:val="22"/>
          <w:szCs w:val="22"/>
        </w:rPr>
        <w:t xml:space="preserve">Re-classify whenever a system's data, purpose, or deployment context changes materially — a tool built for internal testing that later gets used for real candidate decisions has changed tier.</w:t>
      </w:r>
    </w:p>
    <w:p>
      <w:pPr>
        <w:spacing w:after="200"/>
      </w:pPr>
    </w:p>
    <w:p>
      <w:pPr>
        <w:pStyle w:val="Heading2"/>
        <w:spacing w:after="150" w:before="300"/>
      </w:pPr>
      <w:r>
        <w:t xml:space="preserve">Walkthrough C: Prohibited Practices Screening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Prohibited Acts"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no in-scope system engages in any of the 9 Article 5 prohibited practices.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early as possible — ideally before or alongside risk-tier classification, since a 'Yes' answer here overrides everything else.</w:t>
      </w:r>
    </w:p>
    <w:p>
      <w:pPr>
        <w:pStyle w:val="Heading3"/>
        <w:spacing w:after="120" w:before="240"/>
      </w:pPr>
      <w:r>
        <w:t xml:space="preserve">Steps</w:t>
      </w:r>
    </w:p>
    <w:p>
      <w:pPr>
        <w:pStyle w:val="ListParagraph"/>
        <w:numPr>
          <w:ilvl w:val="0"/>
          <w:numId w:val="5"/>
        </w:numPr>
        <w:spacing w:after="100"/>
      </w:pPr>
      <w:r>
        <w:rPr>
          <w:rFonts w:ascii="Calibri" w:cs="Calibri" w:eastAsia="Calibri" w:hAnsi="Calibri"/>
          <w:sz w:val="22"/>
          <w:szCs w:val="22"/>
        </w:rPr>
        <w:t xml:space="preserve">Work through all 9 practices for every system, even ones that seem obviously fine — a quick, documented 'No' is cheap insurance.</w:t>
      </w:r>
    </w:p>
    <w:p>
      <w:pPr>
        <w:pStyle w:val="ListParagraph"/>
        <w:numPr>
          <w:ilvl w:val="0"/>
          <w:numId w:val="5"/>
        </w:numPr>
        <w:spacing w:after="100"/>
      </w:pPr>
      <w:r>
        <w:rPr>
          <w:rFonts w:ascii="Calibri" w:cs="Calibri" w:eastAsia="Calibri" w:hAnsi="Calibri"/>
          <w:sz w:val="22"/>
          <w:szCs w:val="22"/>
        </w:rPr>
        <w:t xml:space="preserve">For each practice, record specific evidence supporting the answer (e.g. 'reviewed UX flow, no dark patterns'), not just a checkbox.</w:t>
      </w:r>
    </w:p>
    <w:p>
      <w:pPr>
        <w:pStyle w:val="ListParagraph"/>
        <w:numPr>
          <w:ilvl w:val="0"/>
          <w:numId w:val="5"/>
        </w:numPr>
        <w:spacing w:after="100"/>
      </w:pPr>
      <w:r>
        <w:rPr>
          <w:rFonts w:ascii="Calibri" w:cs="Calibri" w:eastAsia="Calibri" w:hAnsi="Calibri"/>
          <w:sz w:val="22"/>
          <w:szCs w:val="22"/>
        </w:rPr>
        <w:t xml:space="preserve">Pay special attention to practice 4 (individual crime-risk prediction) and practice 6 (emotion inference) — these are the two most commonly and unintentionally triggered by ordinary analytics or HR tools.</w:t>
      </w:r>
    </w:p>
    <w:p>
      <w:pPr>
        <w:pStyle w:val="ListParagraph"/>
        <w:numPr>
          <w:ilvl w:val="0"/>
          <w:numId w:val="5"/>
        </w:numPr>
        <w:spacing w:after="100"/>
      </w:pPr>
      <w:r>
        <w:rPr>
          <w:rFonts w:ascii="Calibri" w:cs="Calibri" w:eastAsia="Calibri" w:hAnsi="Calibri"/>
          <w:sz w:val="22"/>
          <w:szCs w:val="22"/>
        </w:rPr>
        <w:t xml:space="preserve">Escalate any 'Yes' or 'Unclear' answer immediately to legal/compliance leadership before any further development or deployment work continues.</w:t>
      </w:r>
    </w:p>
    <w:p>
      <w:pPr>
        <w:pStyle w:val="ListParagraph"/>
        <w:numPr>
          <w:ilvl w:val="0"/>
          <w:numId w:val="5"/>
        </w:numPr>
        <w:spacing w:after="100"/>
      </w:pPr>
      <w:r>
        <w:rPr>
          <w:rFonts w:ascii="Calibri" w:cs="Calibri" w:eastAsia="Calibri" w:hAnsi="Calibri"/>
          <w:sz w:val="22"/>
          <w:szCs w:val="22"/>
        </w:rPr>
        <w:t xml:space="preserve">Note the practice 9 deadline explicitly: even if a 'nudifying' or non-consensual-imagery capability is not the system's primary purpose, compliance with the ban is required by 2 December 2026.</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treat this as a one-time checkbox exercise for new systems only — re-screen existing systems whenever their functionality changes, since scope creep can introduce a prohibited capability into a system that started out compliant.</w:t>
      </w:r>
    </w:p>
    <w:p>
      <w:pPr>
        <w:pStyle w:val="ListParagraph"/>
        <w:numPr>
          <w:ilvl w:val="0"/>
          <w:numId w:val="2"/>
        </w:numPr>
        <w:spacing w:after="100"/>
      </w:pPr>
      <w:r>
        <w:rPr>
          <w:rFonts w:ascii="Calibri" w:cs="Calibri" w:eastAsia="Calibri" w:hAnsi="Calibri"/>
          <w:sz w:val="22"/>
          <w:szCs w:val="22"/>
        </w:rPr>
        <w:t xml:space="preserve">A 'No, because we don't intend it that way' answer is not sufficient if the system's actual behavior could plausibly achieve the prohibited effect — assess actual behavior and reasonably foreseeable use, not just stated intent.</w:t>
      </w:r>
    </w:p>
    <w:p>
      <w:pPr>
        <w:spacing w:after="200"/>
      </w:pPr>
    </w:p>
    <w:p>
      <w:pPr>
        <w:pStyle w:val="Heading2"/>
        <w:spacing w:after="150" w:before="300"/>
      </w:pPr>
      <w:r>
        <w:t xml:space="preserve">Walkthrough D: Working Through the High-Risk Obligations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High-Risk Duties"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Verify Articles 9, 10, 12, 13, 14, 15 and 17 are genuinely implemented for every high-risk system, not just documented in policy.</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For every system classified high-risk in Walkthrough B, before compiling Annex IV documentation.</w:t>
      </w:r>
    </w:p>
    <w:p>
      <w:pPr>
        <w:pStyle w:val="Heading3"/>
        <w:spacing w:after="120" w:before="240"/>
      </w:pPr>
      <w:r>
        <w:t xml:space="preserve">Steps</w:t>
      </w:r>
    </w:p>
    <w:p>
      <w:pPr>
        <w:pStyle w:val="ListParagraph"/>
        <w:numPr>
          <w:ilvl w:val="0"/>
          <w:numId w:val="6"/>
        </w:numPr>
        <w:spacing w:after="100"/>
      </w:pPr>
      <w:r>
        <w:rPr>
          <w:rFonts w:ascii="Calibri" w:cs="Calibri" w:eastAsia="Calibri" w:hAnsi="Calibri"/>
          <w:sz w:val="22"/>
          <w:szCs w:val="22"/>
        </w:rPr>
        <w:t xml:space="preserve">For each requirement row, gather evidence via document review, interview, or system testing — don't rely on policy documents alone.</w:t>
      </w:r>
    </w:p>
    <w:p>
      <w:pPr>
        <w:pStyle w:val="ListParagraph"/>
        <w:numPr>
          <w:ilvl w:val="0"/>
          <w:numId w:val="6"/>
        </w:numPr>
        <w:spacing w:after="100"/>
      </w:pPr>
      <w:r>
        <w:rPr>
          <w:rFonts w:ascii="Calibri" w:cs="Calibri" w:eastAsia="Calibri" w:hAnsi="Calibri"/>
          <w:sz w:val="22"/>
          <w:szCs w:val="22"/>
        </w:rPr>
        <w:t xml:space="preserve">Always trace a real example: pick a specific risk, a specific dataset, a specific override event, and follow it end-to-end rather than asking generic questions.</w:t>
      </w:r>
    </w:p>
    <w:p>
      <w:pPr>
        <w:pStyle w:val="ListParagraph"/>
        <w:numPr>
          <w:ilvl w:val="0"/>
          <w:numId w:val="6"/>
        </w:numPr>
        <w:spacing w:after="100"/>
      </w:pPr>
      <w:r>
        <w:rPr>
          <w:rFonts w:ascii="Calibri" w:cs="Calibri" w:eastAsia="Calibri" w:hAnsi="Calibri"/>
          <w:sz w:val="22"/>
          <w:szCs w:val="22"/>
        </w:rPr>
        <w:t xml:space="preserve">Record exactly what evidence was examined (document ID/version, interviewee, date, system observed) — specific enough that someone else could locate the same evidence later.</w:t>
      </w:r>
    </w:p>
    <w:p>
      <w:pPr>
        <w:pStyle w:val="ListParagraph"/>
        <w:numPr>
          <w:ilvl w:val="0"/>
          <w:numId w:val="6"/>
        </w:numPr>
        <w:spacing w:after="100"/>
      </w:pPr>
      <w:r>
        <w:rPr>
          <w:rFonts w:ascii="Calibri" w:cs="Calibri" w:eastAsia="Calibri" w:hAnsi="Calibri"/>
          <w:sz w:val="22"/>
          <w:szCs w:val="22"/>
        </w:rPr>
        <w:t xml:space="preserve">Mark each row's status (Not Started / Partial / Complete / Not Applicable) and cross-reference any gap to a row in the Findings &amp; Risk Tracker.</w:t>
      </w:r>
    </w:p>
    <w:p>
      <w:pPr>
        <w:pStyle w:val="ListParagraph"/>
        <w:numPr>
          <w:ilvl w:val="0"/>
          <w:numId w:val="6"/>
        </w:numPr>
        <w:spacing w:after="100"/>
      </w:pPr>
      <w:r>
        <w:rPr>
          <w:rFonts w:ascii="Calibri" w:cs="Calibri" w:eastAsia="Calibri" w:hAnsi="Calibri"/>
          <w:sz w:val="22"/>
          <w:szCs w:val="22"/>
        </w:rPr>
        <w:t xml:space="preserve">Prioritize Art 9 (risk management) and Art 17 (QMS) first — most other obligations depend on these being genuinely operational.</w:t>
      </w:r>
    </w:p>
    <w:p>
      <w:pPr>
        <w:pStyle w:val="ListParagraph"/>
        <w:numPr>
          <w:ilvl w:val="0"/>
          <w:numId w:val="6"/>
        </w:numPr>
        <w:spacing w:after="100"/>
      </w:pPr>
      <w:r>
        <w:rPr>
          <w:rFonts w:ascii="Calibri" w:cs="Calibri" w:eastAsia="Calibri" w:hAnsi="Calibri"/>
          <w:sz w:val="22"/>
          <w:szCs w:val="22"/>
        </w:rPr>
        <w:t xml:space="preserve">For Art 14 (human oversight), specifically test whether overseers can and do actually override the system, not just whether an override button exists.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Art 9 row for ScreenSmart v3: Evidence examined — 'Risk Management Procedure RM-04 v2; risk log RL-2026-ScreenSmart reviewed with ML Lead J. Alvarez; sampled 2 of 5 required risk reviews.' Status — Partial: risk identification and evaluation are documented, but mitigation testing before market placement was not evidenced for 2 of the 5 sampled risks.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Vague evidence notes ('confirmed via interview,' no name/date/specifics) make findings indefensible if challenged later — always name the who/what/when.</w:t>
      </w:r>
    </w:p>
    <w:p>
      <w:pPr>
        <w:pStyle w:val="ListParagraph"/>
        <w:numPr>
          <w:ilvl w:val="0"/>
          <w:numId w:val="2"/>
        </w:numPr>
        <w:spacing w:after="100"/>
      </w:pPr>
      <w:r>
        <w:rPr>
          <w:rFonts w:ascii="Calibri" w:cs="Calibri" w:eastAsia="Calibri" w:hAnsi="Calibri"/>
          <w:sz w:val="22"/>
          <w:szCs w:val="22"/>
        </w:rPr>
        <w:t xml:space="preserve">Don't confuse 'the policy says it happens' with 'it happens' — always ask for the record proving execution (a completed test, a log entry, a signed-off report).</w:t>
      </w:r>
    </w:p>
    <w:p>
      <w:pPr>
        <w:spacing w:after="200"/>
      </w:pPr>
    </w:p>
    <w:p>
      <w:pPr>
        <w:pStyle w:val="Heading2"/>
        <w:spacing w:after="150" w:before="300"/>
      </w:pPr>
      <w:r>
        <w:t xml:space="preserve">Walkthrough E: Compiling Annex IV Technical Documentation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Annex IV Tech Doc"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Assemble a complete, coherent technical documentation file before starting the formal conformity assessment.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Art 9-17 obligations are substantially in place — documentation largely describes systems that need to already exist.</w:t>
      </w:r>
    </w:p>
    <w:p>
      <w:pPr>
        <w:pStyle w:val="Heading3"/>
        <w:spacing w:after="120" w:before="240"/>
      </w:pPr>
      <w:r>
        <w:t xml:space="preserve">Steps</w:t>
      </w:r>
    </w:p>
    <w:p>
      <w:pPr>
        <w:pStyle w:val="ListParagraph"/>
        <w:numPr>
          <w:ilvl w:val="0"/>
          <w:numId w:val="7"/>
        </w:numPr>
        <w:spacing w:after="100"/>
      </w:pPr>
      <w:r>
        <w:rPr>
          <w:rFonts w:ascii="Calibri" w:cs="Calibri" w:eastAsia="Calibri" w:hAnsi="Calibri"/>
          <w:sz w:val="22"/>
          <w:szCs w:val="22"/>
        </w:rPr>
        <w:t xml:space="preserve">Work down each Annex IV element and confirm the underlying artifact exists and is current.</w:t>
      </w:r>
    </w:p>
    <w:p>
      <w:pPr>
        <w:pStyle w:val="ListParagraph"/>
        <w:numPr>
          <w:ilvl w:val="0"/>
          <w:numId w:val="7"/>
        </w:numPr>
        <w:spacing w:after="100"/>
      </w:pPr>
      <w:r>
        <w:rPr>
          <w:rFonts w:ascii="Calibri" w:cs="Calibri" w:eastAsia="Calibri" w:hAnsi="Calibri"/>
          <w:sz w:val="22"/>
          <w:szCs w:val="22"/>
        </w:rPr>
        <w:t xml:space="preserve">Cross-check internal consistency: does the documented risk-management description match the actual risk log? Does the harmonised-standards claim match what was actually applied?</w:t>
      </w:r>
    </w:p>
    <w:p>
      <w:pPr>
        <w:pStyle w:val="ListParagraph"/>
        <w:numPr>
          <w:ilvl w:val="0"/>
          <w:numId w:val="7"/>
        </w:numPr>
        <w:spacing w:after="100"/>
      </w:pPr>
      <w:r>
        <w:rPr>
          <w:rFonts w:ascii="Calibri" w:cs="Calibri" w:eastAsia="Calibri" w:hAnsi="Calibri"/>
          <w:sz w:val="22"/>
          <w:szCs w:val="22"/>
        </w:rPr>
        <w:t xml:space="preserve">Confirm performance data covers accuracy across relevant subgroups, not just an aggregate figure — this is a common gap.</w:t>
      </w:r>
    </w:p>
    <w:p>
      <w:pPr>
        <w:pStyle w:val="ListParagraph"/>
        <w:numPr>
          <w:ilvl w:val="0"/>
          <w:numId w:val="7"/>
        </w:numPr>
        <w:spacing w:after="100"/>
      </w:pPr>
      <w:r>
        <w:rPr>
          <w:rFonts w:ascii="Calibri" w:cs="Calibri" w:eastAsia="Calibri" w:hAnsi="Calibri"/>
          <w:sz w:val="22"/>
          <w:szCs w:val="22"/>
        </w:rPr>
        <w:t xml:space="preserve">Confirm a signed copy (or placeholder pending signature) of the Declaration of Conformity is referenced, and that the post-market monitoring plan is attached, not merely promised.</w:t>
      </w:r>
    </w:p>
    <w:p>
      <w:pPr>
        <w:pStyle w:val="ListParagraph"/>
        <w:numPr>
          <w:ilvl w:val="0"/>
          <w:numId w:val="7"/>
        </w:numPr>
        <w:spacing w:after="100"/>
      </w:pPr>
      <w:r>
        <w:rPr>
          <w:rFonts w:ascii="Calibri" w:cs="Calibri" w:eastAsia="Calibri" w:hAnsi="Calibri"/>
          <w:sz w:val="22"/>
          <w:szCs w:val="22"/>
        </w:rPr>
        <w:t xml:space="preserve">Flag any missing or partial element as a finding before proceeding to the formal conformity assessment step.</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beginner mistake is treating this as a paperwork exercise done at the end — Annex IV documentation is much easier to compile if the underlying artifacts (risk log, data governance records, test results) were captured as you went, not reconstructed afterward.</w:t>
      </w:r>
    </w:p>
    <w:p>
      <w:pPr>
        <w:pStyle w:val="ListParagraph"/>
        <w:numPr>
          <w:ilvl w:val="0"/>
          <w:numId w:val="2"/>
        </w:numPr>
        <w:spacing w:after="100"/>
      </w:pPr>
      <w:r>
        <w:rPr>
          <w:rFonts w:ascii="Calibri" w:cs="Calibri" w:eastAsia="Calibri" w:hAnsi="Calibri"/>
          <w:sz w:val="22"/>
          <w:szCs w:val="22"/>
        </w:rPr>
        <w:t xml:space="preserve">Missing subgroup performance data is one of the most common gaps found late — request it early, since it may require rerunning tests.</w:t>
      </w:r>
    </w:p>
    <w:p>
      <w:pPr>
        <w:spacing w:after="200"/>
      </w:pPr>
    </w:p>
    <w:p>
      <w:pPr>
        <w:pStyle w:val="Heading2"/>
        <w:spacing w:after="150" w:before="300"/>
      </w:pPr>
      <w:r>
        <w:t xml:space="preserve">Walkthrough F: Deciding the Conformity Route, Declaring and Marking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CE Marking &amp; Reg"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Correctly determine Annex VI vs. Annex VII, then track the declaration, CE marking and registration steps to completion.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Annex IV documentation is complete and the Art 9-17 obligations are satisfied.</w:t>
      </w:r>
    </w:p>
    <w:p>
      <w:pPr>
        <w:pStyle w:val="Heading3"/>
        <w:spacing w:after="120" w:before="240"/>
      </w:pPr>
      <w:r>
        <w:t xml:space="preserve">Steps</w:t>
      </w:r>
    </w:p>
    <w:p>
      <w:pPr>
        <w:pStyle w:val="ListParagraph"/>
        <w:numPr>
          <w:ilvl w:val="0"/>
          <w:numId w:val="8"/>
        </w:numPr>
        <w:spacing w:after="100"/>
      </w:pPr>
      <w:r>
        <w:rPr>
          <w:rFonts w:ascii="Calibri" w:cs="Calibri" w:eastAsia="Calibri" w:hAnsi="Calibri"/>
          <w:sz w:val="22"/>
          <w:szCs w:val="22"/>
        </w:rPr>
        <w:t xml:space="preserve">Determine the route: Annex VI self-assessment for Annex III points 2-8; for Annex III point 1 (biometrics), Annex VI only if harmonised standards are fully applied, otherwise Annex VII notified-body assessment is mandatory; Annex I products follow the underlying sectoral third-party procedure.</w:t>
      </w:r>
    </w:p>
    <w:p>
      <w:pPr>
        <w:pStyle w:val="ListParagraph"/>
        <w:numPr>
          <w:ilvl w:val="0"/>
          <w:numId w:val="8"/>
        </w:numPr>
        <w:spacing w:after="100"/>
      </w:pPr>
      <w:r>
        <w:rPr>
          <w:rFonts w:ascii="Calibri" w:cs="Calibri" w:eastAsia="Calibri" w:hAnsi="Calibri"/>
          <w:sz w:val="22"/>
          <w:szCs w:val="22"/>
        </w:rPr>
        <w:t xml:space="preserve">If Annex VII applies, identify and engage an appropriately designated notified body, and provide the full technical documentation file for review.</w:t>
      </w:r>
    </w:p>
    <w:p>
      <w:pPr>
        <w:pStyle w:val="ListParagraph"/>
        <w:numPr>
          <w:ilvl w:val="0"/>
          <w:numId w:val="8"/>
        </w:numPr>
        <w:spacing w:after="100"/>
      </w:pPr>
      <w:r>
        <w:rPr>
          <w:rFonts w:ascii="Calibri" w:cs="Calibri" w:eastAsia="Calibri" w:hAnsi="Calibri"/>
          <w:sz w:val="22"/>
          <w:szCs w:val="22"/>
        </w:rPr>
        <w:t xml:space="preserve">Complete the conformity assessment itself against the criteria in Chapter III, Section 2.</w:t>
      </w:r>
    </w:p>
    <w:p>
      <w:pPr>
        <w:pStyle w:val="ListParagraph"/>
        <w:numPr>
          <w:ilvl w:val="0"/>
          <w:numId w:val="8"/>
        </w:numPr>
        <w:spacing w:after="100"/>
      </w:pPr>
      <w:r>
        <w:rPr>
          <w:rFonts w:ascii="Calibri" w:cs="Calibri" w:eastAsia="Calibri" w:hAnsi="Calibri"/>
          <w:sz w:val="22"/>
          <w:szCs w:val="22"/>
        </w:rPr>
        <w:t xml:space="preserve">Draft and sign the Declaration of Conformity, containing the Annex V information, machine-readable and digitally signed.</w:t>
      </w:r>
    </w:p>
    <w:p>
      <w:pPr>
        <w:pStyle w:val="ListParagraph"/>
        <w:numPr>
          <w:ilvl w:val="0"/>
          <w:numId w:val="8"/>
        </w:numPr>
        <w:spacing w:after="100"/>
      </w:pPr>
      <w:r>
        <w:rPr>
          <w:rFonts w:ascii="Calibri" w:cs="Calibri" w:eastAsia="Calibri" w:hAnsi="Calibri"/>
          <w:sz w:val="22"/>
          <w:szCs w:val="22"/>
        </w:rPr>
        <w:t xml:space="preserve">Affix CE marking (physical or digital), including the notified body's identification number if one was involved.</w:t>
      </w:r>
    </w:p>
    <w:p>
      <w:pPr>
        <w:pStyle w:val="ListParagraph"/>
        <w:numPr>
          <w:ilvl w:val="0"/>
          <w:numId w:val="8"/>
        </w:numPr>
        <w:spacing w:after="100"/>
      </w:pPr>
      <w:r>
        <w:rPr>
          <w:rFonts w:ascii="Calibri" w:cs="Calibri" w:eastAsia="Calibri" w:hAnsi="Calibri"/>
          <w:sz w:val="22"/>
          <w:szCs w:val="22"/>
        </w:rPr>
        <w:t xml:space="preserve">Register the system in the EU database per Article 71 — check the AI Act Service Desk for the current registration window, since this timing is not firmly pinned down in secondary sources.</w:t>
      </w:r>
    </w:p>
    <w:p>
      <w:pPr>
        <w:pStyle w:val="ListParagraph"/>
        <w:numPr>
          <w:ilvl w:val="0"/>
          <w:numId w:val="8"/>
        </w:numPr>
        <w:spacing w:after="100"/>
      </w:pPr>
      <w:r>
        <w:rPr>
          <w:rFonts w:ascii="Calibri" w:cs="Calibri" w:eastAsia="Calibri" w:hAnsi="Calibri"/>
          <w:sz w:val="22"/>
          <w:szCs w:val="22"/>
        </w:rPr>
        <w:t xml:space="preserve">Retain the Declaration of Conformity for 10 years and update it if the system changes in a way affecting compliance.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ScreenSmart v3 (Annex III(4), Employment) uses the default Annex VI self-assessment route since it is not a biometrics system. No notified body is engaged. The provider completes internal conformity assessment, signs the Declaration of Conformity, affixes a digital CE mark to the product's compliance page, and prepares to register in the EU database once the registration window opens.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assume a notified body will catch documentation gaps for a self-assessed system — for the Annex VI route, there is no external check at all before market placement, so internal rigor is the only safeguard.</w:t>
      </w:r>
    </w:p>
    <w:p>
      <w:pPr>
        <w:pStyle w:val="ListParagraph"/>
        <w:numPr>
          <w:ilvl w:val="0"/>
          <w:numId w:val="2"/>
        </w:numPr>
        <w:spacing w:after="100"/>
      </w:pPr>
      <w:r>
        <w:rPr>
          <w:rFonts w:ascii="Calibri" w:cs="Calibri" w:eastAsia="Calibri" w:hAnsi="Calibri"/>
          <w:sz w:val="22"/>
          <w:szCs w:val="22"/>
        </w:rPr>
        <w:t xml:space="preserve">Don't skip registration on the assumption 'we're self-assessing, so no external step is needed' — registration is a separate, independent obligation from the conformity assessment route.</w:t>
      </w:r>
    </w:p>
    <w:p>
      <w:pPr>
        <w:spacing w:after="200"/>
      </w:pPr>
    </w:p>
    <w:p>
      <w:pPr>
        <w:pStyle w:val="Heading2"/>
        <w:spacing w:after="150" w:before="300"/>
      </w:pPr>
      <w:r>
        <w:t xml:space="preserve">Walkthrough G: Assessing GPAI Obligations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GPAI Obligations"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Determine systemic-risk status and confirm the applicable Article 53/55 obligations are met for every GPAI model provided or integrated.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For any GPAI model the organization provides, fine-tunes, or integrates into a downstream system — this runs on a separate, already-active timeline from the high-risk regime.</w:t>
      </w:r>
    </w:p>
    <w:p>
      <w:pPr>
        <w:pStyle w:val="Heading3"/>
        <w:spacing w:after="120" w:before="240"/>
      </w:pPr>
      <w:r>
        <w:t xml:space="preserve">Steps</w:t>
      </w:r>
    </w:p>
    <w:p>
      <w:pPr>
        <w:pStyle w:val="ListParagraph"/>
        <w:numPr>
          <w:ilvl w:val="0"/>
          <w:numId w:val="9"/>
        </w:numPr>
        <w:spacing w:after="100"/>
      </w:pPr>
      <w:r>
        <w:rPr>
          <w:rFonts w:ascii="Calibri" w:cs="Calibri" w:eastAsia="Calibri" w:hAnsi="Calibri"/>
          <w:sz w:val="22"/>
          <w:szCs w:val="22"/>
        </w:rPr>
        <w:t xml:space="preserve">Determine systemic-risk status: presumed above 10^25 cumulative training FLOPs, or by Commission designation.</w:t>
      </w:r>
    </w:p>
    <w:p>
      <w:pPr>
        <w:pStyle w:val="ListParagraph"/>
        <w:numPr>
          <w:ilvl w:val="0"/>
          <w:numId w:val="9"/>
        </w:numPr>
        <w:spacing w:after="100"/>
      </w:pPr>
      <w:r>
        <w:rPr>
          <w:rFonts w:ascii="Calibri" w:cs="Calibri" w:eastAsia="Calibri" w:hAnsi="Calibri"/>
          <w:sz w:val="22"/>
          <w:szCs w:val="22"/>
        </w:rPr>
        <w:t xml:space="preserve">For standard (non-systemic) GPAI, confirm technical documentation (Annex XI), downstream documentation (Annex XII), a copyright-compliance policy, and a public training-content summary are all in place — noting the open-source exemption for the first two documentation duties.</w:t>
      </w:r>
    </w:p>
    <w:p>
      <w:pPr>
        <w:pStyle w:val="ListParagraph"/>
        <w:numPr>
          <w:ilvl w:val="0"/>
          <w:numId w:val="9"/>
        </w:numPr>
        <w:spacing w:after="100"/>
      </w:pPr>
      <w:r>
        <w:rPr>
          <w:rFonts w:ascii="Calibri" w:cs="Calibri" w:eastAsia="Calibri" w:hAnsi="Calibri"/>
          <w:sz w:val="22"/>
          <w:szCs w:val="22"/>
        </w:rPr>
        <w:t xml:space="preserve">For systemic-risk GPAI, additionally confirm standardized model evaluation/adversarial testing, systemic risk assessment and mitigation, serious-incident tracking/reporting to the AI Office, and adequate cybersecurity.</w:t>
      </w:r>
    </w:p>
    <w:p>
      <w:pPr>
        <w:pStyle w:val="ListParagraph"/>
        <w:numPr>
          <w:ilvl w:val="0"/>
          <w:numId w:val="9"/>
        </w:numPr>
        <w:spacing w:after="100"/>
      </w:pPr>
      <w:r>
        <w:rPr>
          <w:rFonts w:ascii="Calibri" w:cs="Calibri" w:eastAsia="Calibri" w:hAnsi="Calibri"/>
          <w:sz w:val="22"/>
          <w:szCs w:val="22"/>
        </w:rPr>
        <w:t xml:space="preserve">Record evidence and status for each applicable obligation.</w:t>
      </w:r>
    </w:p>
    <w:p>
      <w:pPr>
        <w:pStyle w:val="ListParagraph"/>
        <w:numPr>
          <w:ilvl w:val="0"/>
          <w:numId w:val="9"/>
        </w:numPr>
        <w:spacing w:after="100"/>
      </w:pPr>
      <w:r>
        <w:rPr>
          <w:rFonts w:ascii="Calibri" w:cs="Calibri" w:eastAsia="Calibri" w:hAnsi="Calibri"/>
          <w:sz w:val="22"/>
          <w:szCs w:val="22"/>
        </w:rPr>
        <w:t xml:space="preserve">If the organization only integrates a third-party GPAI model rather than providing one, confirm the upstream provider has supplied adequate downstream documentation to support the organization's own high-risk obligations, where the model feeds a high-risk system.</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assume 'open-source' automatically means 'exempt' — the exemption from technical/downstream documentation disappears the moment a model is classified as carrying systemic risk.</w:t>
      </w:r>
    </w:p>
    <w:p>
      <w:pPr>
        <w:pStyle w:val="ListParagraph"/>
        <w:numPr>
          <w:ilvl w:val="0"/>
          <w:numId w:val="2"/>
        </w:numPr>
        <w:spacing w:after="100"/>
      </w:pPr>
      <w:r>
        <w:rPr>
          <w:rFonts w:ascii="Calibri" w:cs="Calibri" w:eastAsia="Calibri" w:hAnsi="Calibri"/>
          <w:sz w:val="22"/>
          <w:szCs w:val="22"/>
        </w:rPr>
        <w:t xml:space="preserve">GPAI obligations have applied since 2 August 2025 and penalty enforcement began 2 August 2026 — this is not a future deadline to plan around; treat it as already-live.</w:t>
      </w:r>
    </w:p>
    <w:p>
      <w:pPr>
        <w:spacing w:after="200"/>
      </w:pPr>
    </w:p>
    <w:p>
      <w:pPr>
        <w:pStyle w:val="Heading2"/>
        <w:spacing w:after="150" w:before="300"/>
      </w:pPr>
      <w:r>
        <w:t xml:space="preserve">Walkthrough H: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Evidence Log"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examined during the assessment.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the entire assessment — not reconstructed afterward from memory.</w:t>
      </w:r>
    </w:p>
    <w:p>
      <w:pPr>
        <w:pStyle w:val="Heading3"/>
        <w:spacing w:after="120" w:before="240"/>
      </w:pPr>
      <w:r>
        <w:t xml:space="preserve">Steps</w:t>
      </w:r>
    </w:p>
    <w:p>
      <w:pPr>
        <w:pStyle w:val="ListParagraph"/>
        <w:numPr>
          <w:ilvl w:val="0"/>
          <w:numId w:val="10"/>
        </w:numPr>
        <w:spacing w:after="100"/>
      </w:pPr>
      <w:r>
        <w:rPr>
          <w:rFonts w:ascii="Calibri" w:cs="Calibri" w:eastAsia="Calibri" w:hAnsi="Calibri"/>
          <w:sz w:val="22"/>
          <w:szCs w:val="22"/>
        </w:rPr>
        <w:t xml:space="preserve">Every time a document is reviewed, a person interviewed, or a system tested, add one row immediately.</w:t>
      </w:r>
    </w:p>
    <w:p>
      <w:pPr>
        <w:pStyle w:val="ListParagraph"/>
        <w:numPr>
          <w:ilvl w:val="0"/>
          <w:numId w:val="10"/>
        </w:numPr>
        <w:spacing w:after="100"/>
      </w:pPr>
      <w:r>
        <w:rPr>
          <w:rFonts w:ascii="Calibri" w:cs="Calibri" w:eastAsia="Calibri" w:hAnsi="Calibri"/>
          <w:sz w:val="22"/>
          <w:szCs w:val="22"/>
        </w:rPr>
        <w:t xml:space="preserve">Record: a unique Evidence ID, date/time, source (person or document reference with version/date), the relevant Article/Annex, and a specific description of what was examined.</w:t>
      </w:r>
    </w:p>
    <w:p>
      <w:pPr>
        <w:pStyle w:val="ListParagraph"/>
        <w:numPr>
          <w:ilvl w:val="0"/>
          <w:numId w:val="10"/>
        </w:numPr>
        <w:spacing w:after="100"/>
      </w:pPr>
      <w:r>
        <w:rPr>
          <w:rFonts w:ascii="Calibri" w:cs="Calibri" w:eastAsia="Calibri" w:hAnsi="Calibri"/>
          <w:sz w:val="22"/>
          <w:szCs w:val="22"/>
        </w:rPr>
        <w:t xml:space="preserve">Tag each row with a status: Supports Conformity / Supports Partial Conformity / Supports Nonconformity / Needs Follow-up.</w:t>
      </w:r>
    </w:p>
    <w:p>
      <w:pPr>
        <w:pStyle w:val="ListParagraph"/>
        <w:numPr>
          <w:ilvl w:val="0"/>
          <w:numId w:val="10"/>
        </w:numPr>
        <w:spacing w:after="100"/>
      </w:pPr>
      <w:r>
        <w:rPr>
          <w:rFonts w:ascii="Calibri" w:cs="Calibri" w:eastAsia="Calibri" w:hAnsi="Calibri"/>
          <w:sz w:val="22"/>
          <w:szCs w:val="22"/>
        </w:rPr>
        <w:t xml:space="preserve">Cross-reference Evidence IDs from the obligations checklist and findings tracker back into this log so any conclusion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day from memory is how an assessment loses credibility if ever challenged by a regulator — log in real time, even briefly.</w:t>
      </w:r>
    </w:p>
    <w:p>
      <w:pPr>
        <w:spacing w:after="200"/>
      </w:pPr>
    </w:p>
    <w:p>
      <w:pPr>
        <w:pStyle w:val="Heading2"/>
        <w:spacing w:after="150" w:before="300"/>
      </w:pPr>
      <w:r>
        <w:t xml:space="preserve">Walkthrough I: Writing Findings and Rating Risk</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Findings &amp; Risk"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between requirement and reality into a clear, defensible, actionable finding with an appropriate risk rating.</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a gap is identified between what an Article requires and what was actually found.</w:t>
      </w:r>
    </w:p>
    <w:p>
      <w:pPr>
        <w:pStyle w:val="Heading3"/>
        <w:spacing w:after="120" w:before="240"/>
      </w:pPr>
      <w:r>
        <w:t xml:space="preserve">Steps</w:t>
      </w:r>
    </w:p>
    <w:p>
      <w:pPr>
        <w:pStyle w:val="ListParagraph"/>
        <w:numPr>
          <w:ilvl w:val="0"/>
          <w:numId w:val="11"/>
        </w:numPr>
        <w:spacing w:after="100"/>
      </w:pPr>
      <w:r>
        <w:rPr>
          <w:rFonts w:ascii="Calibri" w:cs="Calibri" w:eastAsia="Calibri" w:hAnsi="Calibri"/>
          <w:sz w:val="22"/>
          <w:szCs w:val="22"/>
        </w:rPr>
        <w:t xml:space="preserve">Write the finding using the 'Should be / As found' structure: 'Should be' states the requirement in neutral language; 'As found' states exactly what was observed, with objective evidence (document IDs, sample sizes, dates).</w:t>
      </w:r>
    </w:p>
    <w:p>
      <w:pPr>
        <w:pStyle w:val="ListParagraph"/>
        <w:numPr>
          <w:ilvl w:val="0"/>
          <w:numId w:val="11"/>
        </w:numPr>
        <w:spacing w:after="100"/>
      </w:pPr>
      <w:r>
        <w:rPr>
          <w:rFonts w:ascii="Calibri" w:cs="Calibri" w:eastAsia="Calibri" w:hAnsi="Calibri"/>
          <w:sz w:val="22"/>
          <w:szCs w:val="22"/>
        </w:rPr>
        <w:t xml:space="preserve">Cross-reference the specific Article/Annex the finding relates to.</w:t>
      </w:r>
    </w:p>
    <w:p>
      <w:pPr>
        <w:pStyle w:val="ListParagraph"/>
        <w:numPr>
          <w:ilvl w:val="0"/>
          <w:numId w:val="11"/>
        </w:numPr>
        <w:spacing w:after="100"/>
      </w:pPr>
      <w:r>
        <w:rPr>
          <w:rFonts w:ascii="Calibri" w:cs="Calibri" w:eastAsia="Calibri" w:hAnsi="Calibri"/>
          <w:sz w:val="22"/>
          <w:szCs w:val="22"/>
        </w:rPr>
        <w:t xml:space="preserve">Rate the risk (Critical/High/Medium/Low) based on the potential impact on individuals and the likelihood of regulatory or harm exposure — this workbook rates risk rather than grading major/minor, since a compliance gap under a live law carries different stakes than an ISO nonconformity.</w:t>
      </w:r>
    </w:p>
    <w:p>
      <w:pPr>
        <w:pStyle w:val="ListParagraph"/>
        <w:numPr>
          <w:ilvl w:val="0"/>
          <w:numId w:val="11"/>
        </w:numPr>
        <w:spacing w:after="100"/>
      </w:pPr>
      <w:r>
        <w:rPr>
          <w:rFonts w:ascii="Calibri" w:cs="Calibri" w:eastAsia="Calibri" w:hAnsi="Calibri"/>
          <w:sz w:val="22"/>
          <w:szCs w:val="22"/>
        </w:rPr>
        <w:t xml:space="preserve">Assign an owner and a remediation action with a due date.</w:t>
      </w:r>
    </w:p>
    <w:p>
      <w:pPr>
        <w:pStyle w:val="ListParagraph"/>
        <w:numPr>
          <w:ilvl w:val="0"/>
          <w:numId w:val="11"/>
        </w:numPr>
        <w:spacing w:after="100"/>
      </w:pPr>
      <w:r>
        <w:rPr>
          <w:rFonts w:ascii="Calibri" w:cs="Calibri" w:eastAsia="Calibri" w:hAnsi="Calibri"/>
          <w:sz w:val="22"/>
          <w:szCs w:val="22"/>
        </w:rPr>
        <w:t xml:space="preserve">Track status to verified closure — a promise of a fix is not the same as evidence the fix works.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Should be: 'Article 10 requires training data to be relevant, sufficiently representative, and as error-free/complete as possible, with documented bias examination.' As found: 'No documented bias examination on file for the ScreenSmart v3 training dataset; the data governance policy references the requirement but no evidence of execution was found.' Risk rating: High — a live high-risk system is in production without evidence of a core Article 10 control.</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Never write a finding as a personal opinion ('I think their data pipeline seems weak') — always anchor to a specific Article and specific evidence.</w:t>
      </w:r>
    </w:p>
    <w:p>
      <w:pPr>
        <w:pStyle w:val="ListParagraph"/>
        <w:numPr>
          <w:ilvl w:val="0"/>
          <w:numId w:val="2"/>
        </w:numPr>
        <w:spacing w:after="100"/>
      </w:pPr>
      <w:r>
        <w:rPr>
          <w:rFonts w:ascii="Calibri" w:cs="Calibri" w:eastAsia="Calibri" w:hAnsi="Calibri"/>
          <w:sz w:val="22"/>
          <w:szCs w:val="22"/>
        </w:rPr>
        <w:t xml:space="preserve">Don't under-rate a gap just because the organization has a plan to fix it — rate the current state, and let the remediation plan and due date carry the forward-looking information.</w:t>
      </w:r>
    </w:p>
    <w:p>
      <w:pPr>
        <w:spacing w:after="200"/>
      </w:pPr>
    </w:p>
    <w:p>
      <w:pPr>
        <w:pStyle w:val="Heading2"/>
        <w:spacing w:after="150" w:before="300"/>
      </w:pPr>
      <w:r>
        <w:t xml:space="preserve">Walkthrough J: Post-Market Monitoring and Incident Reporting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Monitoring &amp; Inc"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Maintain an active record of in-field performance and correctly identify and report serious incidents.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for the full lifetime of every high-risk system after it is placed on the market.</w:t>
      </w:r>
    </w:p>
    <w:p>
      <w:pPr>
        <w:pStyle w:val="Heading3"/>
        <w:spacing w:after="120" w:before="240"/>
      </w:pPr>
      <w:r>
        <w:t xml:space="preserve">Steps</w:t>
      </w:r>
    </w:p>
    <w:p>
      <w:pPr>
        <w:pStyle w:val="ListParagraph"/>
        <w:numPr>
          <w:ilvl w:val="0"/>
          <w:numId w:val="12"/>
        </w:numPr>
        <w:spacing w:after="100"/>
      </w:pPr>
      <w:r>
        <w:rPr>
          <w:rFonts w:ascii="Calibri" w:cs="Calibri" w:eastAsia="Calibri" w:hAnsi="Calibri"/>
          <w:sz w:val="22"/>
          <w:szCs w:val="22"/>
        </w:rPr>
        <w:t xml:space="preserve">Log monitoring activity on a regular cadence (e.g. quarterly), even when nothing notable occurred — an empty monitoring history is itself a finding.</w:t>
      </w:r>
    </w:p>
    <w:p>
      <w:pPr>
        <w:pStyle w:val="ListParagraph"/>
        <w:numPr>
          <w:ilvl w:val="0"/>
          <w:numId w:val="12"/>
        </w:numPr>
        <w:spacing w:after="100"/>
      </w:pPr>
      <w:r>
        <w:rPr>
          <w:rFonts w:ascii="Calibri" w:cs="Calibri" w:eastAsia="Calibri" w:hAnsi="Calibri"/>
          <w:sz w:val="22"/>
          <w:szCs w:val="22"/>
        </w:rPr>
        <w:t xml:space="preserve">For any anomaly, assess against the Article 73 serious-incident definition (e.g. death, serious health/property/environmental harm, critical infrastructure disruption).</w:t>
      </w:r>
    </w:p>
    <w:p>
      <w:pPr>
        <w:pStyle w:val="ListParagraph"/>
        <w:numPr>
          <w:ilvl w:val="0"/>
          <w:numId w:val="12"/>
        </w:numPr>
        <w:spacing w:after="100"/>
      </w:pPr>
      <w:r>
        <w:rPr>
          <w:rFonts w:ascii="Calibri" w:cs="Calibri" w:eastAsia="Calibri" w:hAnsi="Calibri"/>
          <w:sz w:val="22"/>
          <w:szCs w:val="22"/>
        </w:rPr>
        <w:t xml:space="preserve">Where a serious incident is identified, report to the AI Office / relevant market surveillance authority without undue delay, and record the report date and reference.</w:t>
      </w:r>
    </w:p>
    <w:p>
      <w:pPr>
        <w:pStyle w:val="ListParagraph"/>
        <w:numPr>
          <w:ilvl w:val="0"/>
          <w:numId w:val="12"/>
        </w:numPr>
        <w:spacing w:after="100"/>
      </w:pPr>
      <w:r>
        <w:rPr>
          <w:rFonts w:ascii="Calibri" w:cs="Calibri" w:eastAsia="Calibri" w:hAnsi="Calibri"/>
          <w:sz w:val="22"/>
          <w:szCs w:val="22"/>
        </w:rPr>
        <w:t xml:space="preserve">Track resolution status through to closure, and feed lessons back into the Article 9 risk management system.</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wait for a 'big' incident to start logging — a pattern of small anomalies, viewed together, is often what actually constitutes a serious incident or reveals a systemic risk-management gap.</w:t>
      </w:r>
    </w:p>
    <w:p>
      <w:pPr>
        <w:spacing w:after="200"/>
      </w:pPr>
    </w:p>
    <w:p>
      <w:pPr>
        <w:pStyle w:val="Heading2"/>
        <w:spacing w:after="150" w:before="300"/>
      </w:pPr>
      <w:r>
        <w:t xml:space="preserve">Walkthrough K: Writing the Conformity Assessment Report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Report Summary"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authoritative record of the assessment, sufficient on its own to support a Declaration of Conformity decision.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conclusion of an assessment cycle, before a Declaration of Conformity is signed.</w:t>
      </w:r>
    </w:p>
    <w:p>
      <w:pPr>
        <w:pStyle w:val="Heading3"/>
        <w:spacing w:after="120" w:before="240"/>
      </w:pPr>
      <w:r>
        <w:t xml:space="preserve">Steps</w:t>
      </w:r>
    </w:p>
    <w:p>
      <w:pPr>
        <w:pStyle w:val="ListParagraph"/>
        <w:numPr>
          <w:ilvl w:val="0"/>
          <w:numId w:val="13"/>
        </w:numPr>
        <w:spacing w:after="100"/>
      </w:pPr>
      <w:r>
        <w:rPr>
          <w:rFonts w:ascii="Calibri" w:cs="Calibri" w:eastAsia="Calibri" w:hAnsi="Calibri"/>
          <w:sz w:val="22"/>
          <w:szCs w:val="22"/>
        </w:rPr>
        <w:t xml:space="preserve">Complete the header fields: organization, systems assessed, risk tier(s), conformity route(s), criteria, dates, and team.</w:t>
      </w:r>
    </w:p>
    <w:p>
      <w:pPr>
        <w:pStyle w:val="ListParagraph"/>
        <w:numPr>
          <w:ilvl w:val="0"/>
          <w:numId w:val="13"/>
        </w:numPr>
        <w:spacing w:after="100"/>
      </w:pPr>
      <w:r>
        <w:rPr>
          <w:rFonts w:ascii="Calibri" w:cs="Calibri" w:eastAsia="Calibri" w:hAnsi="Calibri"/>
          <w:sz w:val="22"/>
          <w:szCs w:val="22"/>
        </w:rPr>
        <w:t xml:space="preserve">Write an executive summary: overall conclusion on readiness, number and severity of findings, and a clear recommendation (ready to issue / ready with conditions / not ready).</w:t>
      </w:r>
    </w:p>
    <w:p>
      <w:pPr>
        <w:pStyle w:val="ListParagraph"/>
        <w:numPr>
          <w:ilvl w:val="0"/>
          <w:numId w:val="13"/>
        </w:numPr>
        <w:spacing w:after="100"/>
      </w:pPr>
      <w:r>
        <w:rPr>
          <w:rFonts w:ascii="Calibri" w:cs="Calibri" w:eastAsia="Calibri" w:hAnsi="Calibri"/>
          <w:sz w:val="22"/>
          <w:szCs w:val="22"/>
        </w:rPr>
        <w:t xml:space="preserve">List every finding, pulling directly from the Findings &amp; Risk Tracker — do not re-word or soften findings already discussed with stakeholders.</w:t>
      </w:r>
    </w:p>
    <w:p>
      <w:pPr>
        <w:pStyle w:val="ListParagraph"/>
        <w:numPr>
          <w:ilvl w:val="0"/>
          <w:numId w:val="13"/>
        </w:numPr>
        <w:spacing w:after="100"/>
      </w:pPr>
      <w:r>
        <w:rPr>
          <w:rFonts w:ascii="Calibri" w:cs="Calibri" w:eastAsia="Calibri" w:hAnsi="Calibri"/>
          <w:sz w:val="22"/>
          <w:szCs w:val="22"/>
        </w:rPr>
        <w:t xml:space="preserve">Summarize what was actually sampled versus planned, and disclose any limitations.</w:t>
      </w:r>
    </w:p>
    <w:p>
      <w:pPr>
        <w:pStyle w:val="ListParagraph"/>
        <w:numPr>
          <w:ilvl w:val="0"/>
          <w:numId w:val="13"/>
        </w:numPr>
        <w:spacing w:after="100"/>
      </w:pPr>
      <w:r>
        <w:rPr>
          <w:rFonts w:ascii="Calibri" w:cs="Calibri" w:eastAsia="Calibri" w:hAnsi="Calibri"/>
          <w:sz w:val="22"/>
          <w:szCs w:val="22"/>
        </w:rPr>
        <w:t xml:space="preserve">Attach or reference the completed inventory, obligations checklist, and technical documentation checklist as supporting working papers.</w:t>
      </w:r>
    </w:p>
    <w:p>
      <w:pPr>
        <w:pStyle w:val="ListParagraph"/>
        <w:numPr>
          <w:ilvl w:val="0"/>
          <w:numId w:val="13"/>
        </w:numPr>
        <w:spacing w:after="100"/>
      </w:pPr>
      <w:r>
        <w:rPr>
          <w:rFonts w:ascii="Calibri" w:cs="Calibri" w:eastAsia="Calibri" w:hAnsi="Calibri"/>
          <w:sz w:val="22"/>
          <w:szCs w:val="22"/>
        </w:rPr>
        <w:t xml:space="preserve">Have the lead assessor sign and date the report; route to a notified body only if the Annex VII route applies.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report with findings but no clear overall recommendation leaves decision-makers without what they need to decide whether to proceed — always state a clear conclusion.</w:t>
      </w:r>
    </w:p>
    <w:p>
      <w:pPr>
        <w:spacing w:after="200"/>
      </w:pPr>
    </w:p>
    <w:p>
      <w:pPr>
        <w:pStyle w:val="Heading2"/>
        <w:spacing w:after="150" w:before="300"/>
      </w:pPr>
      <w:r>
        <w:t xml:space="preserve">Walkthrough L: Planning the Remediation &amp; Compliance Calendar</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12 - Compliance Cal" in the EU AI Act Conformity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Convert the phased deadline table into a working plan the organization actually executes against — using the current, post-Omnibus dates.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the engagement starts, and reviewed at every milestone.</w:t>
      </w:r>
    </w:p>
    <w:p>
      <w:pPr>
        <w:pStyle w:val="Heading3"/>
        <w:spacing w:after="120" w:before="240"/>
      </w:pPr>
      <w:r>
        <w:t xml:space="preserve">Steps</w:t>
      </w:r>
    </w:p>
    <w:p>
      <w:pPr>
        <w:pStyle w:val="ListParagraph"/>
        <w:numPr>
          <w:ilvl w:val="0"/>
          <w:numId w:val="14"/>
        </w:numPr>
        <w:spacing w:after="100"/>
      </w:pPr>
      <w:r>
        <w:rPr>
          <w:rFonts w:ascii="Calibri" w:cs="Calibri" w:eastAsia="Calibri" w:hAnsi="Calibri"/>
          <w:sz w:val="22"/>
          <w:szCs w:val="22"/>
        </w:rPr>
        <w:t xml:space="preserve">Copy the full phased deadline table from Section 2.7 into the calendar, confirming each date against the AI Act Service Desk if any doubt remains.</w:t>
      </w:r>
    </w:p>
    <w:p>
      <w:pPr>
        <w:pStyle w:val="ListParagraph"/>
        <w:numPr>
          <w:ilvl w:val="0"/>
          <w:numId w:val="14"/>
        </w:numPr>
        <w:spacing w:after="100"/>
      </w:pPr>
      <w:r>
        <w:rPr>
          <w:rFonts w:ascii="Calibri" w:cs="Calibri" w:eastAsia="Calibri" w:hAnsi="Calibri"/>
          <w:sz w:val="22"/>
          <w:szCs w:val="22"/>
        </w:rPr>
        <w:t xml:space="preserve">For each milestone, assign an owner and a concrete action (not just 'be compliant').</w:t>
      </w:r>
    </w:p>
    <w:p>
      <w:pPr>
        <w:pStyle w:val="ListParagraph"/>
        <w:numPr>
          <w:ilvl w:val="0"/>
          <w:numId w:val="14"/>
        </w:numPr>
        <w:spacing w:after="100"/>
      </w:pPr>
      <w:r>
        <w:rPr>
          <w:rFonts w:ascii="Calibri" w:cs="Calibri" w:eastAsia="Calibri" w:hAnsi="Calibri"/>
          <w:sz w:val="22"/>
          <w:szCs w:val="22"/>
        </w:rPr>
        <w:t xml:space="preserve">Prioritize the Annex III deadline (2 December 2027) and Annex I deadline (2 August 2028) as the two biggest forward-looking milestones, but do not neglect obligations already in effect (prohibited practices, GPAI, and Article 50 transparency).</w:t>
      </w:r>
    </w:p>
    <w:p>
      <w:pPr>
        <w:pStyle w:val="ListParagraph"/>
        <w:numPr>
          <w:ilvl w:val="0"/>
          <w:numId w:val="14"/>
        </w:numPr>
        <w:spacing w:after="100"/>
      </w:pPr>
      <w:r>
        <w:rPr>
          <w:rFonts w:ascii="Calibri" w:cs="Calibri" w:eastAsia="Calibri" w:hAnsi="Calibri"/>
          <w:sz w:val="22"/>
          <w:szCs w:val="22"/>
        </w:rPr>
        <w:t xml:space="preserve">Revisit this calendar whenever new guidance, harmonised standards, or further amendments are published — this Regulation has already been amended once since enactment, and there is no reason to assume it will not be amended again.</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Building a plan around the pre-Omnibus 2026/2027 dates is the single most consequential mistake this handbook can help you avoid — always confirm you are working from the current table before communicating deadlines to leadership.</w:t>
      </w:r>
    </w:p>
    <w:p>
      <w:pPr>
        <w:spacing w:after="200"/>
      </w:pPr>
    </w:p>
    <w:p>
      <w:r>
        <w:br w:type="page"/>
      </w:r>
    </w:p>
    <w:p>
      <w:pPr>
        <w:pStyle w:val="Heading1"/>
        <w:spacing w:after="200" w:before="400"/>
      </w:pPr>
      <w:r>
        <w:t xml:space="preserve">Part Five – Reusing the Toolkit and Staying Current</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engagement) so you can compare classifications and findings over time.</w:t>
      </w:r>
    </w:p>
    <w:p>
      <w:pPr>
        <w:pStyle w:val="ListParagraph"/>
        <w:numPr>
          <w:ilvl w:val="0"/>
          <w:numId w:val="2"/>
        </w:numPr>
        <w:spacing w:after="100"/>
      </w:pPr>
      <w:r>
        <w:rPr>
          <w:rFonts w:ascii="Calibri" w:cs="Calibri" w:eastAsia="Calibri" w:hAnsi="Calibri"/>
          <w:sz w:val="22"/>
          <w:szCs w:val="22"/>
        </w:rPr>
        <w:t xml:space="preserve">Carry forward open items from the Findings &amp; Risk Tracker into the next engagement's plan — never start a new assessment blind to unresolved history.</w:t>
      </w:r>
    </w:p>
    <w:p>
      <w:pPr>
        <w:pStyle w:val="ListParagraph"/>
        <w:numPr>
          <w:ilvl w:val="0"/>
          <w:numId w:val="2"/>
        </w:numPr>
        <w:spacing w:after="100"/>
      </w:pPr>
      <w:r>
        <w:rPr>
          <w:rFonts w:ascii="Calibri" w:cs="Calibri" w:eastAsia="Calibri" w:hAnsi="Calibri"/>
          <w:sz w:val="22"/>
          <w:szCs w:val="22"/>
        </w:rPr>
        <w:t xml:space="preserve">Recalibrate the system inventory every cycle — new systems, new integrations, and shadow AI adoption change the picture constantly.</w:t>
      </w:r>
    </w:p>
    <w:p>
      <w:pPr>
        <w:pStyle w:val="ListParagraph"/>
        <w:numPr>
          <w:ilvl w:val="0"/>
          <w:numId w:val="2"/>
        </w:numPr>
        <w:spacing w:after="100"/>
      </w:pPr>
      <w:r>
        <w:rPr>
          <w:rFonts w:ascii="Calibri" w:cs="Calibri" w:eastAsia="Calibri" w:hAnsi="Calibri"/>
          <w:sz w:val="22"/>
          <w:szCs w:val="22"/>
        </w:rPr>
        <w:t xml:space="preserve">Update the obligations and documentation checklists if the Regulation is amended, or if new harmonised standards or Commission guidance are published.</w:t>
      </w:r>
    </w:p>
    <w:p>
      <w:pPr>
        <w:pStyle w:val="Heading2"/>
        <w:spacing w:after="150" w:before="300"/>
      </w:pPr>
      <w:r>
        <w:t xml:space="preserve">5.2 Why This Regulation Demands More Frequent Re-Checking Than Most</w:t>
      </w:r>
    </w:p>
    <w:p>
      <w:pPr>
        <w:spacing w:after="160" w:line="276"/>
      </w:pPr>
      <w:r>
        <w:rPr>
          <w:rFonts w:ascii="Calibri" w:cs="Calibri" w:eastAsia="Calibri" w:hAnsi="Calibri"/>
          <w:sz w:val="22"/>
          <w:szCs w:val="22"/>
        </w:rPr>
        <w:t xml:space="preserve">The Digital Omnibus amendment is not a one-off event to note and move past — it is a precedent. The AI Act is a genuinely young, fast-moving piece of law, still being shaped by delegated acts, Commission guidance, harmonised standards under development, and (as this handbook itself demonstrates) direct legislative amendment. A date, obligation, or exemption that is accurate today may not be accurate in six months.</w:t>
      </w:r>
    </w:p>
    <w:p>
      <w:pPr>
        <w:pStyle w:val="ListParagraph"/>
        <w:numPr>
          <w:ilvl w:val="0"/>
          <w:numId w:val="2"/>
        </w:numPr>
        <w:spacing w:after="100"/>
      </w:pPr>
      <w:r>
        <w:rPr>
          <w:rFonts w:ascii="Calibri" w:cs="Calibri" w:eastAsia="Calibri" w:hAnsi="Calibri"/>
          <w:sz w:val="22"/>
          <w:szCs w:val="22"/>
        </w:rPr>
        <w:t xml:space="preserve">Before every new engagement, re-check the current applicability dates against ai-act-service-desk.ec.europa.eu and the consolidated text on eur-lex.europa.eu — do not rely solely on this handbook's date table without a refresh check.</w:t>
      </w:r>
    </w:p>
    <w:p>
      <w:pPr>
        <w:pStyle w:val="ListParagraph"/>
        <w:numPr>
          <w:ilvl w:val="0"/>
          <w:numId w:val="2"/>
        </w:numPr>
        <w:spacing w:after="100"/>
      </w:pPr>
      <w:r>
        <w:rPr>
          <w:rFonts w:ascii="Calibri" w:cs="Calibri" w:eastAsia="Calibri" w:hAnsi="Calibri"/>
          <w:sz w:val="22"/>
          <w:szCs w:val="22"/>
        </w:rPr>
        <w:t xml:space="preserve">Subscribe to updates from a reputable tracker (e.g. the sources listed at the end of this handbook) so amendments are caught early, not discovered mid-engagement.</w:t>
      </w:r>
    </w:p>
    <w:p>
      <w:pPr>
        <w:pStyle w:val="ListParagraph"/>
        <w:numPr>
          <w:ilvl w:val="0"/>
          <w:numId w:val="2"/>
        </w:numPr>
        <w:spacing w:after="100"/>
      </w:pPr>
      <w:r>
        <w:rPr>
          <w:rFonts w:ascii="Calibri" w:cs="Calibri" w:eastAsia="Calibri" w:hAnsi="Calibri"/>
          <w:sz w:val="22"/>
          <w:szCs w:val="22"/>
        </w:rPr>
        <w:t xml:space="preserve">When in doubt about a fast-changing detail, say so explicitly in your own assessment reports, exactly as this handbook does — an honest 'verify before relying on this' caveat protects both you and the organization.</w:t>
      </w:r>
    </w:p>
    <w:p>
      <w:pPr>
        <w:pStyle w:val="Heading2"/>
        <w:spacing w:after="150" w:before="300"/>
      </w:pPr>
      <w:r>
        <w:t xml:space="preserve">5.3 Growing From Beginner to Confident Practitioner</w:t>
      </w:r>
    </w:p>
    <w:p>
      <w:pPr>
        <w:pStyle w:val="ListParagraph"/>
        <w:numPr>
          <w:ilvl w:val="0"/>
          <w:numId w:val="2"/>
        </w:numPr>
        <w:spacing w:after="100"/>
      </w:pPr>
      <w:r>
        <w:rPr>
          <w:rFonts w:ascii="Calibri" w:cs="Calibri" w:eastAsia="Calibri" w:hAnsi="Calibri"/>
          <w:sz w:val="22"/>
          <w:szCs w:val="22"/>
        </w:rPr>
        <w:t xml:space="preserve">Shadow a more experienced colleague or outside counsel on your first classification decisions for genuinely ambiguous systems, especially Art 6(3) narrow-task calls.</w:t>
      </w:r>
    </w:p>
    <w:p>
      <w:pPr>
        <w:pStyle w:val="ListParagraph"/>
        <w:numPr>
          <w:ilvl w:val="0"/>
          <w:numId w:val="2"/>
        </w:numPr>
        <w:spacing w:after="100"/>
      </w:pPr>
      <w:r>
        <w:rPr>
          <w:rFonts w:ascii="Calibri" w:cs="Calibri" w:eastAsia="Calibri" w:hAnsi="Calibri"/>
          <w:sz w:val="22"/>
          <w:szCs w:val="22"/>
        </w:rPr>
        <w:t xml:space="preserve">After each engagement, do a short retrospective: which classification calls were hardest, and why? Which findings took the longest to remediate?</w:t>
      </w:r>
    </w:p>
    <w:p>
      <w:pPr>
        <w:pStyle w:val="ListParagraph"/>
        <w:numPr>
          <w:ilvl w:val="0"/>
          <w:numId w:val="2"/>
        </w:numPr>
        <w:spacing w:after="100"/>
      </w:pPr>
      <w:r>
        <w:rPr>
          <w:rFonts w:ascii="Calibri" w:cs="Calibri" w:eastAsia="Calibri" w:hAnsi="Calibri"/>
          <w:sz w:val="22"/>
          <w:szCs w:val="22"/>
        </w:rPr>
        <w:t xml:space="preserve">Keep a bank of your own good/bad example findings and classification write-ups — nothing improves judgment faster than reviewing real examples.</w:t>
      </w:r>
    </w:p>
    <w:p>
      <w:pPr>
        <w:pStyle w:val="ListParagraph"/>
        <w:numPr>
          <w:ilvl w:val="0"/>
          <w:numId w:val="2"/>
        </w:numPr>
        <w:spacing w:after="100"/>
      </w:pPr>
      <w:r>
        <w:rPr>
          <w:rFonts w:ascii="Calibri" w:cs="Calibri" w:eastAsia="Calibri" w:hAnsi="Calibri"/>
          <w:sz w:val="22"/>
          <w:szCs w:val="22"/>
        </w:rPr>
        <w:t xml:space="preserve">Stay current deliberately: set a recurring calendar reminder (e.g. quarterly) to re-check this handbook's Section 2.7 timeline table against primary sources.</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Provider: </w:t>
      </w:r>
      <w:r>
        <w:rPr>
          <w:rFonts w:ascii="Calibri" w:cs="Calibri" w:eastAsia="Calibri" w:hAnsi="Calibri"/>
          <w:b w:val="false"/>
          <w:bCs w:val="false"/>
          <w:i w:val="false"/>
          <w:iCs w:val="false"/>
          <w:sz w:val="22"/>
          <w:szCs w:val="22"/>
        </w:rPr>
        <w:t xml:space="preserve">A natural or legal person that develops an AI system or GPAI model, or has one developed, and places it on the market or puts it into service under its own name or trademark.</w:t>
      </w:r>
    </w:p>
    <w:p>
      <w:pPr>
        <w:spacing w:after="160" w:line="276"/>
      </w:pPr>
      <w:r>
        <w:rPr>
          <w:rFonts w:ascii="Calibri" w:cs="Calibri" w:eastAsia="Calibri" w:hAnsi="Calibri"/>
          <w:b/>
          <w:bCs/>
          <w:i w:val="false"/>
          <w:iCs w:val="false"/>
          <w:sz w:val="22"/>
          <w:szCs w:val="22"/>
        </w:rPr>
        <w:t xml:space="preserve">Deployer: </w:t>
      </w:r>
      <w:r>
        <w:rPr>
          <w:rFonts w:ascii="Calibri" w:cs="Calibri" w:eastAsia="Calibri" w:hAnsi="Calibri"/>
          <w:b w:val="false"/>
          <w:bCs w:val="false"/>
          <w:i w:val="false"/>
          <w:iCs w:val="false"/>
          <w:sz w:val="22"/>
          <w:szCs w:val="22"/>
        </w:rPr>
        <w:t xml:space="preserve">A natural or legal person using an AI system under its authority, other than a purely personal, non-professional activity.</w:t>
      </w:r>
    </w:p>
    <w:p>
      <w:pPr>
        <w:spacing w:after="160" w:line="276"/>
      </w:pPr>
      <w:r>
        <w:rPr>
          <w:rFonts w:ascii="Calibri" w:cs="Calibri" w:eastAsia="Calibri" w:hAnsi="Calibri"/>
          <w:b/>
          <w:bCs/>
          <w:i w:val="false"/>
          <w:iCs w:val="false"/>
          <w:sz w:val="22"/>
          <w:szCs w:val="22"/>
        </w:rPr>
        <w:t xml:space="preserve">Authorized representative: </w:t>
      </w:r>
      <w:r>
        <w:rPr>
          <w:rFonts w:ascii="Calibri" w:cs="Calibri" w:eastAsia="Calibri" w:hAnsi="Calibri"/>
          <w:b w:val="false"/>
          <w:bCs w:val="false"/>
          <w:i w:val="false"/>
          <w:iCs w:val="false"/>
          <w:sz w:val="22"/>
          <w:szCs w:val="22"/>
        </w:rPr>
        <w:t xml:space="preserve">A person established in the EU with a written mandate from a non-EU provider to carry out specified compliance tasks on its behalf.</w:t>
      </w:r>
    </w:p>
    <w:p>
      <w:pPr>
        <w:spacing w:after="160" w:line="276"/>
      </w:pPr>
      <w:r>
        <w:rPr>
          <w:rFonts w:ascii="Calibri" w:cs="Calibri" w:eastAsia="Calibri" w:hAnsi="Calibri"/>
          <w:b/>
          <w:bCs/>
          <w:i w:val="false"/>
          <w:iCs w:val="false"/>
          <w:sz w:val="22"/>
          <w:szCs w:val="22"/>
        </w:rPr>
        <w:t xml:space="preserve">Importer / Distributor: </w:t>
      </w:r>
      <w:r>
        <w:rPr>
          <w:rFonts w:ascii="Calibri" w:cs="Calibri" w:eastAsia="Calibri" w:hAnsi="Calibri"/>
          <w:b w:val="false"/>
          <w:bCs w:val="false"/>
          <w:i w:val="false"/>
          <w:iCs w:val="false"/>
          <w:sz w:val="22"/>
          <w:szCs w:val="22"/>
        </w:rPr>
        <w:t xml:space="preserve">An importer places a non-EU provider's system on the EU market; a distributor makes a system available on the EU market without being the provider or importer. Both have defined verification duties.</w:t>
      </w:r>
    </w:p>
    <w:p>
      <w:pPr>
        <w:spacing w:after="160" w:line="276"/>
      </w:pPr>
      <w:r>
        <w:rPr>
          <w:rFonts w:ascii="Calibri" w:cs="Calibri" w:eastAsia="Calibri" w:hAnsi="Calibri"/>
          <w:b/>
          <w:bCs/>
          <w:i w:val="false"/>
          <w:iCs w:val="false"/>
          <w:sz w:val="22"/>
          <w:szCs w:val="22"/>
        </w:rPr>
        <w:t xml:space="preserve">Operator: </w:t>
      </w:r>
      <w:r>
        <w:rPr>
          <w:rFonts w:ascii="Calibri" w:cs="Calibri" w:eastAsia="Calibri" w:hAnsi="Calibri"/>
          <w:b w:val="false"/>
          <w:bCs w:val="false"/>
          <w:i w:val="false"/>
          <w:iCs w:val="false"/>
          <w:sz w:val="22"/>
          <w:szCs w:val="22"/>
        </w:rPr>
        <w:t xml:space="preserve">Umbrella term covering provider, deployer, authorized representative, importer and distributor.</w:t>
      </w:r>
    </w:p>
    <w:p>
      <w:pPr>
        <w:spacing w:after="160" w:line="276"/>
      </w:pPr>
      <w:r>
        <w:rPr>
          <w:rFonts w:ascii="Calibri" w:cs="Calibri" w:eastAsia="Calibri" w:hAnsi="Calibri"/>
          <w:b/>
          <w:bCs/>
          <w:i w:val="false"/>
          <w:iCs w:val="false"/>
          <w:sz w:val="22"/>
          <w:szCs w:val="22"/>
        </w:rPr>
        <w:t xml:space="preserve">Notified body: </w:t>
      </w:r>
      <w:r>
        <w:rPr>
          <w:rFonts w:ascii="Calibri" w:cs="Calibri" w:eastAsia="Calibri" w:hAnsi="Calibri"/>
          <w:b w:val="false"/>
          <w:bCs w:val="false"/>
          <w:i w:val="false"/>
          <w:iCs w:val="false"/>
          <w:sz w:val="22"/>
          <w:szCs w:val="22"/>
        </w:rPr>
        <w:t xml:space="preserve">An independent conformity-assessment organization designated and monitored by an EU Member State, authorized to carry out third-party (Annex VII) conformity assessments.</w:t>
      </w:r>
    </w:p>
    <w:p>
      <w:pPr>
        <w:spacing w:after="160" w:line="276"/>
      </w:pPr>
      <w:r>
        <w:rPr>
          <w:rFonts w:ascii="Calibri" w:cs="Calibri" w:eastAsia="Calibri" w:hAnsi="Calibri"/>
          <w:b/>
          <w:bCs/>
          <w:i w:val="false"/>
          <w:iCs w:val="false"/>
          <w:sz w:val="22"/>
          <w:szCs w:val="22"/>
        </w:rPr>
        <w:t xml:space="preserve">Market surveillance authority (MSA): </w:t>
      </w:r>
      <w:r>
        <w:rPr>
          <w:rFonts w:ascii="Calibri" w:cs="Calibri" w:eastAsia="Calibri" w:hAnsi="Calibri"/>
          <w:b w:val="false"/>
          <w:bCs w:val="false"/>
          <w:i w:val="false"/>
          <w:iCs w:val="false"/>
          <w:sz w:val="22"/>
          <w:szCs w:val="22"/>
        </w:rPr>
        <w:t xml:space="preserve">The national authority responsible for monitoring compliance of AI systems on the market and investigating non-compliance; also acts as the notified body for law-enforcement/migration/asylum authorities in certain cases.</w:t>
      </w:r>
    </w:p>
    <w:p>
      <w:pPr>
        <w:spacing w:after="160" w:line="276"/>
      </w:pPr>
      <w:r>
        <w:rPr>
          <w:rFonts w:ascii="Calibri" w:cs="Calibri" w:eastAsia="Calibri" w:hAnsi="Calibri"/>
          <w:b/>
          <w:bCs/>
          <w:i w:val="false"/>
          <w:iCs w:val="false"/>
          <w:sz w:val="22"/>
          <w:szCs w:val="22"/>
        </w:rPr>
        <w:t xml:space="preserve">High-risk AI system: </w:t>
      </w:r>
      <w:r>
        <w:rPr>
          <w:rFonts w:ascii="Calibri" w:cs="Calibri" w:eastAsia="Calibri" w:hAnsi="Calibri"/>
          <w:b w:val="false"/>
          <w:bCs w:val="false"/>
          <w:i w:val="false"/>
          <w:iCs w:val="false"/>
          <w:sz w:val="22"/>
          <w:szCs w:val="22"/>
        </w:rPr>
        <w:t xml:space="preserve">An AI system that falls within Annex I (a safety component of a regulated product) or Annex III (one of the 8 listed use-case categories), and does not qualify for the Art 6(3) narrow-task carve-out.</w:t>
      </w:r>
    </w:p>
    <w:p>
      <w:pPr>
        <w:spacing w:after="160" w:line="276"/>
      </w:pPr>
      <w:r>
        <w:rPr>
          <w:rFonts w:ascii="Calibri" w:cs="Calibri" w:eastAsia="Calibri" w:hAnsi="Calibri"/>
          <w:b/>
          <w:bCs/>
          <w:i w:val="false"/>
          <w:iCs w:val="false"/>
          <w:sz w:val="22"/>
          <w:szCs w:val="22"/>
        </w:rPr>
        <w:t xml:space="preserve">Conformity assessment: </w:t>
      </w:r>
      <w:r>
        <w:rPr>
          <w:rFonts w:ascii="Calibri" w:cs="Calibri" w:eastAsia="Calibri" w:hAnsi="Calibri"/>
          <w:b w:val="false"/>
          <w:bCs w:val="false"/>
          <w:i w:val="false"/>
          <w:iCs w:val="false"/>
          <w:sz w:val="22"/>
          <w:szCs w:val="22"/>
        </w:rPr>
        <w:t xml:space="preserve">The process of verifying whether the requirements of Chapter III, Section 2 (the high-risk obligations) have been fulfilled, via self-assessment (Annex VI) or notified-body assessment (Annex VII).</w:t>
      </w:r>
    </w:p>
    <w:p>
      <w:pPr>
        <w:spacing w:after="160" w:line="276"/>
      </w:pPr>
      <w:r>
        <w:rPr>
          <w:rFonts w:ascii="Calibri" w:cs="Calibri" w:eastAsia="Calibri" w:hAnsi="Calibri"/>
          <w:b/>
          <w:bCs/>
          <w:i w:val="false"/>
          <w:iCs w:val="false"/>
          <w:sz w:val="22"/>
          <w:szCs w:val="22"/>
        </w:rPr>
        <w:t xml:space="preserve">Declaration of Conformity (DoC): </w:t>
      </w:r>
      <w:r>
        <w:rPr>
          <w:rFonts w:ascii="Calibri" w:cs="Calibri" w:eastAsia="Calibri" w:hAnsi="Calibri"/>
          <w:b w:val="false"/>
          <w:bCs w:val="false"/>
          <w:i w:val="false"/>
          <w:iCs w:val="false"/>
          <w:sz w:val="22"/>
          <w:szCs w:val="22"/>
        </w:rPr>
        <w:t xml:space="preserve">A signed, machine-readable statement by the provider that a specific high-risk system meets the applicable requirements, containing the information in Annex V.</w:t>
      </w:r>
    </w:p>
    <w:p>
      <w:pPr>
        <w:spacing w:after="160" w:line="276"/>
      </w:pPr>
      <w:r>
        <w:rPr>
          <w:rFonts w:ascii="Calibri" w:cs="Calibri" w:eastAsia="Calibri" w:hAnsi="Calibri"/>
          <w:b/>
          <w:bCs/>
          <w:i w:val="false"/>
          <w:iCs w:val="false"/>
          <w:sz w:val="22"/>
          <w:szCs w:val="22"/>
        </w:rPr>
        <w:t xml:space="preserve">CE marking: </w:t>
      </w:r>
      <w:r>
        <w:rPr>
          <w:rFonts w:ascii="Calibri" w:cs="Calibri" w:eastAsia="Calibri" w:hAnsi="Calibri"/>
          <w:b w:val="false"/>
          <w:bCs w:val="false"/>
          <w:i w:val="false"/>
          <w:iCs w:val="false"/>
          <w:sz w:val="22"/>
          <w:szCs w:val="22"/>
        </w:rPr>
        <w:t xml:space="preserve">A physical or digital mark affixed to a compliant high-risk system, indicating conformity with the Regulation (and, where relevant, other applicable EU legislation).</w:t>
      </w:r>
    </w:p>
    <w:p>
      <w:pPr>
        <w:spacing w:after="160" w:line="276"/>
      </w:pPr>
      <w:r>
        <w:rPr>
          <w:rFonts w:ascii="Calibri" w:cs="Calibri" w:eastAsia="Calibri" w:hAnsi="Calibri"/>
          <w:b/>
          <w:bCs/>
          <w:i w:val="false"/>
          <w:iCs w:val="false"/>
          <w:sz w:val="22"/>
          <w:szCs w:val="22"/>
        </w:rPr>
        <w:t xml:space="preserve">Substantial modification: </w:t>
      </w:r>
      <w:r>
        <w:rPr>
          <w:rFonts w:ascii="Calibri" w:cs="Calibri" w:eastAsia="Calibri" w:hAnsi="Calibri"/>
          <w:b w:val="false"/>
          <w:bCs w:val="false"/>
          <w:i w:val="false"/>
          <w:iCs w:val="false"/>
          <w:sz w:val="22"/>
          <w:szCs w:val="22"/>
        </w:rPr>
        <w:t xml:space="preserve">A change to an AI system, not foreseen/planned in the initial conformity assessment, that affects compliance or changes the intended purpose — triggering a new conformity assessment.</w:t>
      </w:r>
    </w:p>
    <w:p>
      <w:pPr>
        <w:spacing w:after="160" w:line="276"/>
      </w:pPr>
      <w:r>
        <w:rPr>
          <w:rFonts w:ascii="Calibri" w:cs="Calibri" w:eastAsia="Calibri" w:hAnsi="Calibri"/>
          <w:b/>
          <w:bCs/>
          <w:i w:val="false"/>
          <w:iCs w:val="false"/>
          <w:sz w:val="22"/>
          <w:szCs w:val="22"/>
        </w:rPr>
        <w:t xml:space="preserve">GPAI model: </w:t>
      </w:r>
      <w:r>
        <w:rPr>
          <w:rFonts w:ascii="Calibri" w:cs="Calibri" w:eastAsia="Calibri" w:hAnsi="Calibri"/>
          <w:b w:val="false"/>
          <w:bCs w:val="false"/>
          <w:i w:val="false"/>
          <w:iCs w:val="false"/>
          <w:sz w:val="22"/>
          <w:szCs w:val="22"/>
        </w:rPr>
        <w:t xml:space="preserve">A general-purpose AI model displaying significant generality, capable of competently performing a wide range of distinct tasks, and that can be integrated into a variety of downstream systems.</w:t>
      </w:r>
    </w:p>
    <w:p>
      <w:pPr>
        <w:spacing w:after="160" w:line="276"/>
      </w:pPr>
      <w:r>
        <w:rPr>
          <w:rFonts w:ascii="Calibri" w:cs="Calibri" w:eastAsia="Calibri" w:hAnsi="Calibri"/>
          <w:b/>
          <w:bCs/>
          <w:i w:val="false"/>
          <w:iCs w:val="false"/>
          <w:sz w:val="22"/>
          <w:szCs w:val="22"/>
        </w:rPr>
        <w:t xml:space="preserve">Systemic risk (GPAI): </w:t>
      </w:r>
      <w:r>
        <w:rPr>
          <w:rFonts w:ascii="Calibri" w:cs="Calibri" w:eastAsia="Calibri" w:hAnsi="Calibri"/>
          <w:b w:val="false"/>
          <w:bCs w:val="false"/>
          <w:i w:val="false"/>
          <w:iCs w:val="false"/>
          <w:sz w:val="22"/>
          <w:szCs w:val="22"/>
        </w:rPr>
        <w:t xml:space="preserve">Risk specific to the high-impact capabilities of a GPAI model, presumed where cumulative training compute exceeds 10^25 FLOPs, or by Commission designation.</w:t>
      </w:r>
    </w:p>
    <w:p>
      <w:pPr>
        <w:spacing w:after="160" w:line="276"/>
      </w:pPr>
      <w:r>
        <w:rPr>
          <w:rFonts w:ascii="Calibri" w:cs="Calibri" w:eastAsia="Calibri" w:hAnsi="Calibri"/>
          <w:b/>
          <w:bCs/>
          <w:i w:val="false"/>
          <w:iCs w:val="false"/>
          <w:sz w:val="22"/>
          <w:szCs w:val="22"/>
        </w:rPr>
        <w:t xml:space="preserve">AI Office: </w:t>
      </w:r>
      <w:r>
        <w:rPr>
          <w:rFonts w:ascii="Calibri" w:cs="Calibri" w:eastAsia="Calibri" w:hAnsi="Calibri"/>
          <w:b w:val="false"/>
          <w:bCs w:val="false"/>
          <w:i w:val="false"/>
          <w:iCs w:val="false"/>
          <w:sz w:val="22"/>
          <w:szCs w:val="22"/>
        </w:rPr>
        <w:t xml:space="preserve">The European Commission body with centralized supervisory and enforcement powers over GPAI models, GPAI-integrated systems, and very-large-online-platform AI systems.</w:t>
      </w:r>
    </w:p>
    <w:p>
      <w:pPr>
        <w:spacing w:after="160" w:line="276"/>
      </w:pPr>
      <w:r>
        <w:rPr>
          <w:rFonts w:ascii="Calibri" w:cs="Calibri" w:eastAsia="Calibri" w:hAnsi="Calibri"/>
          <w:b/>
          <w:bCs/>
          <w:i w:val="false"/>
          <w:iCs w:val="false"/>
          <w:sz w:val="22"/>
          <w:szCs w:val="22"/>
        </w:rPr>
        <w:t xml:space="preserve">Serious incident: </w:t>
      </w:r>
      <w:r>
        <w:rPr>
          <w:rFonts w:ascii="Calibri" w:cs="Calibri" w:eastAsia="Calibri" w:hAnsi="Calibri"/>
          <w:b w:val="false"/>
          <w:bCs w:val="false"/>
          <w:i w:val="false"/>
          <w:iCs w:val="false"/>
          <w:sz w:val="22"/>
          <w:szCs w:val="22"/>
        </w:rPr>
        <w:t xml:space="preserve">An incident or malfunction of an AI system that directly or indirectly leads to specified harms (e.g. death, serious health/property/environmental damage, critical infrastructure disruption), reportable under Art 73.</w:t>
      </w:r>
    </w:p>
    <w:p>
      <w:pPr>
        <w:spacing w:after="160" w:line="276"/>
      </w:pPr>
      <w:r>
        <w:rPr>
          <w:rFonts w:ascii="Calibri" w:cs="Calibri" w:eastAsia="Calibri" w:hAnsi="Calibri"/>
          <w:b/>
          <w:bCs/>
          <w:i w:val="false"/>
          <w:iCs w:val="false"/>
          <w:sz w:val="22"/>
          <w:szCs w:val="22"/>
        </w:rPr>
        <w:t xml:space="preserve">Post-market monitoring: </w:t>
      </w:r>
      <w:r>
        <w:rPr>
          <w:rFonts w:ascii="Calibri" w:cs="Calibri" w:eastAsia="Calibri" w:hAnsi="Calibri"/>
          <w:b w:val="false"/>
          <w:bCs w:val="false"/>
          <w:i w:val="false"/>
          <w:iCs w:val="false"/>
          <w:sz w:val="22"/>
          <w:szCs w:val="22"/>
        </w:rPr>
        <w:t xml:space="preserve">A provider's system, required under Art 72, for actively collecting and reviewing data on a high-risk system's performance throughout its lifetime after market placement.</w:t>
      </w:r>
    </w:p>
    <w:p>
      <w:pPr>
        <w:spacing w:after="160" w:line="276"/>
      </w:pPr>
      <w:r>
        <w:rPr>
          <w:rFonts w:ascii="Calibri" w:cs="Calibri" w:eastAsia="Calibri" w:hAnsi="Calibri"/>
          <w:b/>
          <w:bCs/>
          <w:i w:val="false"/>
          <w:iCs w:val="false"/>
          <w:sz w:val="22"/>
          <w:szCs w:val="22"/>
        </w:rPr>
        <w:t xml:space="preserve">Harmonised standard / common specification: </w:t>
      </w:r>
      <w:r>
        <w:rPr>
          <w:rFonts w:ascii="Calibri" w:cs="Calibri" w:eastAsia="Calibri" w:hAnsi="Calibri"/>
          <w:b w:val="false"/>
          <w:bCs w:val="false"/>
          <w:i w:val="false"/>
          <w:iCs w:val="false"/>
          <w:sz w:val="22"/>
          <w:szCs w:val="22"/>
        </w:rPr>
        <w:t xml:space="preserve">A technical standard adopted under EU standardization law (or a Commission-adopted common specification where none exists) that, if followed, creates a presumption of conformity with the corresponding requirement.</w:t>
      </w:r>
    </w:p>
    <w:p>
      <w:pPr>
        <w:spacing w:after="160" w:line="276"/>
      </w:pPr>
      <w:r>
        <w:rPr>
          <w:rFonts w:ascii="Calibri" w:cs="Calibri" w:eastAsia="Calibri" w:hAnsi="Calibri"/>
          <w:b/>
          <w:bCs/>
          <w:i w:val="false"/>
          <w:iCs w:val="false"/>
          <w:sz w:val="22"/>
          <w:szCs w:val="22"/>
        </w:rPr>
        <w:t xml:space="preserve">Small mid-cap: </w:t>
      </w:r>
      <w:r>
        <w:rPr>
          <w:rFonts w:ascii="Calibri" w:cs="Calibri" w:eastAsia="Calibri" w:hAnsi="Calibri"/>
          <w:b w:val="false"/>
          <w:bCs w:val="false"/>
          <w:i w:val="false"/>
          <w:iCs w:val="false"/>
          <w:sz w:val="22"/>
          <w:szCs w:val="22"/>
        </w:rPr>
        <w:t xml:space="preserve">A new Digital Omnibus relief category (fewer than 750 employees, turnover up to €150m or balance sheet up to €129m) eligible for simplified documentation, a proportionate QMS, and sandbox priority.</w:t>
      </w:r>
    </w:p>
    <w:p>
      <w:pPr>
        <w:spacing w:after="160" w:line="276"/>
      </w:pPr>
      <w:r>
        <w:rPr>
          <w:rFonts w:ascii="Calibri" w:cs="Calibri" w:eastAsia="Calibri" w:hAnsi="Calibri"/>
          <w:b/>
          <w:bCs/>
          <w:i w:val="false"/>
          <w:iCs w:val="false"/>
          <w:sz w:val="22"/>
          <w:szCs w:val="22"/>
        </w:rPr>
        <w:t xml:space="preserve">Quality management system (QMS): </w:t>
      </w:r>
      <w:r>
        <w:rPr>
          <w:rFonts w:ascii="Calibri" w:cs="Calibri" w:eastAsia="Calibri" w:hAnsi="Calibri"/>
          <w:b w:val="false"/>
          <w:bCs w:val="false"/>
          <w:i w:val="false"/>
          <w:iCs w:val="false"/>
          <w:sz w:val="22"/>
          <w:szCs w:val="22"/>
        </w:rPr>
        <w:t xml:space="preserve">The documented set of policies and procedures, required under Art 17 for every high-risk-system provider, covering regulatory-compliance strategy, design control, testing/validation, data management, risk management, post-market monitoring, incident reporting and record-keeping — proportionate to the size of the organization.</w:t>
      </w:r>
    </w:p>
    <w:p>
      <w:r>
        <w:br w:type="page"/>
      </w:r>
    </w:p>
    <w:p>
      <w:pPr>
        <w:pStyle w:val="Heading1"/>
        <w:spacing w:after="200" w:before="400"/>
      </w:pPr>
      <w:r>
        <w:t xml:space="preserve">Appendix A: Quick Reference – Risk Tiers</w:t>
      </w:r>
    </w:p>
    <w:p>
      <w:pPr>
        <w:pStyle w:val="Heading2"/>
        <w:spacing w:after="150" w:before="300"/>
      </w:pPr>
      <w:r>
        <w:t xml:space="preserve">A.1 The 9 Prohibited Practices (Article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91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Practice</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Subliminal / manipulative / deceptive techniques</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Exploiting vulnerabilities</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Social scoring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Individual crime-risk prediction from profiling alone</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Untargeted facial-image scraping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Emotion inference in workplace/education</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Sensitive biometric categorization</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Real-time remote biometric identification (law enforcement)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AI-generated non-consensual intimate imagery / CSAM (NEW — 2026 Digital Omnibus)</w:t>
            </w:r>
          </w:p>
        </w:tc>
      </w:tr>
    </w:tbl>
    <w:p>
      <w:pPr>
        <w:spacing w:after="120"/>
      </w:pPr>
    </w:p>
    <w:p>
      <w:pPr>
        <w:pStyle w:val="Heading2"/>
        <w:spacing w:after="150" w:before="300"/>
      </w:pPr>
      <w:r>
        <w:t xml:space="preserve">A.2 The 8 Annex III High-Risk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91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Biometrics</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 infrastructure</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Education &amp; vocational training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Employment &amp; worker management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Essential private &amp; public services</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Law enforcement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91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Migration, asylum &amp; border control</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91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Administration of justice &amp; democratic processes</w:t>
            </w:r>
          </w:p>
        </w:tc>
      </w:tr>
    </w:tbl>
    <w:p>
      <w:r>
        <w:br w:type="page"/>
      </w:r>
    </w:p>
    <w:p>
      <w:pPr>
        <w:pStyle w:val="Heading1"/>
        <w:spacing w:after="200" w:before="400"/>
      </w:pPr>
      <w:r>
        <w:t xml:space="preserve">Appendix B: Quick Reference – Phased Timeline (Post-Digital-Omnibus)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780"/>
        <w:gridCol w:w="2800"/>
      </w:tblGrid>
      <w:tr>
        <w:trPr>
          <w:cantSplit/>
          <w:tblHeader/>
        </w:trPr>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w:t>
            </w:r>
          </w:p>
        </w:tc>
        <w:tc>
          <w:tcPr>
            <w:tcW w:type="dxa" w:w="57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Status</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Aug 2024</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Entry into force of Regulation (EU) 2024/1689</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Feb 2025</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Article 5 prohibited-practices ban takes effect (original 8 practices)</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 — already in effect</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2025</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GPAI obligations (Art 51-56) take effect</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 — already in effect</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2026</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GPAI penalty enforcement begins</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Staggered enforcement detail from the original Act — not an Omnibus change</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2026</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Article 50 transparency obligations take effect</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Unaffected by the Omnibus</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2026</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Grace period ends: machine-readable/watermarking (Art 50(2)) for systems already on the market before 2 Aug 2026</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New grace-period deadline</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2026</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Compliance deadline for the new Art 5(9) prohibition on AI-generated non-consensual intimate imagery / CSAM</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New — added by the Digital Omnibus</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2027</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National AI regulatory sandboxes operational</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Dec 2027</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Annex III stand-alone high-risk systems — Chapter III obligations apply</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CHANGED — postponed from 2 Aug 2026</w:t>
            </w:r>
          </w:p>
        </w:tc>
      </w:tr>
      <w:tr>
        <w:trPr>
          <w:cantSplit/>
        </w:trP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28 Jan 2028</w:t>
            </w:r>
          </w:p>
        </w:tc>
        <w:tc>
          <w:tcPr>
            <w:tcW w:type="dxa" w:w="5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Notified bodies must apply for AI Act designation</w:t>
            </w:r>
          </w:p>
        </w:tc>
        <w:tc>
          <w:tcPr>
            <w:tcW w:type="dxa" w:w="2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Unchanged</w:t>
            </w:r>
          </w:p>
        </w:tc>
      </w:tr>
      <w:tr>
        <w:trPr>
          <w:cantSplit/>
        </w:trP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Aug 2028</w:t>
            </w:r>
          </w:p>
        </w:tc>
        <w:tc>
          <w:tcPr>
            <w:tcW w:type="dxa" w:w="5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Annex I embedded/product high-risk systems — Art 6(1) obligations apply</w:t>
            </w:r>
          </w:p>
        </w:tc>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CHANGED — postponed from 2 Aug 2027</w:t>
            </w:r>
          </w:p>
        </w:tc>
      </w:tr>
    </w:tbl>
    <w:p>
      <w:r>
        <w:br w:type="page"/>
      </w:r>
    </w:p>
    <w:p>
      <w:pPr>
        <w:pStyle w:val="Heading1"/>
        <w:spacing w:after="200" w:before="400"/>
      </w:pPr>
      <w:r>
        <w:t xml:space="preserve">Appendix C: Quick Reference – Penalties (Article 99)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780"/>
        <w:gridCol w:w="2900"/>
      </w:tblGrid>
      <w:tr>
        <w:trPr>
          <w:cantSplit/>
          <w:tblHeader/>
        </w:trPr>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Violation category</w:t>
            </w:r>
          </w:p>
        </w:tc>
        <w:tc>
          <w:tcPr>
            <w:tcW w:type="dxa" w:w="37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Maximum penalty</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SME/startup relief</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Prohibited-practice violations (Art 5)</w:t>
            </w:r>
          </w:p>
        </w:tc>
        <w:tc>
          <w:tcPr>
            <w:tcW w:type="dxa" w:w="3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€35,000,000 or 7% of worldwide annual turnover, whichever is HIGHER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r>
        <w:trPr>
          <w:cantSplit/>
        </w:trP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Other obligations (Art 16, 22-24, 26, 50, notified-body requirements, etc.)</w:t>
            </w:r>
          </w:p>
        </w:tc>
        <w:tc>
          <w:tcPr>
            <w:tcW w:type="dxa" w:w="37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€15,000,000 or 3% of worldwide annual turnover, whichever is HIGHER</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r>
        <w:trPr>
          <w:cantSplit/>
        </w:trP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Supplying incorrect, incomplete or misleading information</w:t>
            </w:r>
          </w:p>
        </w:tc>
        <w:tc>
          <w:tcPr>
            <w:tcW w:type="dxa" w:w="37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€7,500,000 or 1% of worldwide annual turnover, whichever is HIGHER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Each capped at whichever of amount/percentage is LOWER (SME/startup relief)</w:t>
            </w:r>
          </w:p>
        </w:tc>
      </w:tr>
    </w:tbl>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publicly available secondary guidance on Regulation (EU) 2024/1689 and the Digital Omnibus Regulation (EU) 2026/1744. During research, the consolidated legal text at eur-lex.europa.eu was not directly accessible — this handbook relies on secondary/tracker sources instead, cross-checked against each other where possible. Key sources consulted:</w:t>
      </w:r>
    </w:p>
    <w:p>
      <w:pPr>
        <w:pStyle w:val="ListParagraph"/>
        <w:numPr>
          <w:ilvl w:val="0"/>
          <w:numId w:val="2"/>
        </w:numPr>
        <w:spacing w:after="100"/>
      </w:pPr>
      <w:r>
        <w:rPr>
          <w:rFonts w:ascii="Calibri" w:cs="Calibri" w:eastAsia="Calibri" w:hAnsi="Calibri"/>
          <w:sz w:val="22"/>
          <w:szCs w:val="22"/>
        </w:rPr>
        <w:t xml:space="preserve">artificialintelligenceact.eu – Article-by-article and Annex-by-Annex explorer of Regulation (EU) 2024/1689</w:t>
      </w:r>
    </w:p>
    <w:p>
      <w:pPr>
        <w:pStyle w:val="ListParagraph"/>
        <w:numPr>
          <w:ilvl w:val="0"/>
          <w:numId w:val="2"/>
        </w:numPr>
        <w:spacing w:after="100"/>
      </w:pPr>
      <w:r>
        <w:rPr>
          <w:rFonts w:ascii="Calibri" w:cs="Calibri" w:eastAsia="Calibri" w:hAnsi="Calibri"/>
          <w:sz w:val="22"/>
          <w:szCs w:val="22"/>
        </w:rPr>
        <w:t xml:space="preserve">Council of the European Union (consilium.europa.eu) – Press releases on the Digital Omnibus Regulation (EU) 2026/1744</w:t>
      </w:r>
    </w:p>
    <w:p>
      <w:pPr>
        <w:pStyle w:val="ListParagraph"/>
        <w:numPr>
          <w:ilvl w:val="0"/>
          <w:numId w:val="2"/>
        </w:numPr>
        <w:spacing w:after="100"/>
      </w:pPr>
      <w:r>
        <w:rPr>
          <w:rFonts w:ascii="Calibri" w:cs="Calibri" w:eastAsia="Calibri" w:hAnsi="Calibri"/>
          <w:sz w:val="22"/>
          <w:szCs w:val="22"/>
        </w:rPr>
        <w:t xml:space="preserve">White &amp; Case (whitecase.com) – AI Act tracker and Digital Omnibus client alerts</w:t>
      </w:r>
    </w:p>
    <w:p>
      <w:pPr>
        <w:pStyle w:val="ListParagraph"/>
        <w:numPr>
          <w:ilvl w:val="0"/>
          <w:numId w:val="2"/>
        </w:numPr>
        <w:spacing w:after="100"/>
      </w:pPr>
      <w:r>
        <w:rPr>
          <w:rFonts w:ascii="Calibri" w:cs="Calibri" w:eastAsia="Calibri" w:hAnsi="Calibri"/>
          <w:sz w:val="22"/>
          <w:szCs w:val="22"/>
        </w:rPr>
        <w:t xml:space="preserve">Hunton Andrews Kurth (huntonak.com) – AI Act compliance-timeline coverage</w:t>
      </w:r>
    </w:p>
    <w:p>
      <w:pPr>
        <w:pStyle w:val="ListParagraph"/>
        <w:numPr>
          <w:ilvl w:val="0"/>
          <w:numId w:val="2"/>
        </w:numPr>
        <w:spacing w:after="100"/>
      </w:pPr>
      <w:r>
        <w:rPr>
          <w:rFonts w:ascii="Calibri" w:cs="Calibri" w:eastAsia="Calibri" w:hAnsi="Calibri"/>
          <w:sz w:val="22"/>
          <w:szCs w:val="22"/>
        </w:rPr>
        <w:t xml:space="preserve">Orrick (orrick.com) – AI Act and Digital Omnibus client briefings</w:t>
      </w:r>
    </w:p>
    <w:p>
      <w:pPr>
        <w:pStyle w:val="ListParagraph"/>
        <w:numPr>
          <w:ilvl w:val="0"/>
          <w:numId w:val="2"/>
        </w:numPr>
        <w:spacing w:after="100"/>
      </w:pPr>
      <w:r>
        <w:rPr>
          <w:rFonts w:ascii="Calibri" w:cs="Calibri" w:eastAsia="Calibri" w:hAnsi="Calibri"/>
          <w:sz w:val="22"/>
          <w:szCs w:val="22"/>
        </w:rPr>
        <w:t xml:space="preserve">IAPP (iapp.org) – Digital Omnibus coverage and analysis</w:t>
      </w:r>
    </w:p>
    <w:p>
      <w:pPr>
        <w:pStyle w:val="ListParagraph"/>
        <w:numPr>
          <w:ilvl w:val="0"/>
          <w:numId w:val="2"/>
        </w:numPr>
        <w:spacing w:after="100"/>
      </w:pPr>
      <w:r>
        <w:rPr>
          <w:rFonts w:ascii="Calibri" w:cs="Calibri" w:eastAsia="Calibri" w:hAnsi="Calibri"/>
          <w:sz w:val="22"/>
          <w:szCs w:val="22"/>
        </w:rPr>
        <w:t xml:space="preserve">DLA Piper (dlapiper.com) – AI Act tracker and compliance guidance</w:t>
      </w:r>
    </w:p>
    <w:p>
      <w:pPr>
        <w:spacing w:after="120"/>
      </w:pPr>
    </w:p>
    <w:p>
      <w:pPr>
        <w:spacing w:after="160" w:line="276"/>
      </w:pPr>
      <w:r>
        <w:rPr>
          <w:rFonts w:ascii="Calibri" w:cs="Calibri" w:eastAsia="Calibri" w:hAnsi="Calibri"/>
          <w:sz w:val="22"/>
          <w:szCs w:val="22"/>
        </w:rPr>
        <w:t xml:space="preserve">Note: This handbook reproduces obligations, categories, and dates in summarized, plain-language form for training purposes based on secondary industry sources current as of August 2026. Always verify against the official consolidated text of Regulation (EU) 2024/1689 as amended by Regulation (EU) 2026/1744 on eur-lex.europa.eu, and check ai-act-service-desk.ec.europa.eu for current implementation guidance, before relying on this handbook for a live compliance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EU AI Act Conformity Assessment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2026-08-13T15:24:42.657Z</dcterms:created>
  <dcterms:modified xsi:type="dcterms:W3CDTF">2026-08-13T15:24:42.658Z</dcterms:modified>
</cp:coreProperties>
</file>

<file path=docProps/custom.xml><?xml version="1.0" encoding="utf-8"?>
<Properties xmlns="http://schemas.openxmlformats.org/officeDocument/2006/custom-properties" xmlns:vt="http://schemas.openxmlformats.org/officeDocument/2006/docPropsVTypes"/>
</file>