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2"/>
          <w:szCs w:val="52"/>
        </w:rPr>
        <w:t xml:space="preserve">GDPR COMPLIANCE AUDIT HANDBOOK</w:t>
      </w:r>
    </w:p>
    <w:p>
      <w:pPr>
        <w:spacing w:after="300" w:before="300"/>
        <w:jc w:val="center"/>
      </w:pPr>
      <w:r>
        <w:rPr>
          <w:rFonts w:ascii="Calibri" w:cs="Calibri" w:eastAsia="Calibri" w:hAnsi="Calibri"/>
          <w:color w:val="2E5395"/>
          <w:sz w:val="30"/>
          <w:szCs w:val="30"/>
        </w:rPr>
        <w:t xml:space="preserve">A Beginner's Step-by-Step Guide to Auditing Data Protection Compliance</w:t>
      </w:r>
    </w:p>
    <w:p>
      <w:pPr>
        <w:spacing w:before="200"/>
        <w:jc w:val="center"/>
      </w:pPr>
      <w:r>
        <w:rPr>
          <w:rFonts w:ascii="Calibri" w:cs="Calibri" w:eastAsia="Calibri" w:hAnsi="Calibri"/>
          <w:i/>
          <w:iCs/>
          <w:color w:val="595959"/>
          <w:sz w:val="24"/>
          <w:szCs w:val="24"/>
        </w:rPr>
        <w:t xml:space="preserve">For new risk &amp; privacy professionals running or preparing for a GDPR compliance audit — a legal-compliance audit, not an ISO-style certification audit</w:t>
      </w:r>
    </w:p>
    <w:p>
      <w:pPr>
        <w:spacing w:before="800"/>
        <w:jc w:val="center"/>
      </w:pPr>
      <w:r>
        <w:rPr>
          <w:rFonts w:ascii="Calibri" w:cs="Calibri" w:eastAsia="Calibri" w:hAnsi="Calibri"/>
          <w:color w:val="595959"/>
          <w:sz w:val="22"/>
          <w:szCs w:val="22"/>
        </w:rPr>
        <w:t xml:space="preserve">Companion to: GDPR Compliance Audit Toolkit.xlsx</w:t>
      </w:r>
    </w:p>
    <w:p>
      <w:pPr>
        <w:spacing w:before="4000"/>
        <w:jc w:val="center"/>
      </w:pPr>
      <w:r>
        <w:rPr>
          <w:rFonts w:ascii="Calibri" w:cs="Calibri" w:eastAsia="Calibri" w:hAnsi="Calibri"/>
          <w:color w:val="595959"/>
          <w:sz w:val="20"/>
          <w:szCs w:val="20"/>
        </w:rPr>
        <w:t xml:space="preserve">Prepared August 2026 — Regulation (EU) 2016/679</w:t>
      </w:r>
    </w:p>
    <w:p>
      <w:r>
        <w:br w:type="page"/>
      </w:r>
    </w:p>
    <w:p>
      <w:pPr>
        <w:pStyle w:val="Heading1"/>
        <w:spacing w:after="200" w:before="400"/>
      </w:pPr>
      <w:r>
        <w:t xml:space="preserve">Table of Contents</w:t>
      </w:r>
    </w:p>
    <w:p>
      <w:pPr>
        <w:spacing w:after="200"/>
      </w:pPr>
      <w:r>
        <w:rPr>
          <w:rFonts w:ascii="Calibri" w:cs="Calibri" w:eastAsia="Calibri" w:hAnsi="Calibri"/>
          <w:i/>
          <w:iCs/>
          <w:color w:val="595959"/>
          <w:sz w:val="20"/>
          <w:szCs w:val="20"/>
        </w:rPr>
        <w:t xml:space="preserve">(In Word, right-click below and choose "Update Field" — or press Ctrl+A then F9 — to populate this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Handbook</w:t>
      </w:r>
    </w:p>
    <w:p>
      <w:pPr>
        <w:spacing w:after="160" w:line="276"/>
      </w:pPr>
      <w:r>
        <w:rPr>
          <w:rFonts w:ascii="Calibri" w:cs="Calibri" w:eastAsia="Calibri" w:hAnsi="Calibri"/>
          <w:sz w:val="22"/>
          <w:szCs w:val="22"/>
        </w:rPr>
        <w:t xml:space="preserve">This handbook is written for someone who is new to both risk/audit work and to data protection law. It assumes no prior auditing background and builds up from first principles to a full, repeatable compliance-audit process.</w:t>
      </w:r>
    </w:p>
    <w:p>
      <w:pPr>
        <w:spacing w:after="160" w:line="276"/>
      </w:pPr>
      <w:r>
        <w:rPr>
          <w:rFonts w:ascii="Calibri" w:cs="Calibri" w:eastAsia="Calibri" w:hAnsi="Calibri"/>
          <w:sz w:val="22"/>
          <w:szCs w:val="22"/>
        </w:rPr>
        <w:t xml:space="preserve">A word on framing before you start: GDPR (Regulation (EU) 2016/679) is a LAW, not a certifiable management-system standard like ISO/IEC 27001 or ISO/IEC 42001. There is no accredited Stage 1/Stage 2 certification audit for GDPR in the ISO sense. Article 42 allows for certification mechanisms and seals, but as of today these remain rare and nascent in practice. What actually happens, in the real world, is a compliance audit — run by an internal privacy/legal team or an external consultant — that tests whether the organization's processing of personal data conforms to the law. Separately, and adversarially, a Data Protection Authority (DPA) can open a regulatory investigation, which is a different context with different rules. This handbook is built around the compliance-audit reality, and flags the DPA-investigation context wherever it matters.</w:t>
      </w:r>
    </w:p>
    <w:p>
      <w:pPr>
        <w:spacing w:after="160" w:line="276"/>
      </w:pPr>
      <w:r>
        <w:rPr>
          <w:rFonts w:ascii="Calibri" w:cs="Calibri" w:eastAsia="Calibri" w:hAnsi="Calibri"/>
          <w:sz w:val="22"/>
          <w:szCs w:val="22"/>
        </w:rPr>
        <w:t xml:space="preserve">It is organized in five parts:</w:t>
      </w:r>
    </w:p>
    <w:p>
      <w:pPr>
        <w:pStyle w:val="ListParagraph"/>
        <w:numPr>
          <w:ilvl w:val="0"/>
          <w:numId w:val="2"/>
        </w:numPr>
        <w:spacing w:after="100"/>
      </w:pPr>
      <w:r>
        <w:rPr>
          <w:rFonts w:ascii="Calibri" w:cs="Calibri" w:eastAsia="Calibri" w:hAnsi="Calibri"/>
          <w:sz w:val="22"/>
          <w:szCs w:val="22"/>
        </w:rPr>
        <w:t xml:space="preserve">Part One – Auditing fundamentals: the three distinct audit contexts, key terminology, and the auditor's code of conduct.</w:t>
      </w:r>
    </w:p>
    <w:p>
      <w:pPr>
        <w:pStyle w:val="ListParagraph"/>
        <w:numPr>
          <w:ilvl w:val="0"/>
          <w:numId w:val="2"/>
        </w:numPr>
        <w:spacing w:after="100"/>
      </w:pPr>
      <w:r>
        <w:rPr>
          <w:rFonts w:ascii="Calibri" w:cs="Calibri" w:eastAsia="Calibri" w:hAnsi="Calibri"/>
          <w:sz w:val="22"/>
          <w:szCs w:val="22"/>
        </w:rPr>
        <w:t xml:space="preserve">Part Two – Understanding GDPR: why it exists, the principles and lawful bases, a full reference table of the key articles, and the two-tier fine structure.</w:t>
      </w:r>
    </w:p>
    <w:p>
      <w:pPr>
        <w:pStyle w:val="ListParagraph"/>
        <w:numPr>
          <w:ilvl w:val="0"/>
          <w:numId w:val="2"/>
        </w:numPr>
        <w:spacing w:after="100"/>
      </w:pPr>
      <w:r>
        <w:rPr>
          <w:rFonts w:ascii="Calibri" w:cs="Calibri" w:eastAsia="Calibri" w:hAnsi="Calibri"/>
          <w:sz w:val="22"/>
          <w:szCs w:val="22"/>
        </w:rPr>
        <w:t xml:space="preserve">Part Three – The compliance audit journey end to end, from scoping through to re-audit.</w:t>
      </w:r>
    </w:p>
    <w:p>
      <w:pPr>
        <w:pStyle w:val="ListParagraph"/>
        <w:numPr>
          <w:ilvl w:val="0"/>
          <w:numId w:val="2"/>
        </w:numPr>
        <w:spacing w:after="100"/>
      </w:pPr>
      <w:r>
        <w:rPr>
          <w:rFonts w:ascii="Calibri" w:cs="Calibri" w:eastAsia="Calibri" w:hAnsi="Calibri"/>
          <w:sz w:val="22"/>
          <w:szCs w:val="22"/>
        </w:rPr>
        <w:t xml:space="preserve">Part Four – Twelve step-by-step walkthroughs, each tied to a fillable template in the companion Excel workbook, “GDPR Compliance Audit Toolkit.xlsx.”</w:t>
      </w:r>
    </w:p>
    <w:p>
      <w:pPr>
        <w:pStyle w:val="ListParagraph"/>
        <w:numPr>
          <w:ilvl w:val="0"/>
          <w:numId w:val="2"/>
        </w:numPr>
        <w:spacing w:after="100"/>
      </w:pPr>
      <w:r>
        <w:rPr>
          <w:rFonts w:ascii="Calibri" w:cs="Calibri" w:eastAsia="Calibri" w:hAnsi="Calibri"/>
          <w:sz w:val="22"/>
          <w:szCs w:val="22"/>
        </w:rPr>
        <w:t xml:space="preserve">Part Five – How to reuse and mature the toolkit across future audits.</w:t>
      </w:r>
    </w:p>
    <w:p>
      <w:pPr>
        <w:spacing w:after="160" w:line="276"/>
      </w:pPr>
      <w:r>
        <w:rPr>
          <w:rFonts w:ascii="Calibri" w:cs="Calibri" w:eastAsia="Calibri" w:hAnsi="Calibri"/>
          <w:sz w:val="22"/>
          <w:szCs w:val="22"/>
        </w:rPr>
        <w:t xml:space="preserve">Throughout Part Four you will see boxes like the one below — they tell you exactly which tab of the companion workbook to have open.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Example: "Open 'Template 1 - Audit Program' in the GDPR Compliance Audit Toolkit workbook."</w:t>
            </w:r>
          </w:p>
        </w:tc>
      </w:tr>
    </w:tbl>
    <w:p>
      <w:pPr>
        <w:spacing w:after="120"/>
      </w:pPr>
    </w:p>
    <w:p>
      <w:pPr>
        <w:spacing w:after="160" w:line="276"/>
      </w:pPr>
      <w:r>
        <w:rPr>
          <w:rFonts w:ascii="Calibri" w:cs="Calibri" w:eastAsia="Calibri" w:hAnsi="Calibri"/>
          <w:sz w:val="22"/>
          <w:szCs w:val="22"/>
        </w:rPr>
        <w:t xml:space="preserve">Everything here applies to both EU GDPR and UK GDPR compliance audits; Section 2.7 explains the small but important differences between the two regimes.</w:t>
      </w:r>
    </w:p>
    <w:p>
      <w:pPr>
        <w:pStyle w:val="Heading1"/>
        <w:spacing w:after="200" w:before="400"/>
      </w:pPr>
      <w:r>
        <w:t xml:space="preserve">Part One – Auditing Fundamentals</w:t>
      </w:r>
    </w:p>
    <w:p>
      <w:pPr>
        <w:pStyle w:val="Heading2"/>
        <w:spacing w:after="150" w:before="300"/>
      </w:pPr>
      <w:r>
        <w:t xml:space="preserve">1.1 Three Different Contexts, Often Confused</w:t>
      </w:r>
    </w:p>
    <w:p>
      <w:pPr>
        <w:spacing w:after="160" w:line="276"/>
      </w:pPr>
      <w:r>
        <w:rPr>
          <w:rFonts w:ascii="Calibri" w:cs="Calibri" w:eastAsia="Calibri" w:hAnsi="Calibri"/>
          <w:sz w:val="22"/>
          <w:szCs w:val="22"/>
        </w:rPr>
        <w:t xml:space="preserve">The word “audit” gets used loosely around GDPR. Before you do anything else, learn to tell these three contexts apart, because the rules of engagement differ: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80"/>
        <w:gridCol w:w="2380"/>
        <w:gridCol w:w="2940"/>
        <w:gridCol w:w="2380"/>
      </w:tblGrid>
      <w:tr>
        <w:trPr>
          <w:cantSplit/>
          <w:tblHeader/>
        </w:trPr>
        <w:tc>
          <w:tcPr>
            <w:tcW w:type="dxa" w:w="23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Context</w:t>
            </w:r>
          </w:p>
        </w:tc>
        <w:tc>
          <w:tcPr>
            <w:tcW w:type="dxa" w:w="23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Who runs it</w:t>
            </w:r>
          </w:p>
        </w:tc>
        <w:tc>
          <w:tcPr>
            <w:tcW w:type="dxa" w:w="294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Nature</w:t>
            </w:r>
          </w:p>
        </w:tc>
        <w:tc>
          <w:tcPr>
            <w:tcW w:type="dxa" w:w="23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Outcome</w:t>
            </w:r>
          </w:p>
        </w:tc>
      </w:tr>
      <w:tr>
        <w:trPr>
          <w:cantSplit/>
        </w:trPr>
        <w:tc>
          <w:tcPr>
            <w:tcW w:type="dxa" w:w="2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 consultant-led compliance audit</w:t>
            </w:r>
          </w:p>
        </w:tc>
        <w:tc>
          <w:tcPr>
            <w:tcW w:type="dxa" w:w="2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organization's own privacy/legal team, or an external consultancy it hires</w:t>
            </w:r>
          </w:p>
        </w:tc>
        <w:tc>
          <w:tcPr>
            <w:tcW w:type="dxa" w:w="29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Self-directed, cooperative, proactive. This is the primary focus of this handbook.</w:t>
            </w:r>
          </w:p>
        </w:tc>
        <w:tc>
          <w:tcPr>
            <w:tcW w:type="dxa" w:w="2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compliance report with risk-rated findings and a remediation plan — no certificate, no legal force on its own.</w:t>
            </w:r>
          </w:p>
        </w:tc>
      </w:tr>
      <w:tr>
        <w:trPr>
          <w:cantSplit/>
        </w:trPr>
        <w:tc>
          <w:tcPr>
            <w:tcW w:type="dxa" w:w="23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ISO/IEC 27701 or similar certification audit</w:t>
            </w:r>
          </w:p>
        </w:tc>
        <w:tc>
          <w:tcPr>
            <w:tcW w:type="dxa" w:w="23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accredited certification body</w:t>
            </w:r>
          </w:p>
        </w:tc>
        <w:tc>
          <w:tcPr>
            <w:tcW w:type="dxa" w:w="294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Follows an ISO-style Stage 1/Stage 2 process against a privacy-information-management standard that maps to, but is not, GDPR itself.</w:t>
            </w:r>
          </w:p>
        </w:tc>
        <w:tc>
          <w:tcPr>
            <w:tcW w:type="dxa" w:w="23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certificate against the management-system standard — useful evidence of good practice, but not a GDPR compliance certificate.</w:t>
            </w:r>
          </w:p>
        </w:tc>
      </w:tr>
      <w:tr>
        <w:trPr>
          <w:cantSplit/>
        </w:trPr>
        <w:tc>
          <w:tcPr>
            <w:tcW w:type="dxa" w:w="2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DPA regulatory investigation</w:t>
            </w:r>
          </w:p>
        </w:tc>
        <w:tc>
          <w:tcPr>
            <w:tcW w:type="dxa" w:w="2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Data Protection Authority (e.g. the Irish DPC, France's CNIL, Germany's state DPAs, the UK's ICO) exercising Art 58 powers</w:t>
            </w:r>
          </w:p>
        </w:tc>
        <w:tc>
          <w:tcPr>
            <w:tcW w:type="dxa" w:w="29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Adversarial or investigatory, not cooperative by design. The DPA sets scope, timeline and information requests.</w:t>
            </w:r>
          </w:p>
        </w:tc>
        <w:tc>
          <w:tcPr>
            <w:tcW w:type="dxa" w:w="23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Corrective measures, warnings, processing bans, or administrative fines under Art 83 — with direct legal force.</w:t>
            </w:r>
          </w:p>
        </w:tc>
      </w:tr>
    </w:tbl>
    <w:p>
      <w:pPr>
        <w:spacing w:after="160" w:line="276"/>
      </w:pPr>
      <w:r>
        <w:rPr>
          <w:rFonts w:ascii="Calibri" w:cs="Calibri" w:eastAsia="Calibri" w:hAnsi="Calibri"/>
          <w:sz w:val="22"/>
          <w:szCs w:val="22"/>
        </w:rPr>
        <w:t xml:space="preserve">This handbook focuses on the first context — internal or consultant-led compliance audits — because that is what “auditing GDPR” means in the vast majority of real engagements. Section 3.6 explains what changes if a DPA investigation begins.</w:t>
      </w:r>
    </w:p>
    <w:p>
      <w:pPr>
        <w:pStyle w:val="Heading2"/>
        <w:spacing w:after="150" w:before="300"/>
      </w:pPr>
      <w:r>
        <w:t xml:space="preserve">1.2 What a Compliance Audit Actually Is</w:t>
      </w:r>
    </w:p>
    <w:p>
      <w:pPr>
        <w:spacing w:after="160" w:line="276"/>
      </w:pPr>
      <w:r>
        <w:rPr>
          <w:rFonts w:ascii="Calibri" w:cs="Calibri" w:eastAsia="Calibri" w:hAnsi="Calibri"/>
          <w:sz w:val="22"/>
          <w:szCs w:val="22"/>
        </w:rPr>
        <w:t xml:space="preserve">Borrowing the same discipline ISO 19011 brings to management-system audits, a GDPR compliance audit is a systematic, evidence-based process for determining the extent to which an organization's processing of personal data conforms to the law and its own policies. Unpack that and you have the job:</w:t>
      </w:r>
    </w:p>
    <w:p>
      <w:pPr>
        <w:pStyle w:val="ListParagraph"/>
        <w:numPr>
          <w:ilvl w:val="0"/>
          <w:numId w:val="2"/>
        </w:numPr>
        <w:spacing w:after="100"/>
      </w:pPr>
      <w:r>
        <w:rPr>
          <w:rFonts w:ascii="Calibri" w:cs="Calibri" w:eastAsia="Calibri" w:hAnsi="Calibri"/>
          <w:sz w:val="22"/>
          <w:szCs w:val="22"/>
        </w:rPr>
        <w:t xml:space="preserve">Systematic – you follow a planned process, not an ad-hoc conversation.</w:t>
      </w:r>
    </w:p>
    <w:p>
      <w:pPr>
        <w:pStyle w:val="ListParagraph"/>
        <w:numPr>
          <w:ilvl w:val="0"/>
          <w:numId w:val="2"/>
        </w:numPr>
        <w:spacing w:after="100"/>
      </w:pPr>
      <w:r>
        <w:rPr>
          <w:rFonts w:ascii="Calibri" w:cs="Calibri" w:eastAsia="Calibri" w:hAnsi="Calibri"/>
          <w:sz w:val="22"/>
          <w:szCs w:val="22"/>
        </w:rPr>
        <w:t xml:space="preserve">Independent (as far as possible) – the auditor should not be auditing a process they themselves designed or operate day-to-day.</w:t>
      </w:r>
    </w:p>
    <w:p>
      <w:pPr>
        <w:pStyle w:val="ListParagraph"/>
        <w:numPr>
          <w:ilvl w:val="0"/>
          <w:numId w:val="2"/>
        </w:numPr>
        <w:spacing w:after="100"/>
      </w:pPr>
      <w:r>
        <w:rPr>
          <w:rFonts w:ascii="Calibri" w:cs="Calibri" w:eastAsia="Calibri" w:hAnsi="Calibri"/>
          <w:sz w:val="22"/>
          <w:szCs w:val="22"/>
        </w:rPr>
        <w:t xml:space="preserve">Documented – every step and conclusion is recorded and traceable.</w:t>
      </w:r>
    </w:p>
    <w:p>
      <w:pPr>
        <w:pStyle w:val="ListParagraph"/>
        <w:numPr>
          <w:ilvl w:val="0"/>
          <w:numId w:val="2"/>
        </w:numPr>
        <w:spacing w:after="100"/>
      </w:pPr>
      <w:r>
        <w:rPr>
          <w:rFonts w:ascii="Calibri" w:cs="Calibri" w:eastAsia="Calibri" w:hAnsi="Calibri"/>
          <w:sz w:val="22"/>
          <w:szCs w:val="22"/>
        </w:rPr>
        <w:t xml:space="preserve">Objective evidence – you look at facts (ROPA entries, consent logs, breach records, system configuration), not assurances or opinions.</w:t>
      </w:r>
    </w:p>
    <w:p>
      <w:pPr>
        <w:pStyle w:val="ListParagraph"/>
        <w:numPr>
          <w:ilvl w:val="0"/>
          <w:numId w:val="2"/>
        </w:numPr>
        <w:spacing w:after="100"/>
      </w:pPr>
      <w:r>
        <w:rPr>
          <w:rFonts w:ascii="Calibri" w:cs="Calibri" w:eastAsia="Calibri" w:hAnsi="Calibri"/>
          <w:sz w:val="22"/>
          <w:szCs w:val="22"/>
        </w:rPr>
        <w:t xml:space="preserve">Audit criteria – you compare what you find against a defined reference: here, the GDPR articles plus the organization's own data protection policies.</w:t>
      </w:r>
    </w:p>
    <w:p>
      <w:pPr>
        <w:spacing w:after="160" w:line="276"/>
      </w:pPr>
      <w:r>
        <w:rPr>
          <w:rFonts w:ascii="Calibri" w:cs="Calibri" w:eastAsia="Calibri" w:hAnsi="Calibri"/>
          <w:sz w:val="22"/>
          <w:szCs w:val="22"/>
        </w:rPr>
        <w:t xml:space="preserve">An audit is not a consulting engagement, a witch hunt, or a test of individuals. You are testing whether personal data is processed lawfully — people are simply one source of evidence about that.</w:t>
      </w:r>
    </w:p>
    <w:p>
      <w:pPr>
        <w:pStyle w:val="Heading2"/>
        <w:spacing w:after="150" w:before="300"/>
      </w:pPr>
      <w:r>
        <w:t xml:space="preserve">1.3 Key Terms You Need Before You Start</w:t>
      </w:r>
    </w:p>
    <w:p>
      <w:pPr>
        <w:spacing w:after="160" w:line="276"/>
      </w:pPr>
      <w:r>
        <w:rPr>
          <w:rFonts w:ascii="Calibri" w:cs="Calibri" w:eastAsia="Calibri" w:hAnsi="Calibri"/>
          <w:b/>
          <w:bCs/>
          <w:i w:val="false"/>
          <w:iCs w:val="false"/>
          <w:sz w:val="22"/>
          <w:szCs w:val="22"/>
        </w:rPr>
        <w:t xml:space="preserve">Controller: </w:t>
      </w:r>
      <w:r>
        <w:rPr>
          <w:rFonts w:ascii="Calibri" w:cs="Calibri" w:eastAsia="Calibri" w:hAnsi="Calibri"/>
          <w:b w:val="false"/>
          <w:bCs w:val="false"/>
          <w:i w:val="false"/>
          <w:iCs w:val="false"/>
          <w:sz w:val="22"/>
          <w:szCs w:val="22"/>
        </w:rPr>
        <w:t xml:space="preserve">The natural or legal person, public authority, agency or other body that, alone or jointly with others, determines the purposes and means of processing personal data (Art 4(7)).</w:t>
      </w:r>
    </w:p>
    <w:p>
      <w:pPr>
        <w:spacing w:after="160" w:line="276"/>
      </w:pPr>
      <w:r>
        <w:rPr>
          <w:rFonts w:ascii="Calibri" w:cs="Calibri" w:eastAsia="Calibri" w:hAnsi="Calibri"/>
          <w:b/>
          <w:bCs/>
          <w:i w:val="false"/>
          <w:iCs w:val="false"/>
          <w:sz w:val="22"/>
          <w:szCs w:val="22"/>
        </w:rPr>
        <w:t xml:space="preserve">Processor: </w:t>
      </w:r>
      <w:r>
        <w:rPr>
          <w:rFonts w:ascii="Calibri" w:cs="Calibri" w:eastAsia="Calibri" w:hAnsi="Calibri"/>
          <w:b w:val="false"/>
          <w:bCs w:val="false"/>
          <w:i w:val="false"/>
          <w:iCs w:val="false"/>
          <w:sz w:val="22"/>
          <w:szCs w:val="22"/>
        </w:rPr>
        <w:t xml:space="preserve">A natural or legal person, public authority, agency or other body that processes personal data on behalf of the controller (Art 4(8)).</w:t>
      </w:r>
    </w:p>
    <w:p>
      <w:pPr>
        <w:spacing w:after="160" w:line="276"/>
      </w:pPr>
      <w:r>
        <w:rPr>
          <w:rFonts w:ascii="Calibri" w:cs="Calibri" w:eastAsia="Calibri" w:hAnsi="Calibri"/>
          <w:b/>
          <w:bCs/>
          <w:i w:val="false"/>
          <w:iCs w:val="false"/>
          <w:sz w:val="22"/>
          <w:szCs w:val="22"/>
        </w:rPr>
        <w:t xml:space="preserve">Data subject: </w:t>
      </w:r>
      <w:r>
        <w:rPr>
          <w:rFonts w:ascii="Calibri" w:cs="Calibri" w:eastAsia="Calibri" w:hAnsi="Calibri"/>
          <w:b w:val="false"/>
          <w:bCs w:val="false"/>
          <w:i w:val="false"/>
          <w:iCs w:val="false"/>
          <w:sz w:val="22"/>
          <w:szCs w:val="22"/>
        </w:rPr>
        <w:t xml:space="preserve">An identified or identifiable natural person to whom personal data relates.</w:t>
      </w:r>
    </w:p>
    <w:p>
      <w:pPr>
        <w:spacing w:after="160" w:line="276"/>
      </w:pPr>
      <w:r>
        <w:rPr>
          <w:rFonts w:ascii="Calibri" w:cs="Calibri" w:eastAsia="Calibri" w:hAnsi="Calibri"/>
          <w:b/>
          <w:bCs/>
          <w:i w:val="false"/>
          <w:iCs w:val="false"/>
          <w:sz w:val="22"/>
          <w:szCs w:val="22"/>
        </w:rPr>
        <w:t xml:space="preserve">Personal data: </w:t>
      </w:r>
      <w:r>
        <w:rPr>
          <w:rFonts w:ascii="Calibri" w:cs="Calibri" w:eastAsia="Calibri" w:hAnsi="Calibri"/>
          <w:b w:val="false"/>
          <w:bCs w:val="false"/>
          <w:i w:val="false"/>
          <w:iCs w:val="false"/>
          <w:sz w:val="22"/>
          <w:szCs w:val="22"/>
        </w:rPr>
        <w:t xml:space="preserve">Any information relating to an identified or identifiable natural person (Art 4(1)) — a broader concept than most beginners expect: includes online identifiers, IP addresses, and pseudonymised (but not anonymised) data.</w:t>
      </w:r>
    </w:p>
    <w:p>
      <w:pPr>
        <w:spacing w:after="160" w:line="276"/>
      </w:pPr>
      <w:r>
        <w:rPr>
          <w:rFonts w:ascii="Calibri" w:cs="Calibri" w:eastAsia="Calibri" w:hAnsi="Calibri"/>
          <w:b/>
          <w:bCs/>
          <w:i w:val="false"/>
          <w:iCs w:val="false"/>
          <w:sz w:val="22"/>
          <w:szCs w:val="22"/>
        </w:rPr>
        <w:t xml:space="preserve">Processing: </w:t>
      </w:r>
      <w:r>
        <w:rPr>
          <w:rFonts w:ascii="Calibri" w:cs="Calibri" w:eastAsia="Calibri" w:hAnsi="Calibri"/>
          <w:b w:val="false"/>
          <w:bCs w:val="false"/>
          <w:i w:val="false"/>
          <w:iCs w:val="false"/>
          <w:sz w:val="22"/>
          <w:szCs w:val="22"/>
        </w:rPr>
        <w:t xml:space="preserve">Any operation performed on personal data — collection, recording, storage, use, disclosure, erasure — whether or not by automated means (Art 4(2)).</w:t>
      </w:r>
    </w:p>
    <w:p>
      <w:pPr>
        <w:spacing w:after="160" w:line="276"/>
      </w:pPr>
      <w:r>
        <w:rPr>
          <w:rFonts w:ascii="Calibri" w:cs="Calibri" w:eastAsia="Calibri" w:hAnsi="Calibri"/>
          <w:b/>
          <w:bCs/>
          <w:i w:val="false"/>
          <w:iCs w:val="false"/>
          <w:sz w:val="22"/>
          <w:szCs w:val="22"/>
        </w:rPr>
        <w:t xml:space="preserve">Special category data: </w:t>
      </w:r>
      <w:r>
        <w:rPr>
          <w:rFonts w:ascii="Calibri" w:cs="Calibri" w:eastAsia="Calibri" w:hAnsi="Calibri"/>
          <w:b w:val="false"/>
          <w:bCs w:val="false"/>
          <w:i w:val="false"/>
          <w:iCs w:val="false"/>
          <w:sz w:val="22"/>
          <w:szCs w:val="22"/>
        </w:rPr>
        <w:t xml:space="preserve">Data revealing race/ethnicity, political opinions, religion, trade union membership, or concerning genetics, biometrics (for ID), health, or sex life/orientation (Art 9(1)) — subject to a general prohibition unless an exception applies.</w:t>
      </w:r>
    </w:p>
    <w:p>
      <w:pPr>
        <w:spacing w:after="160" w:line="276"/>
      </w:pPr>
      <w:r>
        <w:rPr>
          <w:rFonts w:ascii="Calibri" w:cs="Calibri" w:eastAsia="Calibri" w:hAnsi="Calibri"/>
          <w:b/>
          <w:bCs/>
          <w:i w:val="false"/>
          <w:iCs w:val="false"/>
          <w:sz w:val="22"/>
          <w:szCs w:val="22"/>
        </w:rPr>
        <w:t xml:space="preserve">Personal data breach: </w:t>
      </w:r>
      <w:r>
        <w:rPr>
          <w:rFonts w:ascii="Calibri" w:cs="Calibri" w:eastAsia="Calibri" w:hAnsi="Calibri"/>
          <w:b w:val="false"/>
          <w:bCs w:val="false"/>
          <w:i w:val="false"/>
          <w:iCs w:val="false"/>
          <w:sz w:val="22"/>
          <w:szCs w:val="22"/>
        </w:rPr>
        <w:t xml:space="preserve">A breach of security leading to accidental or unlawful destruction, loss, alteration, unauthorised disclosure of, or access to, personal data (Art 4(12)).</w:t>
      </w:r>
    </w:p>
    <w:p>
      <w:pPr>
        <w:spacing w:after="160" w:line="276"/>
      </w:pPr>
      <w:r>
        <w:rPr>
          <w:rFonts w:ascii="Calibri" w:cs="Calibri" w:eastAsia="Calibri" w:hAnsi="Calibri"/>
          <w:b/>
          <w:bCs/>
          <w:i w:val="false"/>
          <w:iCs w:val="false"/>
          <w:sz w:val="22"/>
          <w:szCs w:val="22"/>
        </w:rPr>
        <w:t xml:space="preserve">Supervisory authority / DPA: </w:t>
      </w:r>
      <w:r>
        <w:rPr>
          <w:rFonts w:ascii="Calibri" w:cs="Calibri" w:eastAsia="Calibri" w:hAnsi="Calibri"/>
          <w:b w:val="false"/>
          <w:bCs w:val="false"/>
          <w:i w:val="false"/>
          <w:iCs w:val="false"/>
          <w:sz w:val="22"/>
          <w:szCs w:val="22"/>
        </w:rPr>
        <w:t xml:space="preserve">The independent public authority responsible for monitoring GDPR application in a member state (e.g. the Irish DPC, France's CNIL, the UK's ICO post-Brexit).</w:t>
      </w:r>
    </w:p>
    <w:p>
      <w:pPr>
        <w:spacing w:after="160" w:line="276"/>
      </w:pPr>
      <w:r>
        <w:rPr>
          <w:rFonts w:ascii="Calibri" w:cs="Calibri" w:eastAsia="Calibri" w:hAnsi="Calibri"/>
          <w:b/>
          <w:bCs/>
          <w:i w:val="false"/>
          <w:iCs w:val="false"/>
          <w:sz w:val="22"/>
          <w:szCs w:val="22"/>
        </w:rPr>
        <w:t xml:space="preserve">DPO: </w:t>
      </w:r>
      <w:r>
        <w:rPr>
          <w:rFonts w:ascii="Calibri" w:cs="Calibri" w:eastAsia="Calibri" w:hAnsi="Calibri"/>
          <w:b w:val="false"/>
          <w:bCs w:val="false"/>
          <w:i w:val="false"/>
          <w:iCs w:val="false"/>
          <w:sz w:val="22"/>
          <w:szCs w:val="22"/>
        </w:rPr>
        <w:t xml:space="preserve">Data Protection Officer — a role mandatory under Art 37 in specific circumstances, with independence guaranteed under Art 38 and tasks defined under Art 39.</w:t>
      </w:r>
    </w:p>
    <w:p>
      <w:pPr>
        <w:spacing w:after="160" w:line="276"/>
      </w:pPr>
      <w:r>
        <w:rPr>
          <w:rFonts w:ascii="Calibri" w:cs="Calibri" w:eastAsia="Calibri" w:hAnsi="Calibri"/>
          <w:sz w:val="22"/>
          <w:szCs w:val="22"/>
        </w:rPr>
        <w:t xml:space="preserve">(The full glossary appears at the end of this handbook.)</w:t>
      </w:r>
    </w:p>
    <w:p>
      <w:pPr>
        <w:pStyle w:val="Heading2"/>
        <w:spacing w:after="150" w:before="300"/>
      </w:pPr>
      <w:r>
        <w:t xml:space="preserve">1.4 The Auditor's Code of Conduct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Principle</w:t>
            </w:r>
          </w:p>
        </w:tc>
        <w:tc>
          <w:tcPr>
            <w:tcW w:type="dxa" w:w="7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means in practice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Integrity</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honest, diligent, and only take on work you're competent to do.</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Fair presentation</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truthfully and accurately — including significant obstacles or unresolved disagreements.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Due professional care</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Apply diligence and judgement proportionate to the sensitivity of the personal data involved.</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Confidentiality</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the personal data and business information you gain access to; don't use it for personal gain or to harm the auditee.</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Independence</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free of bias and conflict of interest; if you built the process you're auditing, be transparent about that limitation.</w:t>
            </w:r>
          </w:p>
        </w:tc>
      </w:tr>
      <w:tr>
        <w:trPr>
          <w:cantSplit/>
        </w:trP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Evidence-based approach</w:t>
            </w:r>
          </w:p>
        </w:tc>
        <w:tc>
          <w:tcPr>
            <w:tcW w:type="dxa" w:w="7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Conclusions must rest on verifiable evidence, not gut feel, gathered through a rational sampling process.</w:t>
            </w:r>
          </w:p>
        </w:tc>
      </w:tr>
      <w:tr>
        <w:trPr>
          <w:cantSplit/>
        </w:trP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Risk-based approach</w:t>
            </w:r>
          </w:p>
        </w:tc>
        <w:tc>
          <w:tcPr>
            <w:tcW w:type="dxa" w:w="7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Focus audit effort on what matters most — special-category data, high-volume processing, and areas with a history of gaps.</w:t>
            </w:r>
          </w:p>
        </w:tc>
      </w:tr>
    </w:tbl>
    <w:p>
      <w:pPr>
        <w:pStyle w:val="Heading2"/>
        <w:spacing w:after="150" w:before="300"/>
      </w:pPr>
      <w:r>
        <w:t xml:space="preserve">1.5 The Audit Cycle at a Glance</w:t>
      </w:r>
    </w:p>
    <w:p>
      <w:pPr>
        <w:spacing w:after="160" w:line="276"/>
      </w:pPr>
      <w:r>
        <w:rPr>
          <w:rFonts w:ascii="Calibri" w:cs="Calibri" w:eastAsia="Calibri" w:hAnsi="Calibri"/>
          <w:sz w:val="22"/>
          <w:szCs w:val="22"/>
        </w:rPr>
        <w:t xml:space="preserve">Every GDPR compliance audit, however small, follows the same five phases. Part Four of this handbook gives you a template for each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Phase</w:t>
            </w:r>
          </w:p>
        </w:tc>
        <w:tc>
          <w:tcPr>
            <w:tcW w:type="dxa" w:w="76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Plan</w:t>
            </w:r>
          </w:p>
        </w:tc>
        <w:tc>
          <w:tcPr>
            <w:tcW w:type="dxa" w:w="7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Define objectives, scope, criteria, team and schedule (Template 1).</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Scope &amp; Map</w:t>
            </w:r>
          </w:p>
        </w:tc>
        <w:tc>
          <w:tcPr>
            <w:tcW w:type="dxa" w:w="7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processing activities and data flows before diving into evidence (Template 2).</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Test</w:t>
            </w:r>
          </w:p>
        </w:tc>
        <w:tc>
          <w:tcPr>
            <w:tcW w:type="dxa" w:w="7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Gather evidence across principles, lawful basis, rights, DPIAs, ROPA, vendors and breach handling (Templates 3-9).</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Report</w:t>
            </w:r>
          </w:p>
        </w:tc>
        <w:tc>
          <w:tcPr>
            <w:tcW w:type="dxa" w:w="76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Write up risk-rated findings and an overall conclusion (Templates 10-11).</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Remediate &amp; Re-audit</w:t>
            </w:r>
          </w:p>
        </w:tc>
        <w:tc>
          <w:tcPr>
            <w:tcW w:type="dxa" w:w="76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 remediation to verified closure and plan the next cycle (Template 12).</w:t>
            </w:r>
          </w:p>
        </w:tc>
      </w:tr>
    </w:tbl>
    <w:p>
      <w:r>
        <w:br w:type="page"/>
      </w:r>
    </w:p>
    <w:p>
      <w:pPr>
        <w:pStyle w:val="Heading1"/>
        <w:spacing w:after="200" w:before="400"/>
      </w:pPr>
      <w:r>
        <w:t xml:space="preserve">Part Two – Understanding GDPR</w:t>
      </w:r>
    </w:p>
    <w:p>
      <w:pPr>
        <w:pStyle w:val="Heading2"/>
        <w:spacing w:after="150" w:before="300"/>
      </w:pPr>
      <w:r>
        <w:t xml:space="preserve">2.1 Why GDPR Exists, and Why It Matters to an Auditor</w:t>
      </w:r>
    </w:p>
    <w:p>
      <w:pPr>
        <w:spacing w:after="160" w:line="276"/>
      </w:pPr>
      <w:r>
        <w:rPr>
          <w:rFonts w:ascii="Calibri" w:cs="Calibri" w:eastAsia="Calibri" w:hAnsi="Calibri"/>
          <w:sz w:val="22"/>
          <w:szCs w:val="22"/>
        </w:rPr>
        <w:t xml:space="preserve">The General Data Protection Regulation (Regulation (EU) 2016/679) was adopted in 2016 and became directly applicable and enforceable across the EU/EEA from 25 May 2018. It replaced the 1995 Data Protection Directive with a single, directly applicable regulation — no national transposing law was needed for its core provisions, although member states retain some latitude (e.g. setting the child's-consent age threshold under Art 8(1)).</w:t>
      </w:r>
    </w:p>
    <w:p>
      <w:pPr>
        <w:spacing w:after="160" w:line="276"/>
      </w:pPr>
      <w:r>
        <w:rPr>
          <w:rFonts w:ascii="Calibri" w:cs="Calibri" w:eastAsia="Calibri" w:hAnsi="Calibri"/>
          <w:sz w:val="22"/>
          <w:szCs w:val="22"/>
        </w:rPr>
        <w:t xml:space="preserve">For an auditor, the key implication is that GDPR is enforceable law with real penalties (Art 83), not a voluntary best-practice framework. Findings in a GDPR compliance audit carry a different weight than an ISO nonconformity — a gap you identify may represent an active legal exposure, not just a process improvement opportunity.</w:t>
      </w:r>
    </w:p>
    <w:p>
      <w:pPr>
        <w:pStyle w:val="Heading2"/>
        <w:spacing w:after="150" w:before="300"/>
      </w:pPr>
      <w:r>
        <w:t xml:space="preserve">2.2 Extraterritorial Reach</w:t>
      </w:r>
    </w:p>
    <w:p>
      <w:pPr>
        <w:spacing w:after="160" w:line="276"/>
      </w:pPr>
      <w:r>
        <w:rPr>
          <w:rFonts w:ascii="Calibri" w:cs="Calibri" w:eastAsia="Calibri" w:hAnsi="Calibri"/>
          <w:sz w:val="22"/>
          <w:szCs w:val="22"/>
        </w:rPr>
        <w:t xml:space="preserve">GDPR applies not only to organizations established in the EU/EEA, but also, under Art 3(2), to any organization anywhere in the world that offers goods or services to individuals in the EU (paid or free) or monitors the behaviour of individuals in the EU. This is why non-EU organizations are frequently in scope for GDPR compliance audits.</w:t>
      </w:r>
    </w:p>
    <w:p>
      <w:pPr>
        <w:pStyle w:val="Heading2"/>
        <w:spacing w:after="150" w:before="300"/>
      </w:pPr>
      <w:r>
        <w:t xml:space="preserve">2.3 The Seven Principles (Article 5)</w:t>
      </w:r>
    </w:p>
    <w:p>
      <w:pPr>
        <w:spacing w:after="160" w:line="276"/>
      </w:pPr>
      <w:r>
        <w:rPr>
          <w:rFonts w:ascii="Calibri" w:cs="Calibri" w:eastAsia="Calibri" w:hAnsi="Calibri"/>
          <w:sz w:val="22"/>
          <w:szCs w:val="22"/>
        </w:rPr>
        <w:t xml:space="preserve">Every processing activity must satisfy all seven of these — they are the foundation every other article builds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Article</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Principle</w:t>
            </w:r>
          </w:p>
        </w:tc>
        <w:tc>
          <w:tcPr>
            <w:tcW w:type="dxa" w:w="5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 plain language</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5(1)(a)</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Lawfulness, fairness and transparency</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Have a valid legal basis; don't process in ways people wouldn't reasonably expect; tell people what you're doing.</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5(1)(b)</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Purpose limitation</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Collect data for specific, stated purposes; don't quietly repurpose it for something incompatible.</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5(1)(c)</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minimisation</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Collect only what you actually need for the purpose.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5(1)(d)</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Accuracy</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Keep data correct and up to date; fix or delete what's wrong.</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5(1)(e)</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Storage limitation</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Don't keep data longer than necessary; work to a retention schedule.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5(1)(f)</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Integrity and confidentiality (security)</w:t>
            </w:r>
          </w:p>
        </w:tc>
        <w:tc>
          <w:tcPr>
            <w:tcW w:type="dxa" w:w="5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data against unauthorised access, loss, or damage.</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5(2)</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Accountability</w:t>
            </w:r>
          </w:p>
        </w:tc>
        <w:tc>
          <w:tcPr>
            <w:tcW w:type="dxa" w:w="5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able to DEMONSTRATE all of the above — this is the hook for Art 24 and for most of what an auditor actually tests.</w:t>
            </w:r>
          </w:p>
        </w:tc>
      </w:tr>
    </w:tbl>
    <w:p>
      <w:pPr>
        <w:pStyle w:val="Heading2"/>
        <w:spacing w:after="150" w:before="300"/>
      </w:pPr>
      <w:r>
        <w:t xml:space="preserve">2.4 Lawful Bases (Article 6) and Special Category Data (Article 9)</w:t>
      </w:r>
    </w:p>
    <w:p>
      <w:pPr>
        <w:spacing w:after="160" w:line="276"/>
      </w:pPr>
      <w:r>
        <w:rPr>
          <w:rFonts w:ascii="Calibri" w:cs="Calibri" w:eastAsia="Calibri" w:hAnsi="Calibri"/>
          <w:sz w:val="22"/>
          <w:szCs w:val="22"/>
        </w:rPr>
        <w:t xml:space="preserve">Every processing activity needs at least one lawful basis from Art 6(1):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28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Basis</w:t>
            </w:r>
          </w:p>
        </w:tc>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Name</w:t>
            </w:r>
          </w:p>
        </w:tc>
        <w:tc>
          <w:tcPr>
            <w:tcW w:type="dxa" w:w="62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Core requirement</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6(1)(a)</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Consent</w:t>
            </w:r>
          </w:p>
        </w:tc>
        <w:tc>
          <w:tcPr>
            <w:tcW w:type="dxa" w:w="6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Freely given, specific, informed, unambiguous — and as easy to withdraw as to give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6(1)(b)</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Contract necessity</w:t>
            </w:r>
          </w:p>
        </w:tc>
        <w:tc>
          <w:tcPr>
            <w:tcW w:type="dxa" w:w="6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Necessary to perform a contract with the data subject, or to take pre-contractual steps at their request</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6(1)(c)</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Legal obligation</w:t>
            </w:r>
          </w:p>
        </w:tc>
        <w:tc>
          <w:tcPr>
            <w:tcW w:type="dxa" w:w="6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Necessary to comply with a legal obligation the controller is subject to (EU or member-state law)</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6(1)(d)</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Vital interests</w:t>
            </w:r>
          </w:p>
        </w:tc>
        <w:tc>
          <w:tcPr>
            <w:tcW w:type="dxa" w:w="6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Necessary to protect someone's life — used rarely, mainly emergencies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6(1)(e)</w:t>
            </w:r>
          </w:p>
        </w:tc>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Public task</w:t>
            </w:r>
          </w:p>
        </w:tc>
        <w:tc>
          <w:tcPr>
            <w:tcW w:type="dxa" w:w="62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Necessary to perform a task carried out in the public interest or in official authority</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6(1)(f)</w:t>
            </w:r>
          </w:p>
        </w:tc>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Legitimate interests</w:t>
            </w:r>
          </w:p>
        </w:tc>
        <w:tc>
          <w:tcPr>
            <w:tcW w:type="dxa" w:w="62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Necessary for the controller's (or a third party's) legitimate interests, balanced against the data subject's rights — not available to public authorities acting in their public-task capacity</w:t>
            </w:r>
          </w:p>
        </w:tc>
      </w:tr>
    </w:tbl>
    <w:p>
      <w:pPr>
        <w:spacing w:after="160" w:line="276"/>
      </w:pPr>
      <w:r>
        <w:rPr>
          <w:rFonts w:ascii="Calibri" w:cs="Calibri" w:eastAsia="Calibri" w:hAnsi="Calibri"/>
          <w:sz w:val="22"/>
          <w:szCs w:val="22"/>
        </w:rPr>
        <w:t xml:space="preserve">Article 9 goes further: processing data revealing race/ethnicity, political opinions, religion, trade union membership, or concerning genetic data, biometric data (for identification), health data, or sex life/sexual orientation is prohibited by default. One of the following exceptions must apply: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Exception</w:t>
            </w:r>
          </w:p>
        </w:tc>
        <w:tc>
          <w:tcPr>
            <w:tcW w:type="dxa" w:w="8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9(2)(a)</w:t>
            </w:r>
          </w:p>
        </w:tc>
        <w:tc>
          <w:tcPr>
            <w:tcW w:type="dxa" w:w="8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Explicit consent</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9(2)(b)</w:t>
            </w:r>
          </w:p>
        </w:tc>
        <w:tc>
          <w:tcPr>
            <w:tcW w:type="dxa" w:w="8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Employment / social security / social protection law obligations</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9(2)(c)</w:t>
            </w:r>
          </w:p>
        </w:tc>
        <w:tc>
          <w:tcPr>
            <w:tcW w:type="dxa" w:w="8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Vital interests, where the subject is incapable of giving consent</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9(2)(d)</w:t>
            </w:r>
          </w:p>
        </w:tc>
        <w:tc>
          <w:tcPr>
            <w:tcW w:type="dxa" w:w="8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Not-for-profit body processing its own members' data</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9(2)(e)</w:t>
            </w:r>
          </w:p>
        </w:tc>
        <w:tc>
          <w:tcPr>
            <w:tcW w:type="dxa" w:w="8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manifestly made public by the data subject</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9(2)(f)</w:t>
            </w:r>
          </w:p>
        </w:tc>
        <w:tc>
          <w:tcPr>
            <w:tcW w:type="dxa" w:w="8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Establishment, exercise or defence of legal claims</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9(2)(g)</w:t>
            </w:r>
          </w:p>
        </w:tc>
        <w:tc>
          <w:tcPr>
            <w:tcW w:type="dxa" w:w="8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Substantial public interest, with a legal basis</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9(2)(h)</w:t>
            </w:r>
          </w:p>
        </w:tc>
        <w:tc>
          <w:tcPr>
            <w:tcW w:type="dxa" w:w="8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Health or social care, treatment, or health-system management</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9(2)(i)</w:t>
            </w:r>
          </w:p>
        </w:tc>
        <w:tc>
          <w:tcPr>
            <w:tcW w:type="dxa" w:w="8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Public health (e.g. protecting against serious cross-border health threats)</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9(2)(j)</w:t>
            </w:r>
          </w:p>
        </w:tc>
        <w:tc>
          <w:tcPr>
            <w:tcW w:type="dxa" w:w="8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Archiving in the public interest, scientific/historical research, or statistics (Art 89(1))</w:t>
            </w:r>
          </w:p>
        </w:tc>
      </w:tr>
    </w:tbl>
    <w:p>
      <w:pPr>
        <w:pStyle w:val="Heading2"/>
        <w:spacing w:after="150" w:before="300"/>
      </w:pPr>
      <w:r>
        <w:t xml:space="preserve">2.5 Key Articles Reference Table</w:t>
      </w:r>
    </w:p>
    <w:p>
      <w:pPr>
        <w:spacing w:after="160" w:line="276"/>
      </w:pPr>
      <w:r>
        <w:rPr>
          <w:rFonts w:ascii="Calibri" w:cs="Calibri" w:eastAsia="Calibri" w:hAnsi="Calibri"/>
          <w:sz w:val="22"/>
          <w:szCs w:val="22"/>
        </w:rPr>
        <w:t xml:space="preserve">This is the table you will use constantly throughout the audit — it becomes the backbone of Templates 3 through 8 in the companion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760"/>
        <w:gridCol w:w="3720"/>
      </w:tblGrid>
      <w:tr>
        <w:trPr>
          <w:cantSplit/>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Article</w:t>
            </w:r>
          </w:p>
        </w:tc>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Topic</w:t>
            </w:r>
          </w:p>
        </w:tc>
        <w:tc>
          <w:tcPr>
            <w:tcW w:type="dxa" w:w="37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requires</w:t>
            </w:r>
          </w:p>
        </w:tc>
        <w:tc>
          <w:tcPr>
            <w:tcW w:type="dxa" w:w="372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an auditor checks</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Principles relating to processing</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Seven principles: lawfulness/fairness/transparency, purpose limitation, data minimisation, accuracy, storage limitation, integrity &amp; confidentiality, and accountability (5(2)) — the controller must be able to DEMONSTRATE compliance.</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 documented lawful basis and privacy notice exist; whether collected data is proportionate; whether retention schedules and accuracy/security controls are followed in practice, not just written down.</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Lawfulness of processing</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 least one of six lawful bases must apply to every processing activity: consent, contract necessity, legal obligation, vital interests, public task, or legitimate interests.</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the lawful basis recorded in the ROPA matches reality, is documented, and is the most appropriate basis (e.g. consent isn't used where it isn't freely given, such as in an employment context).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Conditions for consent</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Where consent is the basis, it must be freely given, specific, informed, unambiguous, as easy to withdraw as to give, and demonstrable.</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Consent logs/timestamps; whether pre-ticked boxes or bundled consent are used (both non-compliant); whether withdrawal is genuinely as easy as giving consent.</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Child's consent for information society services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Where consent is the basis for offering services directly to a child, parental consent is required below an age threshold that member states set individually (13-16); UK GDPR sets 13.</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Age-verification and parental-consent mechanisms; which national age threshold the organization applies and why.</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Processing of special categories of personal data</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Prohibits processing race/ethnicity, political opinions, religion, trade union membership, genetic data, biometric data (for ID), health data, or sex life/orientation data, unless an Art 9(2)(a)-(j) exception applies.</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special-category data is being processed at all (often discovered, not declared); which Art 9(2) exception is relied on and whether it is documented and genuinely applicable.</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12-14</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Transparency &amp; information duties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must be provided concisely, transparently and in plain language, free of charge, generally within one month; Art 13/14 set out the specific information required at collection.</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Privacy notices for completeness and readability; whether the one-month clock is tracked and met.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15-22</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subject rights</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(15), rectification (16), erasure (17), restriction (18), notification to recipients (19), portability (20), objection (21), and safeguards around automated decision-making/profiling (22).</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 documented process exists for each right; sampled real requests and their actual response times against the one-month deadline.</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24</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Responsibility of the controller</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controller must implement appropriate technical and organisational measures to ensure and demonstrate compliance, proportionate to risk.</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accountability documentation (policies, ROPA, training, DPIAs) exists and is kept current, not just produced once for a prior audit.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25</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protection by design and by default</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Privacy must be built into systems and processes from the start (by design) and default settings must be the most privacy-protective (by default).</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privacy is considered at the design stage of new systems/products (e.g. via a DPIA or privacy review gate in the software development lifecycle, SDLC), and whether default settings minimise data collection/sharing.</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28</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Processor</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Processing by a processor must be governed by a written contract (a DPA) with mandatory clauses covering instructions, confidentiality, security, sub-processing, assistance, deletion/return, and audit rights.</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every vendor handling personal data has a signed DPA with the mandatory clauses; how sub-processors are approved and tracked.</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30</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Records of processing activities (ROPA)</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Controllers (and processors) must maintain a written record covering purpose, categories of data subjects and data, recipients, transfers, retention, and security measures. The &lt;250-employee exemption is narrow.</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the ROPA exists, is complete against the Art 30 fields, and matches what systems and interviews reveal is actually happening.</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32</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of processing</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Risk-based technical and organisational measures (TOMs) are required, including pseudonymisation/encryption, ongoing confidentiality/integrity/availability/resilience (the CIA triad), ability to restore availability, and regular testing.</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 of encryption, access control, resilience/backup testing, and a program of regular security testing (penetration tests, vulnerability scans).</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33-34</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Personal data breach notification</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Notify the supervisory authority within 72 hours of becoming aware, "where feasible," unless the breach is unlikely to risk rights and freedoms (33); notify affected individuals without undue delay when the breach is high risk (34).</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breach log/register; whether the 72-hour clock was tracked and met (or a documented reason for delay recorded); the risk assessment behind each notify/don't-notify decision.</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35</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protection impact assessment (DPIA)</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Mandatory before processing likely to result in high risk, including per Art 35(3): systematic/extensive profiling with legal or similarly significant effects; large-scale special-category/criminal data processing; and large-scale systematic monitoring of public areas.</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DPIA screening record for each new/changed processing activity; whether DPIAs were actually completed before processing began, and whether identified risks were genuinely mitigated.</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37-39</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Protection Officer (DPO)</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DPO is mandatory if: the organization is a public authority (except courts acting judicially); its core activities require regular/systematic large-scale monitoring; or its core activities are large-scale special-category/criminal-data processing. Art 38 guarantees independence; Art 39 sets DPO tasks.</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 DPO is required and, if so, appointed with genuine independence (no instructions on how to perform tasks, reports to the highest management level, no conflict of interest from other duties).</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44-49</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Transfers of personal data to third countries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General principle (44): transfers must maintain the level of protection GDPR guarantees. Mechanisms: adequacy decisions (45), Standard Contractual Clauses/BCRs/other appropriate safeguards (46), Binding Corporate Rules (47), and narrow derogations (49).</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Which transfer mechanism is used for each cross-border data flow identified during data mapping; whether SCCs are correctly executed and whether a transfer impact assessment was performed where required.</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42-43</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mechanisms and seals</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GDPR allows for certification mechanisms, seals and marks to demonstrate compliance for specific processing operations — but these remain rare and nascent in practice.</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the organization holds or claims any Art 42 certification; in almost all cases, none will exist — this confirms GDPR compliance work is a compliance audit, not an ISO-style certification audit.</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58</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Powers of supervisory authorities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Supervisory authorities (DPAs) have investigative powers (audit, information orders), corrective powers (warnings, orders, processing bans, fines), and authorisation powers (approving BCRs, prior consultation).</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directly auditor-tested, but essential context: this is the power a DPA investigation exercises, distinct from the self-directed compliance audits this handbook focuses on.</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83</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Administrative fines</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Two tiers of maximum fines (see Appendix table) depending on which provisions are breached, calibrated to whichever of the flat amount or global-turnover percentage is HIGHER.</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directly auditor-tested, but used to prioritise findings — a gap in an Art 83(5) area carries materially higher enforcement exposure than one in an Art 83(4) area.</w:t>
            </w:r>
          </w:p>
        </w:tc>
      </w:tr>
    </w:tbl>
    <w:p>
      <w:pPr>
        <w:pStyle w:val="Heading2"/>
        <w:spacing w:after="150" w:before="300"/>
      </w:pPr>
      <w:r>
        <w:t xml:space="preserve">2.6 Article 83: The Two Fine Tiers</w:t>
      </w:r>
    </w:p>
    <w:p>
      <w:pPr>
        <w:spacing w:after="160" w:line="276"/>
      </w:pPr>
      <w:r>
        <w:rPr>
          <w:rFonts w:ascii="Calibri" w:cs="Calibri" w:eastAsia="Calibri" w:hAnsi="Calibri"/>
          <w:sz w:val="22"/>
          <w:szCs w:val="22"/>
        </w:rPr>
        <w:t xml:space="preserve">Fines are calibrated to whichever provisions are breached, and always calculated as the HIGHER of a flat euro amount or a percentage of global annual turnover — not the lower, and not an average.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508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Tier</w:t>
            </w:r>
          </w:p>
        </w:tc>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Maximum fine</w:t>
            </w:r>
          </w:p>
        </w:tc>
        <w:tc>
          <w:tcPr>
            <w:tcW w:type="dxa" w:w="50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Triggered by breaches of</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1 — Art 83(4)</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€10,000,000 or 2% of total worldwide annual turnover of the preceding financial year, whichever is HIGHER</w:t>
            </w:r>
          </w:p>
        </w:tc>
        <w:tc>
          <w:tcPr>
            <w:tcW w:type="dxa" w:w="50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Breaches of: Art 8 (child's consent), Art 11 (processing not requiring identification), Art 25-39 (by-design/default, joint controllers, representatives, processor obligations, records, security, breach notification, DPIA, DPO), Art 41(4), Art 42, Art 43 (certification bodies)</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2 — Art 83(5)</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€20,000,000 or 4% of total worldwide annual turnover of the preceding financial year, whichever is HIGHER</w:t>
            </w:r>
          </w:p>
        </w:tc>
        <w:tc>
          <w:tcPr>
            <w:tcW w:type="dxa" w:w="50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Breaches of: Art 5 (principles), Art 6 (lawfulness), Art 7 (consent conditions), Art 9 (special categories), Art 12-22 (data subject rights), Art 44-49 (international transfers), Chapter IX member-state-law obligations, and non-compliance with a supervisory authority order under Art 58(2)</w:t>
            </w:r>
          </w:p>
        </w:tc>
      </w:tr>
    </w:tbl>
    <w:p>
      <w:pPr>
        <w:spacing w:after="160" w:line="276"/>
      </w:pPr>
      <w:r>
        <w:rPr>
          <w:rFonts w:ascii="Calibri" w:cs="Calibri" w:eastAsia="Calibri" w:hAnsi="Calibri"/>
          <w:sz w:val="22"/>
          <w:szCs w:val="22"/>
        </w:rPr>
        <w:t xml:space="preserve">Note the pattern: Tier 2 (the higher tier) covers the core principles, lawful basis, consent, special-category data, data subject rights, and international transfers — the provisions that most directly affect individuals. Tier 1 covers largely organizational and procedural duties. Both matter, but Tier 2 gaps typically warrant a higher risk rating in Template 10.</w:t>
      </w:r>
    </w:p>
    <w:p>
      <w:pPr>
        <w:pStyle w:val="Heading2"/>
        <w:spacing w:after="150" w:before="300"/>
      </w:pPr>
      <w:r>
        <w:t xml:space="preserve">2.7 UK GDPR vs. EU GDPR — A Short but Important Distinction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Dual-regime callout:  </w:t>
            </w:r>
            <w:r>
              <w:rPr>
                <w:rFonts w:ascii="Calibri" w:cs="Calibri" w:eastAsia="Calibri" w:hAnsi="Calibri"/>
                <w:sz w:val="22"/>
                <w:szCs w:val="22"/>
              </w:rPr>
              <w:t xml:space="preserve">An organization operating in both the UK and the EU/EEA may need to comply with both regimes in parallel — they are not automatically satisfied by complying with just one.</w:t>
            </w:r>
          </w:p>
        </w:tc>
      </w:tr>
    </w:tbl>
    <w:p>
      <w:pPr>
        <w:spacing w:after="120"/>
      </w:pPr>
    </w:p>
    <w:p>
      <w:pPr>
        <w:spacing w:after="160" w:line="276"/>
      </w:pPr>
      <w:r>
        <w:rPr>
          <w:rFonts w:ascii="Calibri" w:cs="Calibri" w:eastAsia="Calibri" w:hAnsi="Calibri"/>
          <w:sz w:val="22"/>
          <w:szCs w:val="22"/>
        </w:rPr>
        <w:t xml:space="preserve">Post-Brexit, EU GDPR continues to apply within the EU/EEA and extraterritorially to any organization (anywhere) offering goods/services to, or monitoring, individuals in the EU. The UK version — UK GDPR — became UK domestic law on 1 January 2021 and operates alongside the Data Protection Act 2018 (as amended). Key practical differences an auditor should track:</w:t>
      </w:r>
    </w:p>
    <w:p>
      <w:pPr>
        <w:pStyle w:val="ListParagraph"/>
        <w:numPr>
          <w:ilvl w:val="0"/>
          <w:numId w:val="2"/>
        </w:numPr>
        <w:spacing w:after="100"/>
      </w:pPr>
      <w:r>
        <w:rPr>
          <w:rFonts w:ascii="Calibri" w:cs="Calibri" w:eastAsia="Calibri" w:hAnsi="Calibri"/>
          <w:sz w:val="22"/>
          <w:szCs w:val="22"/>
        </w:rPr>
        <w:t xml:space="preserve">Regulators: EU GDPR is enforced by each member state's DPA, coordinated for cross-border cases via the one-stop-shop / lead supervisory authority mechanism. The UK's ICO is the sole regulator for UK GDPR — the UK has no access to the EU one-stop-shop mechanism.</w:t>
      </w:r>
    </w:p>
    <w:p>
      <w:pPr>
        <w:pStyle w:val="ListParagraph"/>
        <w:numPr>
          <w:ilvl w:val="0"/>
          <w:numId w:val="2"/>
        </w:numPr>
        <w:spacing w:after="100"/>
      </w:pPr>
      <w:r>
        <w:rPr>
          <w:rFonts w:ascii="Calibri" w:cs="Calibri" w:eastAsia="Calibri" w:hAnsi="Calibri"/>
          <w:sz w:val="22"/>
          <w:szCs w:val="22"/>
        </w:rPr>
        <w:t xml:space="preserve">Fine currency: UK GDPR fines are set in GBP at equivalent tiers (up to £17.5 million or 4% of global turnover, whichever is higher, for the top tier) rather than EUR.</w:t>
      </w:r>
    </w:p>
    <w:p>
      <w:pPr>
        <w:pStyle w:val="ListParagraph"/>
        <w:numPr>
          <w:ilvl w:val="0"/>
          <w:numId w:val="2"/>
        </w:numPr>
        <w:spacing w:after="100"/>
      </w:pPr>
      <w:r>
        <w:rPr>
          <w:rFonts w:ascii="Calibri" w:cs="Calibri" w:eastAsia="Calibri" w:hAnsi="Calibri"/>
          <w:sz w:val="22"/>
          <w:szCs w:val="22"/>
        </w:rPr>
        <w:t xml:space="preserve">Age of consent: the UK GDPR fixes the information-society-services child consent age at 13; under EU GDPR, Art 8(1) lets each member state set its own threshold between 13 and 16 — so do not treat a single EU-wide number as fact; check the specific member state(s) in scope.</w:t>
      </w:r>
    </w:p>
    <w:p>
      <w:pPr>
        <w:spacing w:after="160" w:line="276"/>
      </w:pPr>
      <w:r>
        <w:rPr>
          <w:rFonts w:ascii="Calibri" w:cs="Calibri" w:eastAsia="Calibri" w:hAnsi="Calibri"/>
          <w:sz w:val="22"/>
          <w:szCs w:val="22"/>
        </w:rPr>
        <w:t xml:space="preserve">If your audit scope spans both jurisdictions, Template 1 has a field for recording both sets of criteria, and Template 3 should be tested against both where the organization processes data of both UK and EU/EEA individuals.</w:t>
      </w:r>
    </w:p>
    <w:p>
      <w:pPr>
        <w:pStyle w:val="Heading2"/>
        <w:spacing w:after="150" w:before="300"/>
      </w:pPr>
      <w:r>
        <w:t xml:space="preserve">2.8 Certification Under Article 42 — Why It Doesn't Change the Picture</w:t>
      </w:r>
    </w:p>
    <w:p>
      <w:pPr>
        <w:spacing w:after="160" w:line="276"/>
      </w:pPr>
      <w:r>
        <w:rPr>
          <w:rFonts w:ascii="Calibri" w:cs="Calibri" w:eastAsia="Calibri" w:hAnsi="Calibri"/>
          <w:sz w:val="22"/>
          <w:szCs w:val="22"/>
        </w:rPr>
        <w:t xml:space="preserve">Articles 42 and 43 allow supervisory authorities and accredited bodies to establish certification mechanisms, seals and marks that organizations can use to demonstrate compliance for specific processing operations. In practice, adoption remains rare and nascent — most organizations you will audit will hold no Art 42 certification, and its existence does not create anything resembling an ISO Stage 1/Stage 2 accredited certification audit for GDPR as a whole. This is exactly why the rest of this handbook is built around a compliance-audit methodology, not a certification-audit methodology.</w:t>
      </w:r>
    </w:p>
    <w:p>
      <w:r>
        <w:br w:type="page"/>
      </w:r>
    </w:p>
    <w:p>
      <w:pPr>
        <w:pStyle w:val="Heading1"/>
        <w:spacing w:after="200" w:before="400"/>
      </w:pPr>
      <w:r>
        <w:t xml:space="preserve">Part Three – The Compliance Audit Journey End to End</w:t>
      </w:r>
    </w:p>
    <w:p>
      <w:pPr>
        <w:pStyle w:val="Heading2"/>
        <w:spacing w:after="150" w:before="300"/>
      </w:pPr>
      <w:r>
        <w:t xml:space="preserve">3.1 The Full Journey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cantSplit/>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Stage</w:t>
            </w:r>
          </w:p>
        </w:tc>
        <w:tc>
          <w:tcPr>
            <w:tcW w:type="dxa" w:w="68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Scoping &amp; data mapping</w:t>
            </w:r>
          </w:p>
        </w:tc>
        <w:tc>
          <w:tcPr>
            <w:tcW w:type="dxa" w:w="6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Identify every processing activity, system, and data flow in scope before gathering evidence (Templates 1-2).</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 gathering</w:t>
            </w:r>
          </w:p>
        </w:tc>
        <w:tc>
          <w:tcPr>
            <w:tcW w:type="dxa" w:w="6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Review the ROPA, DPIAs, consent records, vendor contracts, and breach logs (Templates 5-9).</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Testing data subject rights</w:t>
            </w:r>
          </w:p>
        </w:tc>
        <w:tc>
          <w:tcPr>
            <w:tcW w:type="dxa" w:w="6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Sample real requests and test actual response times against the one-month deadline (Template 4).</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lawful basis &amp; special category handling</w:t>
            </w:r>
          </w:p>
        </w:tc>
        <w:tc>
          <w:tcPr>
            <w:tcW w:type="dxa" w:w="6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 the Art 5/6/9 checklist against sampled processing activities (Template 3).</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international transfers</w:t>
            </w:r>
          </w:p>
        </w:tc>
        <w:tc>
          <w:tcPr>
            <w:tcW w:type="dxa" w:w="6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Trace every cross-border data flow to its transfer mechanism (Chapter V) and check it is correctly executed (folded into Templates 2, 6 and 7).</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Assessing DPO / accountability structure</w:t>
            </w:r>
          </w:p>
        </w:tc>
        <w:tc>
          <w:tcPr>
            <w:tcW w:type="dxa" w:w="6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Confirm whether a DPO is required, and if so, genuinely independent and resourced (folded into Template 1 scoping and Template 3 accountability testing).</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Risk-rated findings</w:t>
            </w:r>
          </w:p>
        </w:tc>
        <w:tc>
          <w:tcPr>
            <w:tcW w:type="dxa" w:w="6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Write findings using a risk rating (Critical/High/Medium/Low), not ISO-style major/minor nonconformities (Template 10).</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Reporting</w:t>
            </w:r>
          </w:p>
        </w:tc>
        <w:tc>
          <w:tcPr>
            <w:tcW w:type="dxa" w:w="6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Produce a compliance report with an overall conclusion and recommendation (Template 11).</w:t>
            </w:r>
          </w:p>
        </w:tc>
      </w:tr>
      <w:tr>
        <w:trPr>
          <w:cantSplit/>
        </w:trP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Remediation</w:t>
            </w:r>
          </w:p>
        </w:tc>
        <w:tc>
          <w:tcPr>
            <w:tcW w:type="dxa" w:w="6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 every finding's remediation to verified closure (Template 12).</w:t>
            </w:r>
          </w:p>
        </w:tc>
      </w:tr>
      <w:tr>
        <w:trPr>
          <w:cantSplit/>
        </w:trP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Re-audit cadence</w:t>
            </w:r>
          </w:p>
        </w:tc>
        <w:tc>
          <w:tcPr>
            <w:tcW w:type="dxa" w:w="6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Repeat on a risk-based schedule — see Part Five.</w:t>
            </w:r>
          </w:p>
        </w:tc>
      </w:tr>
    </w:tbl>
    <w:p>
      <w:pPr>
        <w:pStyle w:val="Heading2"/>
        <w:spacing w:after="150" w:before="300"/>
      </w:pPr>
      <w:r>
        <w:t xml:space="preserve">3.2 Scoping and Data Mapping</w:t>
      </w:r>
    </w:p>
    <w:p>
      <w:pPr>
        <w:spacing w:after="160" w:line="276"/>
      </w:pPr>
      <w:r>
        <w:rPr>
          <w:rFonts w:ascii="Calibri" w:cs="Calibri" w:eastAsia="Calibri" w:hAnsi="Calibri"/>
          <w:sz w:val="22"/>
          <w:szCs w:val="22"/>
        </w:rPr>
        <w:t xml:space="preserve">Start by identifying every processing activity in scope, not by starting from the articles. Personal data flows through systems the organization may not have fully inventoried — shadow IT, spreadsheets, and marketing tools are common blind spots. Template 2 captures this map: activity, purpose, systems, sources, destinations, and cross-border flags. This map then drives sampling for every later template.</w:t>
      </w:r>
    </w:p>
    <w:p>
      <w:pPr>
        <w:pStyle w:val="Heading2"/>
        <w:spacing w:after="150" w:before="300"/>
      </w:pPr>
      <w:r>
        <w:t xml:space="preserve">3.3 Evidence Gathering Across the Core Documents</w:t>
      </w:r>
    </w:p>
    <w:p>
      <w:pPr>
        <w:spacing w:after="160" w:line="276"/>
      </w:pPr>
      <w:r>
        <w:rPr>
          <w:rFonts w:ascii="Calibri" w:cs="Calibri" w:eastAsia="Calibri" w:hAnsi="Calibri"/>
          <w:sz w:val="22"/>
          <w:szCs w:val="22"/>
        </w:rPr>
        <w:t xml:space="preserve">A real GDPR compliance audit examines a fairly consistent evidence set, regardless of industry:</w:t>
      </w:r>
    </w:p>
    <w:p>
      <w:pPr>
        <w:pStyle w:val="ListParagraph"/>
        <w:numPr>
          <w:ilvl w:val="0"/>
          <w:numId w:val="2"/>
        </w:numPr>
        <w:spacing w:after="100"/>
      </w:pPr>
      <w:r>
        <w:rPr>
          <w:rFonts w:ascii="Calibri" w:cs="Calibri" w:eastAsia="Calibri" w:hAnsi="Calibri"/>
          <w:sz w:val="22"/>
          <w:szCs w:val="22"/>
        </w:rPr>
        <w:t xml:space="preserve">Records of Processing Activities (ROPA) — the Art 30 record (Template 6).</w:t>
      </w:r>
    </w:p>
    <w:p>
      <w:pPr>
        <w:pStyle w:val="ListParagraph"/>
        <w:numPr>
          <w:ilvl w:val="0"/>
          <w:numId w:val="2"/>
        </w:numPr>
        <w:spacing w:after="100"/>
      </w:pPr>
      <w:r>
        <w:rPr>
          <w:rFonts w:ascii="Calibri" w:cs="Calibri" w:eastAsia="Calibri" w:hAnsi="Calibri"/>
          <w:sz w:val="22"/>
          <w:szCs w:val="22"/>
        </w:rPr>
        <w:t xml:space="preserve">Privacy notices — what data subjects are actually told.</w:t>
      </w:r>
    </w:p>
    <w:p>
      <w:pPr>
        <w:pStyle w:val="ListParagraph"/>
        <w:numPr>
          <w:ilvl w:val="0"/>
          <w:numId w:val="2"/>
        </w:numPr>
        <w:spacing w:after="100"/>
      </w:pPr>
      <w:r>
        <w:rPr>
          <w:rFonts w:ascii="Calibri" w:cs="Calibri" w:eastAsia="Calibri" w:hAnsi="Calibri"/>
          <w:sz w:val="22"/>
          <w:szCs w:val="22"/>
        </w:rPr>
        <w:t xml:space="preserve">Consent-capture records — logs proving how and when consent was obtained.</w:t>
      </w:r>
    </w:p>
    <w:p>
      <w:pPr>
        <w:pStyle w:val="ListParagraph"/>
        <w:numPr>
          <w:ilvl w:val="0"/>
          <w:numId w:val="2"/>
        </w:numPr>
        <w:spacing w:after="100"/>
      </w:pPr>
      <w:r>
        <w:rPr>
          <w:rFonts w:ascii="Calibri" w:cs="Calibri" w:eastAsia="Calibri" w:hAnsi="Calibri"/>
          <w:sz w:val="22"/>
          <w:szCs w:val="22"/>
        </w:rPr>
        <w:t xml:space="preserve">DPIAs — completed impact assessments for high-risk processing (Template 5).</w:t>
      </w:r>
    </w:p>
    <w:p>
      <w:pPr>
        <w:pStyle w:val="ListParagraph"/>
        <w:numPr>
          <w:ilvl w:val="0"/>
          <w:numId w:val="2"/>
        </w:numPr>
        <w:spacing w:after="100"/>
      </w:pPr>
      <w:r>
        <w:rPr>
          <w:rFonts w:ascii="Calibri" w:cs="Calibri" w:eastAsia="Calibri" w:hAnsi="Calibri"/>
          <w:sz w:val="22"/>
          <w:szCs w:val="22"/>
        </w:rPr>
        <w:t xml:space="preserve">Data Processing Agreements (DPAs) / vendor contracts — Art 28 written contracts with processors (Template 7).</w:t>
      </w:r>
    </w:p>
    <w:p>
      <w:pPr>
        <w:pStyle w:val="ListParagraph"/>
        <w:numPr>
          <w:ilvl w:val="0"/>
          <w:numId w:val="2"/>
        </w:numPr>
        <w:spacing w:after="100"/>
      </w:pPr>
      <w:r>
        <w:rPr>
          <w:rFonts w:ascii="Calibri" w:cs="Calibri" w:eastAsia="Calibri" w:hAnsi="Calibri"/>
          <w:sz w:val="22"/>
          <w:szCs w:val="22"/>
        </w:rPr>
        <w:t xml:space="preserve">International-transfer mechanisms — SCCs, BCRs, adequacy reliance, documented per transfer.</w:t>
      </w:r>
    </w:p>
    <w:p>
      <w:pPr>
        <w:pStyle w:val="ListParagraph"/>
        <w:numPr>
          <w:ilvl w:val="0"/>
          <w:numId w:val="2"/>
        </w:numPr>
        <w:spacing w:after="100"/>
      </w:pPr>
      <w:r>
        <w:rPr>
          <w:rFonts w:ascii="Calibri" w:cs="Calibri" w:eastAsia="Calibri" w:hAnsi="Calibri"/>
          <w:sz w:val="22"/>
          <w:szCs w:val="22"/>
        </w:rPr>
        <w:t xml:space="preserve">Breach log — every incident logged, assessed, and notified where required (Template 8).</w:t>
      </w:r>
    </w:p>
    <w:p>
      <w:pPr>
        <w:pStyle w:val="ListParagraph"/>
        <w:numPr>
          <w:ilvl w:val="0"/>
          <w:numId w:val="2"/>
        </w:numPr>
        <w:spacing w:after="100"/>
      </w:pPr>
      <w:r>
        <w:rPr>
          <w:rFonts w:ascii="Calibri" w:cs="Calibri" w:eastAsia="Calibri" w:hAnsi="Calibri"/>
          <w:sz w:val="22"/>
          <w:szCs w:val="22"/>
        </w:rPr>
        <w:t xml:space="preserve">Data-subject-request log — every request and its actual response time (Template 4).</w:t>
      </w:r>
    </w:p>
    <w:p>
      <w:pPr>
        <w:pStyle w:val="ListParagraph"/>
        <w:numPr>
          <w:ilvl w:val="0"/>
          <w:numId w:val="2"/>
        </w:numPr>
        <w:spacing w:after="100"/>
      </w:pPr>
      <w:r>
        <w:rPr>
          <w:rFonts w:ascii="Calibri" w:cs="Calibri" w:eastAsia="Calibri" w:hAnsi="Calibri"/>
          <w:sz w:val="22"/>
          <w:szCs w:val="22"/>
        </w:rPr>
        <w:t xml:space="preserve">DPO appointment and reporting lines — evidence of independence per Art 38.</w:t>
      </w:r>
    </w:p>
    <w:p>
      <w:pPr>
        <w:pStyle w:val="ListParagraph"/>
        <w:numPr>
          <w:ilvl w:val="0"/>
          <w:numId w:val="2"/>
        </w:numPr>
        <w:spacing w:after="100"/>
      </w:pPr>
      <w:r>
        <w:rPr>
          <w:rFonts w:ascii="Calibri" w:cs="Calibri" w:eastAsia="Calibri" w:hAnsi="Calibri"/>
          <w:sz w:val="22"/>
          <w:szCs w:val="22"/>
        </w:rPr>
        <w:t xml:space="preserve">Security-control evidence — encryption, access control, penetration test results (Art 32).</w:t>
      </w:r>
    </w:p>
    <w:p>
      <w:pPr>
        <w:pStyle w:val="ListParagraph"/>
        <w:numPr>
          <w:ilvl w:val="0"/>
          <w:numId w:val="2"/>
        </w:numPr>
        <w:spacing w:after="100"/>
      </w:pPr>
      <w:r>
        <w:rPr>
          <w:rFonts w:ascii="Calibri" w:cs="Calibri" w:eastAsia="Calibri" w:hAnsi="Calibri"/>
          <w:sz w:val="22"/>
          <w:szCs w:val="22"/>
        </w:rPr>
        <w:t xml:space="preserve">Training records — evidence staff understand their data protection obligations.</w:t>
      </w:r>
    </w:p>
    <w:p>
      <w:pPr>
        <w:pStyle w:val="ListParagraph"/>
        <w:numPr>
          <w:ilvl w:val="0"/>
          <w:numId w:val="2"/>
        </w:numPr>
        <w:spacing w:after="100"/>
      </w:pPr>
      <w:r>
        <w:rPr>
          <w:rFonts w:ascii="Calibri" w:cs="Calibri" w:eastAsia="Calibri" w:hAnsi="Calibri"/>
          <w:sz w:val="22"/>
          <w:szCs w:val="22"/>
        </w:rPr>
        <w:t xml:space="preserve">Retention schedules — evidence storage limitation (Art 5(1)(e)) is actually enforced, not just documented.</w:t>
      </w:r>
    </w:p>
    <w:p>
      <w:pPr>
        <w:pStyle w:val="Heading2"/>
        <w:spacing w:after="150" w:before="300"/>
      </w:pPr>
      <w:r>
        <w:t xml:space="preserve">3.4 Testing Data Subject Rights Processes</w:t>
      </w:r>
    </w:p>
    <w:p>
      <w:pPr>
        <w:spacing w:after="160" w:line="276"/>
      </w:pPr>
      <w:r>
        <w:rPr>
          <w:rFonts w:ascii="Calibri" w:cs="Calibri" w:eastAsia="Calibri" w:hAnsi="Calibri"/>
          <w:sz w:val="22"/>
          <w:szCs w:val="22"/>
        </w:rPr>
        <w:t xml:space="preserve">Don't just confirm a rights-request process exists on paper — sample real requests (or run a test request, with permission, if none exist yet) and time the actual response against the one-month statutory deadline. A documented process with no evidence it is ever exercised correctly is a common and important finding.</w:t>
      </w:r>
    </w:p>
    <w:p>
      <w:pPr>
        <w:pStyle w:val="Heading2"/>
        <w:spacing w:after="150" w:before="300"/>
      </w:pPr>
      <w:r>
        <w:t xml:space="preserve">3.5 Risk-Based Findings, Not Major/Minor Nonconformities</w:t>
      </w:r>
    </w:p>
    <w:p>
      <w:pPr>
        <w:spacing w:after="160" w:line="276"/>
      </w:pPr>
      <w:r>
        <w:rPr>
          <w:rFonts w:ascii="Calibri" w:cs="Calibri" w:eastAsia="Calibri" w:hAnsi="Calibri"/>
          <w:sz w:val="22"/>
          <w:szCs w:val="22"/>
        </w:rPr>
        <w:t xml:space="preserve">There is no ISO-style major/minor nonconformity concept in GDPR compliance auditing. Instead, findings are risk-rated. This handbook follows common industry practice — and mirrors the approach of the ICO's Data Protection Audit Framework (launched October 2024, which scores control measures on a “meeting / partially meeting / not meeting expectation” scale rather than pass/fail) and the CNIL's GDPR toolkit — by using a four-level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Rating</w:t>
            </w:r>
          </w:p>
        </w:tc>
        <w:tc>
          <w:tcPr>
            <w:tcW w:type="dxa" w:w="84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Meaning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Critical</w:t>
            </w:r>
          </w:p>
        </w:tc>
        <w:tc>
          <w:tcPr>
            <w:tcW w:type="dxa" w:w="8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Imminent regulatory/enforcement exposure, an ongoing rights violation, or a gap in a Tier 2 (Art 83(5)) area with no compensating control.</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High</w:t>
            </w:r>
          </w:p>
        </w:tc>
        <w:tc>
          <w:tcPr>
            <w:tcW w:type="dxa" w:w="8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significant gap against a core article with no meaningful compensating control, but not immediately active/ongoing.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Medium</w:t>
            </w:r>
          </w:p>
        </w:tc>
        <w:tc>
          <w:tcPr>
            <w:tcW w:type="dxa" w:w="84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partial gap, or a gap where a compensating control reduces but does not eliminate the risk.</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Low</w:t>
            </w:r>
          </w:p>
        </w:tc>
        <w:tc>
          <w:tcPr>
            <w:tcW w:type="dxa" w:w="84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minor or largely administrative gap with negligible practical risk.</w:t>
            </w:r>
          </w:p>
        </w:tc>
      </w:tr>
    </w:tbl>
    <w:p>
      <w:pPr>
        <w:pStyle w:val="Heading2"/>
        <w:spacing w:after="150" w:before="300"/>
      </w:pPr>
      <w:r>
        <w:t xml:space="preserve">3.6 Self-Directed and Consultant-Led Audits vs. a DPA Investigation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Context shift:  </w:t>
            </w:r>
            <w:r>
              <w:rPr>
                <w:rFonts w:ascii="Calibri" w:cs="Calibri" w:eastAsia="Calibri" w:hAnsi="Calibri"/>
                <w:sz w:val="22"/>
                <w:szCs w:val="22"/>
              </w:rPr>
              <w:t xml:space="preserve">Everything above describes a cooperative, self-directed process. If a DPA investigation begins, several things change — do not run it like a normal compliance audit.</w:t>
            </w:r>
          </w:p>
        </w:tc>
      </w:tr>
    </w:tbl>
    <w:p>
      <w:pPr>
        <w:spacing w:after="120"/>
      </w:pPr>
    </w:p>
    <w:p>
      <w:pPr>
        <w:pStyle w:val="ListParagraph"/>
        <w:numPr>
          <w:ilvl w:val="0"/>
          <w:numId w:val="2"/>
        </w:numPr>
        <w:spacing w:after="100"/>
      </w:pPr>
      <w:r>
        <w:rPr>
          <w:rFonts w:ascii="Calibri" w:cs="Calibri" w:eastAsia="Calibri" w:hAnsi="Calibri"/>
          <w:sz w:val="22"/>
          <w:szCs w:val="22"/>
        </w:rPr>
        <w:t xml:space="preserve">Who sets the scope: in a compliance audit, you (or the organization) define scope; in a DPA investigation, the DPA defines it, often narrowly around a specific complaint or incident.</w:t>
      </w:r>
    </w:p>
    <w:p>
      <w:pPr>
        <w:pStyle w:val="ListParagraph"/>
        <w:numPr>
          <w:ilvl w:val="0"/>
          <w:numId w:val="2"/>
        </w:numPr>
        <w:spacing w:after="100"/>
      </w:pPr>
      <w:r>
        <w:rPr>
          <w:rFonts w:ascii="Calibri" w:cs="Calibri" w:eastAsia="Calibri" w:hAnsi="Calibri"/>
          <w:sz w:val="22"/>
          <w:szCs w:val="22"/>
        </w:rPr>
        <w:t xml:space="preserve">Who controls the timeline: the DPA sets response deadlines under its Art 58 investigative powers, and these are frequently much shorter than a planned internal audit cycle.</w:t>
      </w:r>
    </w:p>
    <w:p>
      <w:pPr>
        <w:pStyle w:val="ListParagraph"/>
        <w:numPr>
          <w:ilvl w:val="0"/>
          <w:numId w:val="2"/>
        </w:numPr>
        <w:spacing w:after="100"/>
      </w:pPr>
      <w:r>
        <w:rPr>
          <w:rFonts w:ascii="Calibri" w:cs="Calibri" w:eastAsia="Calibri" w:hAnsi="Calibri"/>
          <w:sz w:val="22"/>
          <w:szCs w:val="22"/>
        </w:rPr>
        <w:t xml:space="preserve">The tone and posture: cooperation is still required (obstruction risks its own enforcement action), but the relationship is not collaborative in the way it is with an internal audit team or a hired consultant — legal counsel should be involved from the outset.</w:t>
      </w:r>
    </w:p>
    <w:p>
      <w:pPr>
        <w:pStyle w:val="ListParagraph"/>
        <w:numPr>
          <w:ilvl w:val="0"/>
          <w:numId w:val="2"/>
        </w:numPr>
        <w:spacing w:after="100"/>
      </w:pPr>
      <w:r>
        <w:rPr>
          <w:rFonts w:ascii="Calibri" w:cs="Calibri" w:eastAsia="Calibri" w:hAnsi="Calibri"/>
          <w:sz w:val="22"/>
          <w:szCs w:val="22"/>
        </w:rPr>
        <w:t xml:space="preserve">The stakes: a DPA investigation can conclude with corrective powers (warnings, processing bans, orders) and Art 83 fines — a compliance audit report has no independent legal force, though it can certainly be used as evidence in a later investigation, for better or worse.</w:t>
      </w:r>
    </w:p>
    <w:p>
      <w:pPr>
        <w:pStyle w:val="ListParagraph"/>
        <w:numPr>
          <w:ilvl w:val="0"/>
          <w:numId w:val="2"/>
        </w:numPr>
        <w:spacing w:after="100"/>
      </w:pPr>
      <w:r>
        <w:rPr>
          <w:rFonts w:ascii="Calibri" w:cs="Calibri" w:eastAsia="Calibri" w:hAnsi="Calibri"/>
          <w:sz w:val="22"/>
          <w:szCs w:val="22"/>
        </w:rPr>
        <w:t xml:space="preserve">Your internal audit files matter: prior compliance audit reports, findings, and remediation evidence (Templates 10-12) are exactly the kind of accountability documentation (Art 5(2), Art 24) that can demonstrate good faith to a DPA — keep them well organized for this reason alone.</w:t>
      </w:r>
    </w:p>
    <w:p>
      <w:r>
        <w:br w:type="page"/>
      </w:r>
    </w:p>
    <w:p>
      <w:pPr>
        <w:pStyle w:val="Heading1"/>
        <w:spacing w:after="200" w:before="400"/>
      </w:pPr>
      <w:r>
        <w:t xml:space="preserve">Part Four – Step-by-Step Walkthroughs</w:t>
      </w:r>
    </w:p>
    <w:p>
      <w:pPr>
        <w:spacing w:after="160" w:line="276"/>
      </w:pPr>
      <w:r>
        <w:rPr>
          <w:rFonts w:ascii="Calibri" w:cs="Calibri" w:eastAsia="Calibri" w:hAnsi="Calibri"/>
          <w:sz w:val="22"/>
          <w:szCs w:val="22"/>
        </w:rPr>
        <w:t xml:space="preserve">Each walkthrough below maps to one tab in the companion workbook, “GDPR Compliance Audit Toolkit.xlsx.” Work through them in order the first time; on future audits, jump straight to the tab you need.</w:t>
      </w:r>
    </w:p>
    <w:p>
      <w:pPr>
        <w:pStyle w:val="Heading2"/>
        <w:spacing w:after="150" w:before="300"/>
      </w:pPr>
      <w:r>
        <w:t xml:space="preserve">Walkthrough A: Building the Audit Program &amp; Plan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1 - Audit Program"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vague request (“audit our GDPR compliance”) into a concrete, resourced, scheduled engagement.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very start of every audit — internal, consultant-led, scheduled, or triggered by an incident.</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Confirm the audit type (scheduled internal review, consultant-led engagement, pre-DPA-investigation readiness check, or incident-triggered) and its trigger.</w:t>
      </w:r>
    </w:p>
    <w:p>
      <w:pPr>
        <w:pStyle w:val="ListParagraph"/>
        <w:numPr>
          <w:ilvl w:val="0"/>
          <w:numId w:val="3"/>
        </w:numPr>
        <w:spacing w:after="100"/>
      </w:pPr>
      <w:r>
        <w:rPr>
          <w:rFonts w:ascii="Calibri" w:cs="Calibri" w:eastAsia="Calibri" w:hAnsi="Calibri"/>
          <w:sz w:val="22"/>
          <w:szCs w:val="22"/>
        </w:rPr>
        <w:t xml:space="preserve">Define the audit objectives — typically: assess compliance with the applicable GDPR articles, evaluate the effectiveness of accountability measures, and identify remediation priorities.</w:t>
      </w:r>
    </w:p>
    <w:p>
      <w:pPr>
        <w:pStyle w:val="ListParagraph"/>
        <w:numPr>
          <w:ilvl w:val="0"/>
          <w:numId w:val="3"/>
        </w:numPr>
        <w:spacing w:after="100"/>
      </w:pPr>
      <w:r>
        <w:rPr>
          <w:rFonts w:ascii="Calibri" w:cs="Calibri" w:eastAsia="Calibri" w:hAnsi="Calibri"/>
          <w:sz w:val="22"/>
          <w:szCs w:val="22"/>
        </w:rPr>
        <w:t xml:space="preserve">Define the scope: which business units, systems, and processing activities are included — pull this from the organization's own ROPA/data map where one already exists, don't invent a scope from scratch.</w:t>
      </w:r>
    </w:p>
    <w:p>
      <w:pPr>
        <w:pStyle w:val="ListParagraph"/>
        <w:numPr>
          <w:ilvl w:val="0"/>
          <w:numId w:val="3"/>
        </w:numPr>
        <w:spacing w:after="100"/>
      </w:pPr>
      <w:r>
        <w:rPr>
          <w:rFonts w:ascii="Calibri" w:cs="Calibri" w:eastAsia="Calibri" w:hAnsi="Calibri"/>
          <w:sz w:val="22"/>
          <w:szCs w:val="22"/>
        </w:rPr>
        <w:t xml:space="preserve">Define the audit criteria: GDPR (and, if applicable, UK GDPR/DPA 2018 in parallel — see Handbook Section 2.7), plus the organization's own data protection policy and ROPA.</w:t>
      </w:r>
    </w:p>
    <w:p>
      <w:pPr>
        <w:pStyle w:val="ListParagraph"/>
        <w:numPr>
          <w:ilvl w:val="0"/>
          <w:numId w:val="3"/>
        </w:numPr>
        <w:spacing w:after="100"/>
      </w:pPr>
      <w:r>
        <w:rPr>
          <w:rFonts w:ascii="Calibri" w:cs="Calibri" w:eastAsia="Calibri" w:hAnsi="Calibri"/>
          <w:sz w:val="22"/>
          <w:szCs w:val="22"/>
        </w:rPr>
        <w:t xml:space="preserve">Assign a competent, appropriately independent audit team; bring in outside counsel or a technical specialist for areas like special-category data or complex international transfers.</w:t>
      </w:r>
    </w:p>
    <w:p>
      <w:pPr>
        <w:pStyle w:val="ListParagraph"/>
        <w:numPr>
          <w:ilvl w:val="0"/>
          <w:numId w:val="3"/>
        </w:numPr>
        <w:spacing w:after="100"/>
      </w:pPr>
      <w:r>
        <w:rPr>
          <w:rFonts w:ascii="Calibri" w:cs="Calibri" w:eastAsia="Calibri" w:hAnsi="Calibri"/>
          <w:sz w:val="22"/>
          <w:szCs w:val="22"/>
        </w:rPr>
        <w:t xml:space="preserve">Set dates for the full engagement, including time for scoping/mapping before evidence-gathering begins.</w:t>
      </w:r>
    </w:p>
    <w:p>
      <w:pPr>
        <w:pStyle w:val="ListParagraph"/>
        <w:numPr>
          <w:ilvl w:val="0"/>
          <w:numId w:val="3"/>
        </w:numPr>
        <w:spacing w:after="100"/>
      </w:pPr>
      <w:r>
        <w:rPr>
          <w:rFonts w:ascii="Calibri" w:cs="Calibri" w:eastAsia="Calibri" w:hAnsi="Calibri"/>
          <w:sz w:val="22"/>
          <w:szCs w:val="22"/>
        </w:rPr>
        <w:t xml:space="preserve">Fill in Template 1's schedule grid, listing each article/area against a planned date and assigned auditor.</w:t>
      </w:r>
    </w:p>
    <w:p>
      <w:pPr>
        <w:pStyle w:val="ListParagraph"/>
        <w:numPr>
          <w:ilvl w:val="0"/>
          <w:numId w:val="3"/>
        </w:numPr>
        <w:spacing w:after="100"/>
      </w:pPr>
      <w:r>
        <w:rPr>
          <w:rFonts w:ascii="Calibri" w:cs="Calibri" w:eastAsia="Calibri" w:hAnsi="Calibri"/>
          <w:sz w:val="22"/>
          <w:szCs w:val="22"/>
        </w:rPr>
        <w:t xml:space="preserve">Confirm logistics with the management sponsor (site access, interviewee availability, remote/on-site mix).</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mid-size retailer with both an EU and a UK office requests an annual internal compliance audit. Scope: “All customer- and employee-facing processing activities operated from the Dublin and London offices, including the e-commerce platform and HR systems.” Criteria: GDPR + UK GDPR/DPA 2018 (dual regime) + the organization's Data Protection Policy v4.</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let scope creep in without a documented scope change — if a processing activity surfaces during the audit that wasn't in the original ROPA/data map, that's itself a finding (an incomplete ROPA), not something to just fold in silently.</w:t>
      </w:r>
    </w:p>
    <w:p>
      <w:pPr>
        <w:pStyle w:val="ListParagraph"/>
        <w:numPr>
          <w:ilvl w:val="0"/>
          <w:numId w:val="2"/>
        </w:numPr>
        <w:spacing w:after="100"/>
      </w:pPr>
      <w:r>
        <w:rPr>
          <w:rFonts w:ascii="Calibri" w:cs="Calibri" w:eastAsia="Calibri" w:hAnsi="Calibri"/>
          <w:sz w:val="22"/>
          <w:szCs w:val="22"/>
        </w:rPr>
        <w:t xml:space="preserve">Under-resourcing the plan (e.g. one auditor, two days, for an organization with dozens of processing activities and cross-border transfers) is the single most common root cause of a weak audit — size the plan to the number of processing activities and the presence of special-category data or international transfers.</w:t>
      </w:r>
    </w:p>
    <w:p>
      <w:pPr>
        <w:spacing w:after="200"/>
      </w:pPr>
    </w:p>
    <w:p>
      <w:pPr>
        <w:pStyle w:val="Heading2"/>
        <w:spacing w:after="150" w:before="300"/>
      </w:pPr>
      <w:r>
        <w:t xml:space="preserve">Walkthrough B: Scoping the Audit and Mapping Data Flows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2 - Scoping &amp; Mapping"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Build a complete picture of what personal data the organization processes, where it flows, and where it isn't yet documented.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Immediately after the audit plan is agreed, before any deep evidence-gathering starts.</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List every processing activity you can identify from interviews, systems inventories, and the existing ROPA (if any) — expect the real list to be longer than the ROPA.</w:t>
      </w:r>
    </w:p>
    <w:p>
      <w:pPr>
        <w:pStyle w:val="ListParagraph"/>
        <w:numPr>
          <w:ilvl w:val="0"/>
          <w:numId w:val="3"/>
        </w:numPr>
        <w:spacing w:after="100"/>
      </w:pPr>
      <w:r>
        <w:rPr>
          <w:rFonts w:ascii="Calibri" w:cs="Calibri" w:eastAsia="Calibri" w:hAnsi="Calibri"/>
          <w:sz w:val="22"/>
          <w:szCs w:val="22"/>
        </w:rPr>
        <w:t xml:space="preserve">For each activity, record its business purpose, the systems/applications involved, where the data originates, and who it is shared with.</w:t>
      </w:r>
    </w:p>
    <w:p>
      <w:pPr>
        <w:pStyle w:val="ListParagraph"/>
        <w:numPr>
          <w:ilvl w:val="0"/>
          <w:numId w:val="3"/>
        </w:numPr>
        <w:spacing w:after="100"/>
      </w:pPr>
      <w:r>
        <w:rPr>
          <w:rFonts w:ascii="Calibri" w:cs="Calibri" w:eastAsia="Calibri" w:hAnsi="Calibri"/>
          <w:sz w:val="22"/>
          <w:szCs w:val="22"/>
        </w:rPr>
        <w:t xml:space="preserve">Flag any cross-border transfer, however minor (e.g. a US-based SaaS vendor, an offshore support team) — these all need a Chapter V mechanism.</w:t>
      </w:r>
    </w:p>
    <w:p>
      <w:pPr>
        <w:pStyle w:val="ListParagraph"/>
        <w:numPr>
          <w:ilvl w:val="0"/>
          <w:numId w:val="3"/>
        </w:numPr>
        <w:spacing w:after="100"/>
      </w:pPr>
      <w:r>
        <w:rPr>
          <w:rFonts w:ascii="Calibri" w:cs="Calibri" w:eastAsia="Calibri" w:hAnsi="Calibri"/>
          <w:sz w:val="22"/>
          <w:szCs w:val="22"/>
        </w:rPr>
        <w:t xml:space="preserve">Mark whether each processing activity falls within the agreed audit scope; anything found but out of scope should be logged anyway and raised with the sponsor.</w:t>
      </w:r>
    </w:p>
    <w:p>
      <w:pPr>
        <w:pStyle w:val="ListParagraph"/>
        <w:numPr>
          <w:ilvl w:val="0"/>
          <w:numId w:val="3"/>
        </w:numPr>
        <w:spacing w:after="100"/>
      </w:pPr>
      <w:r>
        <w:rPr>
          <w:rFonts w:ascii="Calibri" w:cs="Calibri" w:eastAsia="Calibri" w:hAnsi="Calibri"/>
          <w:sz w:val="22"/>
          <w:szCs w:val="22"/>
        </w:rPr>
        <w:t xml:space="preserve">Use this map to prioritise later sampling: processing activities involving special-category data, large volumes, or cross-border transfers should get more audit attention.</w:t>
      </w:r>
    </w:p>
    <w:p>
      <w:pPr>
        <w:pStyle w:val="Heading3"/>
        <w:spacing w:after="120" w:before="240"/>
      </w:pPr>
      <w:r>
        <w:t xml:space="preserve">Worked example</w:t>
      </w:r>
    </w:p>
    <w:p>
      <w:pPr>
        <w:spacing w:after="160" w:line="276"/>
      </w:pPr>
      <w:r>
        <w:rPr>
          <w:rFonts w:ascii="Calibri" w:cs="Calibri" w:eastAsia="Calibri" w:hAnsi="Calibri"/>
          <w:sz w:val="22"/>
          <w:szCs w:val="22"/>
        </w:rPr>
        <w:t xml:space="preserve">During interviews, the audit team discovers a loyalty-points program launched six months earlier that processes purchase history and is not in the existing ROPA. It's added to Template 2, flagged as in scope, and cross-referenced to a new finding in Template 10 about ROPA maintenance.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Relying solely on the organization's existing ROPA to define scope is circular — if the ROPA is incomplete (a very common finding), your audit scope will be too. Always cross-check the map against systems inventories, procurement records, and interviews.</w:t>
      </w:r>
    </w:p>
    <w:p>
      <w:pPr>
        <w:spacing w:after="200"/>
      </w:pPr>
    </w:p>
    <w:p>
      <w:pPr>
        <w:pStyle w:val="Heading2"/>
        <w:spacing w:after="150" w:before="300"/>
      </w:pPr>
      <w:r>
        <w:t xml:space="preserve">Walkthrough C: Testing the Principles, Lawful Basis, and Special-Category Handling</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3 - Lawful Basis"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each sampled processing activity has a valid, documented lawful basis, satisfies the seven Art 5 principles, and correctly handles any special-category data.</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Early in evidence-gathering, once the data map (Template 2) is in place.</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For each processing activity sampled, walk through the seven Art 5 principles in Part A of Template 3, gathering evidence for each (privacy notice, retention schedule, access controls, etc.).</w:t>
      </w:r>
    </w:p>
    <w:p>
      <w:pPr>
        <w:pStyle w:val="ListParagraph"/>
        <w:numPr>
          <w:ilvl w:val="0"/>
          <w:numId w:val="3"/>
        </w:numPr>
        <w:spacing w:after="100"/>
      </w:pPr>
      <w:r>
        <w:rPr>
          <w:rFonts w:ascii="Calibri" w:cs="Calibri" w:eastAsia="Calibri" w:hAnsi="Calibri"/>
          <w:sz w:val="22"/>
          <w:szCs w:val="22"/>
        </w:rPr>
        <w:t xml:space="preserve">In Part B, record the lawful basis relied on for each processing activity and assess whether it's actually the most appropriate one — a common gap is over-reliance on consent where contract necessity or legitimate interests would be more appropriate and more robust.</w:t>
      </w:r>
    </w:p>
    <w:p>
      <w:pPr>
        <w:pStyle w:val="ListParagraph"/>
        <w:numPr>
          <w:ilvl w:val="0"/>
          <w:numId w:val="3"/>
        </w:numPr>
        <w:spacing w:after="100"/>
      </w:pPr>
      <w:r>
        <w:rPr>
          <w:rFonts w:ascii="Calibri" w:cs="Calibri" w:eastAsia="Calibri" w:hAnsi="Calibri"/>
          <w:sz w:val="22"/>
          <w:szCs w:val="22"/>
        </w:rPr>
        <w:t xml:space="preserve">In Part C, screen every processing activity for special-category data — this is frequently under-reported by business owners who don't recognise data like sickness absence dates or dietary requirements (health data) as special category.</w:t>
      </w:r>
    </w:p>
    <w:p>
      <w:pPr>
        <w:pStyle w:val="ListParagraph"/>
        <w:numPr>
          <w:ilvl w:val="0"/>
          <w:numId w:val="3"/>
        </w:numPr>
        <w:spacing w:after="100"/>
      </w:pPr>
      <w:r>
        <w:rPr>
          <w:rFonts w:ascii="Calibri" w:cs="Calibri" w:eastAsia="Calibri" w:hAnsi="Calibri"/>
          <w:sz w:val="22"/>
          <w:szCs w:val="22"/>
        </w:rPr>
        <w:t xml:space="preserve">Where special-category data is found, confirm which Art 9(2) exception applies and that it is documented, not assumed.</w:t>
      </w:r>
    </w:p>
    <w:p>
      <w:pPr>
        <w:pStyle w:val="ListParagraph"/>
        <w:numPr>
          <w:ilvl w:val="0"/>
          <w:numId w:val="3"/>
        </w:numPr>
        <w:spacing w:after="100"/>
      </w:pPr>
      <w:r>
        <w:rPr>
          <w:rFonts w:ascii="Calibri" w:cs="Calibri" w:eastAsia="Calibri" w:hAnsi="Calibri"/>
          <w:sz w:val="22"/>
          <w:szCs w:val="22"/>
        </w:rPr>
        <w:t xml:space="preserve">Cross-reference any gap to Template 10 (Findings &amp; Risk Tracker), prioritising Art 9 gaps given their Tier 2 fine exposure.</w:t>
      </w:r>
    </w:p>
    <w:p>
      <w:pPr>
        <w:pStyle w:val="Heading3"/>
        <w:spacing w:after="120" w:before="240"/>
      </w:pPr>
      <w:r>
        <w:t xml:space="preserve">Worked example</w:t>
      </w:r>
    </w:p>
    <w:p>
      <w:pPr>
        <w:spacing w:after="160" w:line="276"/>
      </w:pPr>
      <w:r>
        <w:rPr>
          <w:rFonts w:ascii="Calibri" w:cs="Calibri" w:eastAsia="Calibri" w:hAnsi="Calibri"/>
          <w:sz w:val="22"/>
          <w:szCs w:val="22"/>
        </w:rPr>
        <w:t xml:space="preserve">Employee sickness records are found to rely on no documented lawful basis or Art 9(2) exception at all — HR simply logs absences. This becomes a High or Critical finding depending on volume and whether any compensating control (e.g. restricted access) exists.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accept “we have a privacy notice” as evidence that Art 5(1)(a) transparency is met — check that the notice is accurate, current, and actually describes the processing activity being tested.</w:t>
      </w:r>
    </w:p>
    <w:p>
      <w:pPr>
        <w:pStyle w:val="ListParagraph"/>
        <w:numPr>
          <w:ilvl w:val="0"/>
          <w:numId w:val="2"/>
        </w:numPr>
        <w:spacing w:after="100"/>
      </w:pPr>
      <w:r>
        <w:rPr>
          <w:rFonts w:ascii="Calibri" w:cs="Calibri" w:eastAsia="Calibri" w:hAnsi="Calibri"/>
          <w:sz w:val="22"/>
          <w:szCs w:val="22"/>
        </w:rPr>
        <w:t xml:space="preserve">Special-category data is often present without anyone labelling it that way — actively probe for it (health, biometric, religious, political, trade union, sexual-orientation data) rather than relying on the organization to flag it.</w:t>
      </w:r>
    </w:p>
    <w:p>
      <w:pPr>
        <w:spacing w:after="200"/>
      </w:pPr>
    </w:p>
    <w:p>
      <w:pPr>
        <w:pStyle w:val="Heading2"/>
        <w:spacing w:after="150" w:before="300"/>
      </w:pPr>
      <w:r>
        <w:t xml:space="preserve">Walkthrough D: Testing Data Subject Rights Processes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4 - DSR Checklist"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Verify that each of the eight data subject rights (Art 15-22) has a working process, and that real requests are actually met within the statutory deadline.</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Alongside the principles/lawful-basis testing, once you know which systems hold personal data.</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For each right in Template 4, confirm whether a documented process exists — who receives the request, who verifies identity, who fulfils it, and within what timeframe.</w:t>
      </w:r>
    </w:p>
    <w:p>
      <w:pPr>
        <w:pStyle w:val="ListParagraph"/>
        <w:numPr>
          <w:ilvl w:val="0"/>
          <w:numId w:val="3"/>
        </w:numPr>
        <w:spacing w:after="100"/>
      </w:pPr>
      <w:r>
        <w:rPr>
          <w:rFonts w:ascii="Calibri" w:cs="Calibri" w:eastAsia="Calibri" w:hAnsi="Calibri"/>
          <w:sz w:val="22"/>
          <w:szCs w:val="22"/>
        </w:rPr>
        <w:t xml:space="preserve">Pull the organization's actual data-subject-request log and sample a representative set of real requests (mix of types and dates), not just the easiest ones.</w:t>
      </w:r>
    </w:p>
    <w:p>
      <w:pPr>
        <w:pStyle w:val="ListParagraph"/>
        <w:numPr>
          <w:ilvl w:val="0"/>
          <w:numId w:val="3"/>
        </w:numPr>
        <w:spacing w:after="100"/>
      </w:pPr>
      <w:r>
        <w:rPr>
          <w:rFonts w:ascii="Calibri" w:cs="Calibri" w:eastAsia="Calibri" w:hAnsi="Calibri"/>
          <w:sz w:val="22"/>
          <w:szCs w:val="22"/>
        </w:rPr>
        <w:t xml:space="preserve">For each sampled request, calculate the actual response time and compare it against the one-month statutory deadline (extendable by two further months for complex requests, with notification to the subject).</w:t>
      </w:r>
    </w:p>
    <w:p>
      <w:pPr>
        <w:pStyle w:val="ListParagraph"/>
        <w:numPr>
          <w:ilvl w:val="0"/>
          <w:numId w:val="3"/>
        </w:numPr>
        <w:spacing w:after="100"/>
      </w:pPr>
      <w:r>
        <w:rPr>
          <w:rFonts w:ascii="Calibri" w:cs="Calibri" w:eastAsia="Calibri" w:hAnsi="Calibri"/>
          <w:sz w:val="22"/>
          <w:szCs w:val="22"/>
        </w:rPr>
        <w:t xml:space="preserve">Pay particular attention to Art 17 (erasure) and Art 21 (objection to direct marketing) — these are the rights individuals exercise most often and where processes most commonly break down.</w:t>
      </w:r>
    </w:p>
    <w:p>
      <w:pPr>
        <w:pStyle w:val="ListParagraph"/>
        <w:numPr>
          <w:ilvl w:val="0"/>
          <w:numId w:val="3"/>
        </w:numPr>
        <w:spacing w:after="100"/>
      </w:pPr>
      <w:r>
        <w:rPr>
          <w:rFonts w:ascii="Calibri" w:cs="Calibri" w:eastAsia="Calibri" w:hAnsi="Calibri"/>
          <w:sz w:val="22"/>
          <w:szCs w:val="22"/>
        </w:rPr>
        <w:t xml:space="preserve">For Art 22 (automated decision-making), confirm whether any solely automated decisions with legal or similarly significant effects occur, and if so, that human-intervention and contest safeguards exist.</w:t>
      </w:r>
    </w:p>
    <w:p>
      <w:pPr>
        <w:pStyle w:val="Heading3"/>
        <w:spacing w:after="120" w:before="240"/>
      </w:pPr>
      <w:r>
        <w:t xml:space="preserve">Worked example</w:t>
      </w:r>
    </w:p>
    <w:p>
      <w:pPr>
        <w:spacing w:after="160" w:line="276"/>
      </w:pPr>
      <w:r>
        <w:rPr>
          <w:rFonts w:ascii="Calibri" w:cs="Calibri" w:eastAsia="Calibri" w:hAnsi="Calibri"/>
          <w:sz w:val="22"/>
          <w:szCs w:val="22"/>
        </w:rPr>
        <w:t xml:space="preserve">Of 8 sampled access requests, 6 were answered within 30 days, 1 took 45 days with no extension notice sent to the subject, and 1 could not be located in the log at all. This becomes a Medium or High finding depending on pattern and volume.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documented process with zero evidence it has ever actually been exercised correctly on a real request is a common and important gap — don't accept “we have a policy” as proof the right works in practice.</w:t>
      </w:r>
    </w:p>
    <w:p>
      <w:pPr>
        <w:pStyle w:val="ListParagraph"/>
        <w:numPr>
          <w:ilvl w:val="0"/>
          <w:numId w:val="2"/>
        </w:numPr>
        <w:spacing w:after="100"/>
      </w:pPr>
      <w:r>
        <w:rPr>
          <w:rFonts w:ascii="Calibri" w:cs="Calibri" w:eastAsia="Calibri" w:hAnsi="Calibri"/>
          <w:sz w:val="22"/>
          <w:szCs w:val="22"/>
        </w:rPr>
        <w:t xml:space="preserve">Watch for direct marketing specifically: Art 21(3) requires objections to direct marketing to be honoured unconditionally, with no balancing test — unlike other Art 21 objections.</w:t>
      </w:r>
    </w:p>
    <w:p>
      <w:pPr>
        <w:spacing w:after="200"/>
      </w:pPr>
    </w:p>
    <w:p>
      <w:pPr>
        <w:pStyle w:val="Heading2"/>
        <w:spacing w:after="150" w:before="300"/>
      </w:pPr>
      <w:r>
        <w:t xml:space="preserve">Walkthrough E: Screening for Mandatory DPIAs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5 - DPIA Screening"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high-risk processing was screened against the Art 35(3) triggers before it began, and that required DPIAs were actually completed and acted 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For any new or significantly changed processing activity identified during scoping, and for any activity involving profiling, special-category data, or novel technology.</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For each higher-risk processing activity identified in Template 2, work through Part A's trigger checklist — the three mandatory Art 35(3) triggers plus the ICO's ten supplementary triggers.</w:t>
      </w:r>
    </w:p>
    <w:p>
      <w:pPr>
        <w:pStyle w:val="ListParagraph"/>
        <w:numPr>
          <w:ilvl w:val="0"/>
          <w:numId w:val="3"/>
        </w:numPr>
        <w:spacing w:after="100"/>
      </w:pPr>
      <w:r>
        <w:rPr>
          <w:rFonts w:ascii="Calibri" w:cs="Calibri" w:eastAsia="Calibri" w:hAnsi="Calibri"/>
          <w:sz w:val="22"/>
          <w:szCs w:val="22"/>
        </w:rPr>
        <w:t xml:space="preserve">If any trigger applies, confirm a DPIA was actually performed before the processing began — not retrospectively, and not merely planned.</w:t>
      </w:r>
    </w:p>
    <w:p>
      <w:pPr>
        <w:pStyle w:val="ListParagraph"/>
        <w:numPr>
          <w:ilvl w:val="0"/>
          <w:numId w:val="3"/>
        </w:numPr>
        <w:spacing w:after="100"/>
      </w:pPr>
      <w:r>
        <w:rPr>
          <w:rFonts w:ascii="Calibri" w:cs="Calibri" w:eastAsia="Calibri" w:hAnsi="Calibri"/>
          <w:sz w:val="22"/>
          <w:szCs w:val="22"/>
        </w:rPr>
        <w:t xml:space="preserve">Review the DPIA itself in Part B: does it genuinely identify risks to individuals, assess necessity/proportionality, and record mitigations, or is it a template filled in superficially?</w:t>
      </w:r>
    </w:p>
    <w:p>
      <w:pPr>
        <w:pStyle w:val="ListParagraph"/>
        <w:numPr>
          <w:ilvl w:val="0"/>
          <w:numId w:val="3"/>
        </w:numPr>
        <w:spacing w:after="100"/>
      </w:pPr>
      <w:r>
        <w:rPr>
          <w:rFonts w:ascii="Calibri" w:cs="Calibri" w:eastAsia="Calibri" w:hAnsi="Calibri"/>
          <w:sz w:val="22"/>
          <w:szCs w:val="22"/>
        </w:rPr>
        <w:t xml:space="preserve">Check whether any DPIA concluded there was high residual risk that could not be mitigated — if so, confirm Art 36 prior consultation with the supervisory authority occurred.</w:t>
      </w:r>
    </w:p>
    <w:p>
      <w:pPr>
        <w:pStyle w:val="ListParagraph"/>
        <w:numPr>
          <w:ilvl w:val="0"/>
          <w:numId w:val="3"/>
        </w:numPr>
        <w:spacing w:after="100"/>
      </w:pPr>
      <w:r>
        <w:rPr>
          <w:rFonts w:ascii="Calibri" w:cs="Calibri" w:eastAsia="Calibri" w:hAnsi="Calibri"/>
          <w:sz w:val="22"/>
          <w:szCs w:val="22"/>
        </w:rPr>
        <w:t xml:space="preserve">Where no trigger applies, confirm the screening itself was documented as the rationale for not conducting a DPIA — an undocumented decision not to screen is itself a gap.</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new employee facial-recognition access-control system triggers three criteria (innovative technology, biometric data, and — depending on scale — large-scale special-category processing). A DPIA was completed and identified high risk to employee privacy, mitigated by an opt-out badge alternative and short retention; residual risk assessed as medium, no Art 36 consultation required.</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DPIA completed after deployment, to satisfy an audit, is not a DPIA in the Art 35 sense — the requirement is to assess impact before processing begins, and this timing gap should itself be flagged as a finding.</w:t>
      </w:r>
    </w:p>
    <w:p>
      <w:pPr>
        <w:pStyle w:val="ListParagraph"/>
        <w:numPr>
          <w:ilvl w:val="0"/>
          <w:numId w:val="2"/>
        </w:numPr>
        <w:spacing w:after="100"/>
      </w:pPr>
      <w:r>
        <w:rPr>
          <w:rFonts w:ascii="Calibri" w:cs="Calibri" w:eastAsia="Calibri" w:hAnsi="Calibri"/>
          <w:sz w:val="22"/>
          <w:szCs w:val="22"/>
        </w:rPr>
        <w:t xml:space="preserve">Don't stop at “does a DPIA exist” — read it. A DPIA that identifies no risks for a genuinely high-risk activity is itself a red flag about the quality of the assessment process.</w:t>
      </w:r>
    </w:p>
    <w:p>
      <w:pPr>
        <w:spacing w:after="200"/>
      </w:pPr>
    </w:p>
    <w:p>
      <w:pPr>
        <w:pStyle w:val="Heading2"/>
        <w:spacing w:after="150" w:before="300"/>
      </w:pPr>
      <w:r>
        <w:t xml:space="preserve">Walkthrough F: Reviewing the Records of Processing Activities (ROPA)</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6 - ROPA"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the Art 30 ROPA is complete, accurate, and reflects what is actually happening — not what was true when it was last updated.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the independent data map (Template 2) exists, so you have something to compare the ROPA against.</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Obtain the organization's current ROPA and check it covers every mandatory Art 30 field: purpose, categories of data subjects, categories of personal data, recipients, transfers, retention periods, and security measures.</w:t>
      </w:r>
    </w:p>
    <w:p>
      <w:pPr>
        <w:pStyle w:val="ListParagraph"/>
        <w:numPr>
          <w:ilvl w:val="0"/>
          <w:numId w:val="3"/>
        </w:numPr>
        <w:spacing w:after="100"/>
      </w:pPr>
      <w:r>
        <w:rPr>
          <w:rFonts w:ascii="Calibri" w:cs="Calibri" w:eastAsia="Calibri" w:hAnsi="Calibri"/>
          <w:sz w:val="22"/>
          <w:szCs w:val="22"/>
        </w:rPr>
        <w:t xml:space="preserve">Compare the ROPA line by line against your independent data map (Template 2) — look for processing activities present in one but not the other.</w:t>
      </w:r>
    </w:p>
    <w:p>
      <w:pPr>
        <w:pStyle w:val="ListParagraph"/>
        <w:numPr>
          <w:ilvl w:val="0"/>
          <w:numId w:val="3"/>
        </w:numPr>
        <w:spacing w:after="100"/>
      </w:pPr>
      <w:r>
        <w:rPr>
          <w:rFonts w:ascii="Calibri" w:cs="Calibri" w:eastAsia="Calibri" w:hAnsi="Calibri"/>
          <w:sz w:val="22"/>
          <w:szCs w:val="22"/>
        </w:rPr>
        <w:t xml:space="preserve">Sample a handful of ROPA entries and verify them against reality: interview the relevant system/process owner and check the entry still matches what the system actually does.</w:t>
      </w:r>
    </w:p>
    <w:p>
      <w:pPr>
        <w:pStyle w:val="ListParagraph"/>
        <w:numPr>
          <w:ilvl w:val="0"/>
          <w:numId w:val="3"/>
        </w:numPr>
        <w:spacing w:after="100"/>
      </w:pPr>
      <w:r>
        <w:rPr>
          <w:rFonts w:ascii="Calibri" w:cs="Calibri" w:eastAsia="Calibri" w:hAnsi="Calibri"/>
          <w:sz w:val="22"/>
          <w:szCs w:val="22"/>
        </w:rPr>
        <w:t xml:space="preserve">Check the narrow &lt;250-employee exemption under Art 30(5) is not being over-applied — it does not apply if processing is regular, poses a risk to individuals' rights, or involves special-category/criminal data, which covers most organizations in practice.</w:t>
      </w:r>
    </w:p>
    <w:p>
      <w:pPr>
        <w:pStyle w:val="ListParagraph"/>
        <w:numPr>
          <w:ilvl w:val="0"/>
          <w:numId w:val="3"/>
        </w:numPr>
        <w:spacing w:after="100"/>
      </w:pPr>
      <w:r>
        <w:rPr>
          <w:rFonts w:ascii="Calibri" w:cs="Calibri" w:eastAsia="Calibri" w:hAnsi="Calibri"/>
          <w:sz w:val="22"/>
          <w:szCs w:val="22"/>
        </w:rPr>
        <w:t xml:space="preserve">Record any gaps directly in Template 6 by adding missing entries, and log discrepancies as findings in Template 10.</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ROPA that was accurate a year ago but hasn't been updated since a system migration or new vendor onboarding is a common and easy-to-miss gap — always test currency, not just existence.</w:t>
      </w:r>
    </w:p>
    <w:p>
      <w:pPr>
        <w:pStyle w:val="ListParagraph"/>
        <w:numPr>
          <w:ilvl w:val="0"/>
          <w:numId w:val="2"/>
        </w:numPr>
        <w:spacing w:after="100"/>
      </w:pPr>
      <w:r>
        <w:rPr>
          <w:rFonts w:ascii="Calibri" w:cs="Calibri" w:eastAsia="Calibri" w:hAnsi="Calibri"/>
          <w:sz w:val="22"/>
          <w:szCs w:val="22"/>
        </w:rPr>
        <w:t xml:space="preserve">Don't assume the &lt;250-employee exemption applies just because headcount is low — check the actual exemption conditions in Art 30(5) against the organization's processing.</w:t>
      </w:r>
    </w:p>
    <w:p>
      <w:pPr>
        <w:spacing w:after="200"/>
      </w:pPr>
    </w:p>
    <w:p>
      <w:pPr>
        <w:pStyle w:val="Heading2"/>
        <w:spacing w:after="150" w:before="300"/>
      </w:pPr>
      <w:r>
        <w:t xml:space="preserve">Walkthrough G: Assessing Vendor and Processor Due Diligence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Vendor Tracker"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every processor handling personal data on the organization's behalf is bound by a compliant Art 28 contract and is properly overseen.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the data map (Template 2) has identified which third parties receive personal data.</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Build (or validate) a complete vendor list from the data map, procurement records, and interviews — don't rely solely on a vendor register that may itself be incomplete.</w:t>
      </w:r>
    </w:p>
    <w:p>
      <w:pPr>
        <w:pStyle w:val="ListParagraph"/>
        <w:numPr>
          <w:ilvl w:val="0"/>
          <w:numId w:val="3"/>
        </w:numPr>
        <w:spacing w:after="100"/>
      </w:pPr>
      <w:r>
        <w:rPr>
          <w:rFonts w:ascii="Calibri" w:cs="Calibri" w:eastAsia="Calibri" w:hAnsi="Calibri"/>
          <w:sz w:val="22"/>
          <w:szCs w:val="22"/>
        </w:rPr>
        <w:t xml:space="preserve">For each vendor processing personal data, confirm a written Data Processing Agreement (DPA) exists containing the Art 28(3) mandatory clauses (processing only on instructions, confidentiality, security, sub-processing terms, assistance obligations, deletion/return at end of contract, audit rights).</w:t>
      </w:r>
    </w:p>
    <w:p>
      <w:pPr>
        <w:pStyle w:val="ListParagraph"/>
        <w:numPr>
          <w:ilvl w:val="0"/>
          <w:numId w:val="3"/>
        </w:numPr>
        <w:spacing w:after="100"/>
      </w:pPr>
      <w:r>
        <w:rPr>
          <w:rFonts w:ascii="Calibri" w:cs="Calibri" w:eastAsia="Calibri" w:hAnsi="Calibri"/>
          <w:sz w:val="22"/>
          <w:szCs w:val="22"/>
        </w:rPr>
        <w:t xml:space="preserve">Check how sub-processors are approved and tracked — Art 28(2) requires prior authorisation (general or specific) before a processor engages a sub-processor.</w:t>
      </w:r>
    </w:p>
    <w:p>
      <w:pPr>
        <w:pStyle w:val="ListParagraph"/>
        <w:numPr>
          <w:ilvl w:val="0"/>
          <w:numId w:val="3"/>
        </w:numPr>
        <w:spacing w:after="100"/>
      </w:pPr>
      <w:r>
        <w:rPr>
          <w:rFonts w:ascii="Calibri" w:cs="Calibri" w:eastAsia="Calibri" w:hAnsi="Calibri"/>
          <w:sz w:val="22"/>
          <w:szCs w:val="22"/>
        </w:rPr>
        <w:t xml:space="preserve">For vendors outside the EEA, confirm the transfer mechanism (adequacy, SCCs, BCRs, or a narrow Art 49 derogation) and that it is correctly executed, not just referenced.</w:t>
      </w:r>
    </w:p>
    <w:p>
      <w:pPr>
        <w:pStyle w:val="ListParagraph"/>
        <w:numPr>
          <w:ilvl w:val="0"/>
          <w:numId w:val="3"/>
        </w:numPr>
        <w:spacing w:after="100"/>
      </w:pPr>
      <w:r>
        <w:rPr>
          <w:rFonts w:ascii="Calibri" w:cs="Calibri" w:eastAsia="Calibri" w:hAnsi="Calibri"/>
          <w:sz w:val="22"/>
          <w:szCs w:val="22"/>
        </w:rPr>
        <w:t xml:space="preserve">Assign a risk rating to each vendor based on data sensitivity/volume and contract completeness, and set a review date.</w:t>
      </w:r>
    </w:p>
    <w:p>
      <w:pPr>
        <w:pStyle w:val="Heading3"/>
        <w:spacing w:after="120" w:before="240"/>
      </w:pPr>
      <w:r>
        <w:t xml:space="preserve">Worked example</w:t>
      </w:r>
    </w:p>
    <w:p>
      <w:pPr>
        <w:spacing w:after="160" w:line="276"/>
      </w:pPr>
      <w:r>
        <w:rPr>
          <w:rFonts w:ascii="Calibri" w:cs="Calibri" w:eastAsia="Calibri" w:hAnsi="Calibri"/>
          <w:sz w:val="22"/>
          <w:szCs w:val="22"/>
        </w:rPr>
        <w:t xml:space="preserve">Stripe Inc. is confirmed to have a signed DPA (2025-03-01), sub-processors pre-approved via Stripe's published list, and EU SCCs (2021, module 2) in place for the US transfer — rated Medium risk given payment-token-only data and a mature vendor.</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signed master services agreement is not the same as a compliant DPA — check for the specific Art 28(3) clauses, which are often missing from older or generic vendor contracts.</w:t>
      </w:r>
    </w:p>
    <w:p>
      <w:pPr>
        <w:pStyle w:val="ListParagraph"/>
        <w:numPr>
          <w:ilvl w:val="0"/>
          <w:numId w:val="2"/>
        </w:numPr>
        <w:spacing w:after="100"/>
      </w:pPr>
      <w:r>
        <w:rPr>
          <w:rFonts w:ascii="Calibri" w:cs="Calibri" w:eastAsia="Calibri" w:hAnsi="Calibri"/>
          <w:sz w:val="22"/>
          <w:szCs w:val="22"/>
        </w:rPr>
        <w:t xml:space="preserve">Sub-processor sprawl is a common blind spot: a vendor's own sub-processors (e.g. their cloud hosting provider) are part of the processing chain and need to be accounted for, even though the organization has no direct contract with them.</w:t>
      </w:r>
    </w:p>
    <w:p>
      <w:pPr>
        <w:spacing w:after="200"/>
      </w:pPr>
    </w:p>
    <w:p>
      <w:pPr>
        <w:pStyle w:val="Heading2"/>
        <w:spacing w:after="150" w:before="300"/>
      </w:pPr>
      <w:r>
        <w:t xml:space="preserve">Walkthrough H: Reviewing Breach Response and Notification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8 - Breach Log"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Confirm the organization can detect, assess, and (where required) notify personal data breaches within the statutory timeframes.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Reviewed for every logged incident, and tested even if the organization reports zero breaches — a zero-incident history without a working detection process is itself a red flag.</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Obtain the organization's breach log/register and confirm every entry includes: discovery date/time, date of breach (if different), description, categories and volume of data affected, and risk assessment.</w:t>
      </w:r>
    </w:p>
    <w:p>
      <w:pPr>
        <w:pStyle w:val="ListParagraph"/>
        <w:numPr>
          <w:ilvl w:val="0"/>
          <w:numId w:val="3"/>
        </w:numPr>
        <w:spacing w:after="100"/>
      </w:pPr>
      <w:r>
        <w:rPr>
          <w:rFonts w:ascii="Calibri" w:cs="Calibri" w:eastAsia="Calibri" w:hAnsi="Calibri"/>
          <w:sz w:val="22"/>
          <w:szCs w:val="22"/>
        </w:rPr>
        <w:t xml:space="preserve">For each breach, confirm the risk-to-rights-and-freedoms assessment (Art 33(1) threshold) was actually documented, not just assumed.</w:t>
      </w:r>
    </w:p>
    <w:p>
      <w:pPr>
        <w:pStyle w:val="ListParagraph"/>
        <w:numPr>
          <w:ilvl w:val="0"/>
          <w:numId w:val="3"/>
        </w:numPr>
        <w:spacing w:after="100"/>
      </w:pPr>
      <w:r>
        <w:rPr>
          <w:rFonts w:ascii="Calibri" w:cs="Calibri" w:eastAsia="Calibri" w:hAnsi="Calibri"/>
          <w:sz w:val="22"/>
          <w:szCs w:val="22"/>
        </w:rPr>
        <w:t xml:space="preserve">Where notification to the supervisory authority was required, check the actual notification date against the 72-hour deadline calculated from discovery — Template 8 calculates this automatically from the discovery date.</w:t>
      </w:r>
    </w:p>
    <w:p>
      <w:pPr>
        <w:pStyle w:val="ListParagraph"/>
        <w:numPr>
          <w:ilvl w:val="0"/>
          <w:numId w:val="3"/>
        </w:numPr>
        <w:spacing w:after="100"/>
      </w:pPr>
      <w:r>
        <w:rPr>
          <w:rFonts w:ascii="Calibri" w:cs="Calibri" w:eastAsia="Calibri" w:hAnsi="Calibri"/>
          <w:sz w:val="22"/>
          <w:szCs w:val="22"/>
        </w:rPr>
        <w:t xml:space="preserve">Where the breach was high risk to individuals, confirm notification to affected data subjects occurred without undue delay (Art 34), or that a valid exception applied (e.g. effective mitigating measures such as encryption).</w:t>
      </w:r>
    </w:p>
    <w:p>
      <w:pPr>
        <w:pStyle w:val="ListParagraph"/>
        <w:numPr>
          <w:ilvl w:val="0"/>
          <w:numId w:val="3"/>
        </w:numPr>
        <w:spacing w:after="100"/>
      </w:pPr>
      <w:r>
        <w:rPr>
          <w:rFonts w:ascii="Calibri" w:cs="Calibri" w:eastAsia="Calibri" w:hAnsi="Calibri"/>
          <w:sz w:val="22"/>
          <w:szCs w:val="22"/>
        </w:rPr>
        <w:t xml:space="preserve">Ask how breaches are actually detected in the first place — logging, monitoring, and an internal reporting channel for staff to raise suspected incidents — since a log with only externally reported incidents likely understates the true breach history.</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misconfigured cloud storage bucket exposed contact details and order history for 4,200 customers. Discovered 2026-07-02 (breach itself occurred 2026-06-30); the auto-calculated 72-hour deadline is 2026-07-05; the DPA was actually notified 2026-07-04, within deadline. Status: Notified - Under Review.</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“Where feasible” in Art 33(1) is not a blanket excuse for missing the 72-hour window — any delay needs its own documented, defensible reason, provided alongside the notification.</w:t>
      </w:r>
    </w:p>
    <w:p>
      <w:pPr>
        <w:pStyle w:val="ListParagraph"/>
        <w:numPr>
          <w:ilvl w:val="0"/>
          <w:numId w:val="2"/>
        </w:numPr>
        <w:spacing w:after="100"/>
      </w:pPr>
      <w:r>
        <w:rPr>
          <w:rFonts w:ascii="Calibri" w:cs="Calibri" w:eastAsia="Calibri" w:hAnsi="Calibri"/>
          <w:sz w:val="22"/>
          <w:szCs w:val="22"/>
        </w:rPr>
        <w:t xml:space="preserve">Don't confuse “no breaches reported” with “no breaches occurred” — probe detection capability (logging, monitoring, staff reporting channel) directly rather than accepting an empty log at face value.</w:t>
      </w:r>
    </w:p>
    <w:p>
      <w:pPr>
        <w:spacing w:after="200"/>
      </w:pPr>
    </w:p>
    <w:p>
      <w:pPr>
        <w:pStyle w:val="Heading2"/>
        <w:spacing w:after="150" w:before="300"/>
      </w:pPr>
      <w:r>
        <w:t xml:space="preserve">Walkthrough I: Logging Evidence As You Go</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9 - Evidence Log"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Keep a single, chronological, defensible record of everything you examined.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throughout the audit — not reconstructed afterward from memory.</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Every time you review a document, interview someone, or observe a system, add one row to Template 9 immediately.</w:t>
      </w:r>
    </w:p>
    <w:p>
      <w:pPr>
        <w:pStyle w:val="ListParagraph"/>
        <w:numPr>
          <w:ilvl w:val="0"/>
          <w:numId w:val="3"/>
        </w:numPr>
        <w:spacing w:after="100"/>
      </w:pPr>
      <w:r>
        <w:rPr>
          <w:rFonts w:ascii="Calibri" w:cs="Calibri" w:eastAsia="Calibri" w:hAnsi="Calibri"/>
          <w:sz w:val="22"/>
          <w:szCs w:val="22"/>
        </w:rPr>
        <w:t xml:space="preserve">Record: a unique Evidence ID, date/time, source (person interviewed or document reference with version/date), the article it relates to, and a specific description of what you saw.</w:t>
      </w:r>
    </w:p>
    <w:p>
      <w:pPr>
        <w:pStyle w:val="ListParagraph"/>
        <w:numPr>
          <w:ilvl w:val="0"/>
          <w:numId w:val="3"/>
        </w:numPr>
        <w:spacing w:after="100"/>
      </w:pPr>
      <w:r>
        <w:rPr>
          <w:rFonts w:ascii="Calibri" w:cs="Calibri" w:eastAsia="Calibri" w:hAnsi="Calibri"/>
          <w:sz w:val="22"/>
          <w:szCs w:val="22"/>
        </w:rPr>
        <w:t xml:space="preserve">Tag each row with a status: Supports Compliance / Supports Finding / Needs Follow-up.</w:t>
      </w:r>
    </w:p>
    <w:p>
      <w:pPr>
        <w:pStyle w:val="ListParagraph"/>
        <w:numPr>
          <w:ilvl w:val="0"/>
          <w:numId w:val="3"/>
        </w:numPr>
        <w:spacing w:after="100"/>
      </w:pPr>
      <w:r>
        <w:rPr>
          <w:rFonts w:ascii="Calibri" w:cs="Calibri" w:eastAsia="Calibri" w:hAnsi="Calibri"/>
          <w:sz w:val="22"/>
          <w:szCs w:val="22"/>
        </w:rPr>
        <w:t xml:space="preserve">Cross-reference Evidence IDs from Templates 3-8 and 10 back into this log so any finding can be traced to its exact source.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Reconstructing evidence notes at the end of the day from memory is how audits lose credibility — log in real time, even briefly, then expand at the next break.</w:t>
      </w:r>
    </w:p>
    <w:p>
      <w:pPr>
        <w:spacing w:after="200"/>
      </w:pPr>
    </w:p>
    <w:p>
      <w:pPr>
        <w:pStyle w:val="Heading2"/>
        <w:spacing w:after="150" w:before="300"/>
      </w:pPr>
      <w:r>
        <w:t xml:space="preserve">Walkthrough J: Writing Risk-Rated Findings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10 - Findings &amp; Risk"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gap you observed into a clear, defensible, risk-rated finding — without reaching for ISO-style major/minor language that doesn't apply here.</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soon as you identify a gap between what GDPR/the organization's own procedure requires and what you found.</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Write the finding using a 'Requirement / Gap Identified' structure: the requirement states what the article or the organization's own procedure requires, in neutral language; the gap states exactly what you observed, including the objective evidence (document IDs, sample sizes, names/dates).</w:t>
      </w:r>
    </w:p>
    <w:p>
      <w:pPr>
        <w:pStyle w:val="ListParagraph"/>
        <w:numPr>
          <w:ilvl w:val="0"/>
          <w:numId w:val="3"/>
        </w:numPr>
        <w:spacing w:after="100"/>
      </w:pPr>
      <w:r>
        <w:rPr>
          <w:rFonts w:ascii="Calibri" w:cs="Calibri" w:eastAsia="Calibri" w:hAnsi="Calibri"/>
          <w:sz w:val="22"/>
          <w:szCs w:val="22"/>
        </w:rPr>
        <w:t xml:space="preserve">Cross-reference the specific article the finding relates to.</w:t>
      </w:r>
    </w:p>
    <w:p>
      <w:pPr>
        <w:pStyle w:val="ListParagraph"/>
        <w:numPr>
          <w:ilvl w:val="0"/>
          <w:numId w:val="3"/>
        </w:numPr>
        <w:spacing w:after="100"/>
      </w:pPr>
      <w:r>
        <w:rPr>
          <w:rFonts w:ascii="Calibri" w:cs="Calibri" w:eastAsia="Calibri" w:hAnsi="Calibri"/>
          <w:sz w:val="22"/>
          <w:szCs w:val="22"/>
        </w:rPr>
        <w:t xml:space="preserve">Assign a risk rating — Critical, High, Medium, or Low — using the criteria in Handbook Section 3.5, and record it in Template 10.</w:t>
      </w:r>
    </w:p>
    <w:p>
      <w:pPr>
        <w:pStyle w:val="ListParagraph"/>
        <w:numPr>
          <w:ilvl w:val="0"/>
          <w:numId w:val="3"/>
        </w:numPr>
        <w:spacing w:after="100"/>
      </w:pPr>
      <w:r>
        <w:rPr>
          <w:rFonts w:ascii="Calibri" w:cs="Calibri" w:eastAsia="Calibri" w:hAnsi="Calibri"/>
          <w:sz w:val="22"/>
          <w:szCs w:val="22"/>
        </w:rPr>
        <w:t xml:space="preserve">Note the scope of the gap (isolated incident vs. pattern across multiple processing activities) — this evidence supports your rating and helps the organization's root cause analysis.</w:t>
      </w:r>
    </w:p>
    <w:p>
      <w:pPr>
        <w:pStyle w:val="ListParagraph"/>
        <w:numPr>
          <w:ilvl w:val="0"/>
          <w:numId w:val="3"/>
        </w:numPr>
        <w:spacing w:after="100"/>
      </w:pPr>
      <w:r>
        <w:rPr>
          <w:rFonts w:ascii="Calibri" w:cs="Calibri" w:eastAsia="Calibri" w:hAnsi="Calibri"/>
          <w:sz w:val="22"/>
          <w:szCs w:val="22"/>
        </w:rPr>
        <w:t xml:space="preserve">Present the finding to the auditee for factual acknowledgment (not agreement with the rating) before finalising the report — factual disputes should be resolved before the report is finalized; the risk rating is the auditor's call.</w:t>
      </w:r>
    </w:p>
    <w:p>
      <w:pPr>
        <w:pStyle w:val="ListParagraph"/>
        <w:numPr>
          <w:ilvl w:val="0"/>
          <w:numId w:val="3"/>
        </w:numPr>
        <w:spacing w:after="100"/>
      </w:pPr>
      <w:r>
        <w:rPr>
          <w:rFonts w:ascii="Calibri" w:cs="Calibri" w:eastAsia="Calibri" w:hAnsi="Calibri"/>
          <w:sz w:val="22"/>
          <w:szCs w:val="22"/>
        </w:rPr>
        <w:t xml:space="preserve">After the audit, track the organization's remediation to verified closure in Template 12.</w:t>
      </w:r>
    </w:p>
    <w:p>
      <w:pPr>
        <w:pStyle w:val="Heading3"/>
        <w:spacing w:after="120" w:before="240"/>
      </w:pPr>
      <w:r>
        <w:t xml:space="preserve">Worked example</w:t>
      </w:r>
    </w:p>
    <w:p>
      <w:pPr>
        <w:spacing w:after="160" w:line="276"/>
      </w:pPr>
      <w:r>
        <w:rPr>
          <w:rFonts w:ascii="Calibri" w:cs="Calibri" w:eastAsia="Calibri" w:hAnsi="Calibri"/>
          <w:sz w:val="22"/>
          <w:szCs w:val="22"/>
        </w:rPr>
        <w:t xml:space="preserve">Requirement: “Art 30 requires a written record of processing activities covering the mandatory fields for every processing operation.”</w:t>
      </w:r>
    </w:p>
    <w:p>
      <w:pPr>
        <w:spacing w:after="160" w:line="276"/>
      </w:pPr>
      <w:r>
        <w:rPr>
          <w:rFonts w:ascii="Calibri" w:cs="Calibri" w:eastAsia="Calibri" w:hAnsi="Calibri"/>
          <w:sz w:val="22"/>
          <w:szCs w:val="22"/>
        </w:rPr>
        <w:t xml:space="preserve">Gap identified: “3 of 14 processing activities identified during data mapping (Template 2) had no corresponding ROPA entry, including a newly launched loyalty-points program processing purchase history.”</w:t>
      </w:r>
    </w:p>
    <w:p>
      <w:pPr>
        <w:spacing w:after="160" w:line="276"/>
      </w:pPr>
      <w:r>
        <w:rPr>
          <w:rFonts w:ascii="Calibri" w:cs="Calibri" w:eastAsia="Calibri" w:hAnsi="Calibri"/>
          <w:sz w:val="22"/>
          <w:szCs w:val="22"/>
        </w:rPr>
        <w:t xml:space="preserve">Rating rationale: affects 3 of 14 activities (a pattern, not an isolated lapse) and the ROPA-update process has no trigger tied to new-system launches → rated High.</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 not import ISO's major/minor nonconformity language into a GDPR finding — use the Critical/High/Medium/Low risk scale consistently; mixing vocabularies confuses readers and misrepresents the audit type.</w:t>
      </w:r>
    </w:p>
    <w:p>
      <w:pPr>
        <w:pStyle w:val="ListParagraph"/>
        <w:numPr>
          <w:ilvl w:val="0"/>
          <w:numId w:val="2"/>
        </w:numPr>
        <w:spacing w:after="100"/>
      </w:pPr>
      <w:r>
        <w:rPr>
          <w:rFonts w:ascii="Calibri" w:cs="Calibri" w:eastAsia="Calibri" w:hAnsi="Calibri"/>
          <w:sz w:val="22"/>
          <w:szCs w:val="22"/>
        </w:rPr>
        <w:t xml:space="preserve">Never write a finding as a personal opinion (“I think their privacy notice is weak”) — always anchor to a specific article and specific evidence.</w:t>
      </w:r>
    </w:p>
    <w:p>
      <w:pPr>
        <w:pStyle w:val="ListParagraph"/>
        <w:numPr>
          <w:ilvl w:val="0"/>
          <w:numId w:val="2"/>
        </w:numPr>
        <w:spacing w:after="100"/>
      </w:pPr>
      <w:r>
        <w:rPr>
          <w:rFonts w:ascii="Calibri" w:cs="Calibri" w:eastAsia="Calibri" w:hAnsi="Calibri"/>
          <w:sz w:val="22"/>
          <w:szCs w:val="22"/>
        </w:rPr>
        <w:t xml:space="preserve">Don't inflate every gap to Critical just to get attention, and don't downgrade a real pattern to Low just to be lenient — the rating needs to survive scrutiny on its own logic.</w:t>
      </w:r>
    </w:p>
    <w:p>
      <w:pPr>
        <w:spacing w:after="200"/>
      </w:pPr>
    </w:p>
    <w:p>
      <w:pPr>
        <w:pStyle w:val="Heading2"/>
        <w:spacing w:after="150" w:before="300"/>
      </w:pPr>
      <w:r>
        <w:t xml:space="preserve">Walkthrough K: Writing the Compliance Report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11 - Report Summary"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 single authoritative record of the audit, sufficient on its own to brief senior management (and, if needed, to demonstrate accountability to a DPA later).</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Within an agreed timeframe after evidence-gathering concludes (commonly 1-3 weeks for an internal or consultant-led audit).</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Complete the header fields in Template 11: organization, scope, criteria, dates, audit team, and audit type.</w:t>
      </w:r>
    </w:p>
    <w:p>
      <w:pPr>
        <w:pStyle w:val="ListParagraph"/>
        <w:numPr>
          <w:ilvl w:val="0"/>
          <w:numId w:val="3"/>
        </w:numPr>
        <w:spacing w:after="100"/>
      </w:pPr>
      <w:r>
        <w:rPr>
          <w:rFonts w:ascii="Calibri" w:cs="Calibri" w:eastAsia="Calibri" w:hAnsi="Calibri"/>
          <w:sz w:val="22"/>
          <w:szCs w:val="22"/>
        </w:rPr>
        <w:t xml:space="preserve">Write an executive summary: overall conclusion on compliance, number and risk rating of findings, and an overall compliance rating (substantially compliant / compliant with gaps / significant gaps).</w:t>
      </w:r>
    </w:p>
    <w:p>
      <w:pPr>
        <w:pStyle w:val="ListParagraph"/>
        <w:numPr>
          <w:ilvl w:val="0"/>
          <w:numId w:val="3"/>
        </w:numPr>
        <w:spacing w:after="100"/>
      </w:pPr>
      <w:r>
        <w:rPr>
          <w:rFonts w:ascii="Calibri" w:cs="Calibri" w:eastAsia="Calibri" w:hAnsi="Calibri"/>
          <w:sz w:val="22"/>
          <w:szCs w:val="22"/>
        </w:rPr>
        <w:t xml:space="preserve">List every finding, pulling directly from Template 10 — do not re-word or soften findings that were already discussed with the auditee.</w:t>
      </w:r>
    </w:p>
    <w:p>
      <w:pPr>
        <w:pStyle w:val="ListParagraph"/>
        <w:numPr>
          <w:ilvl w:val="0"/>
          <w:numId w:val="3"/>
        </w:numPr>
        <w:spacing w:after="100"/>
      </w:pPr>
      <w:r>
        <w:rPr>
          <w:rFonts w:ascii="Calibri" w:cs="Calibri" w:eastAsia="Calibri" w:hAnsi="Calibri"/>
          <w:sz w:val="22"/>
          <w:szCs w:val="22"/>
        </w:rPr>
        <w:t xml:space="preserve">Summarize the areas/articles actually sampled versus planned, and disclose any limitations (e.g. an interviewee unavailable, a system not accessible).</w:t>
      </w:r>
    </w:p>
    <w:p>
      <w:pPr>
        <w:pStyle w:val="ListParagraph"/>
        <w:numPr>
          <w:ilvl w:val="0"/>
          <w:numId w:val="3"/>
        </w:numPr>
        <w:spacing w:after="100"/>
      </w:pPr>
      <w:r>
        <w:rPr>
          <w:rFonts w:ascii="Calibri" w:cs="Calibri" w:eastAsia="Calibri" w:hAnsi="Calibri"/>
          <w:sz w:val="22"/>
          <w:szCs w:val="22"/>
        </w:rPr>
        <w:t xml:space="preserve">Let the built-in COUNTIF formulas in Template 11 pull the findings-by-risk-rating counts directly from Template 10, so the summary always matches the detailed tracker.</w:t>
      </w:r>
    </w:p>
    <w:p>
      <w:pPr>
        <w:pStyle w:val="ListParagraph"/>
        <w:numPr>
          <w:ilvl w:val="0"/>
          <w:numId w:val="3"/>
        </w:numPr>
        <w:spacing w:after="100"/>
      </w:pPr>
      <w:r>
        <w:rPr>
          <w:rFonts w:ascii="Calibri" w:cs="Calibri" w:eastAsia="Calibri" w:hAnsi="Calibri"/>
          <w:sz w:val="22"/>
          <w:szCs w:val="22"/>
        </w:rPr>
        <w:t xml:space="preserve">Attach or reference the completed Templates 2-10 as supporting audit working papers.</w:t>
      </w:r>
    </w:p>
    <w:p>
      <w:pPr>
        <w:pStyle w:val="ListParagraph"/>
        <w:numPr>
          <w:ilvl w:val="0"/>
          <w:numId w:val="3"/>
        </w:numPr>
        <w:spacing w:after="100"/>
      </w:pPr>
      <w:r>
        <w:rPr>
          <w:rFonts w:ascii="Calibri" w:cs="Calibri" w:eastAsia="Calibri" w:hAnsi="Calibri"/>
          <w:sz w:val="22"/>
          <w:szCs w:val="22"/>
        </w:rPr>
        <w:t xml:space="preserve">Have the lead auditor/DPO and management sponsor sign and date the report.</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report with findings but no clear overall compliance rating leaves management without what they need to prioritise — always state a clear conclusion.</w:t>
      </w:r>
    </w:p>
    <w:p>
      <w:pPr>
        <w:pStyle w:val="ListParagraph"/>
        <w:numPr>
          <w:ilvl w:val="0"/>
          <w:numId w:val="2"/>
        </w:numPr>
        <w:spacing w:after="100"/>
      </w:pPr>
      <w:r>
        <w:rPr>
          <w:rFonts w:ascii="Calibri" w:cs="Calibri" w:eastAsia="Calibri" w:hAnsi="Calibri"/>
          <w:sz w:val="22"/>
          <w:szCs w:val="22"/>
        </w:rPr>
        <w:t xml:space="preserve">Because this report may later be reviewed by a DPA as evidence of accountability (Art 5(2), Art 24), write it as if that could happen — accurate and complete, not defensively vague.</w:t>
      </w:r>
    </w:p>
    <w:p>
      <w:pPr>
        <w:spacing w:after="200"/>
      </w:pPr>
    </w:p>
    <w:p>
      <w:pPr>
        <w:pStyle w:val="Heading2"/>
        <w:spacing w:after="150" w:before="300"/>
      </w:pPr>
      <w:r>
        <w:t xml:space="preserve">Walkthrough L: Tracking Remediation to Closure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12 - Remediation" in the GDPR Compliance Audit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Ensure every finding is not just promised a fix, but demonstrably and effectively closed.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the report is issued, continuing until every finding is verified closed.</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For each finding, require the accountable owner to submit a remediation action and target date, prioritised by risk rating (Critical/High findings first).</w:t>
      </w:r>
    </w:p>
    <w:p>
      <w:pPr>
        <w:pStyle w:val="ListParagraph"/>
        <w:numPr>
          <w:ilvl w:val="0"/>
          <w:numId w:val="3"/>
        </w:numPr>
        <w:spacing w:after="100"/>
      </w:pPr>
      <w:r>
        <w:rPr>
          <w:rFonts w:ascii="Calibri" w:cs="Calibri" w:eastAsia="Calibri" w:hAnsi="Calibri"/>
          <w:sz w:val="22"/>
          <w:szCs w:val="22"/>
        </w:rPr>
        <w:t xml:space="preserve">Record the submission in Template 12 with owner and due date.</w:t>
      </w:r>
    </w:p>
    <w:p>
      <w:pPr>
        <w:pStyle w:val="ListParagraph"/>
        <w:numPr>
          <w:ilvl w:val="0"/>
          <w:numId w:val="3"/>
        </w:numPr>
        <w:spacing w:after="100"/>
      </w:pPr>
      <w:r>
        <w:rPr>
          <w:rFonts w:ascii="Calibri" w:cs="Calibri" w:eastAsia="Calibri" w:hAnsi="Calibri"/>
          <w:sz w:val="22"/>
          <w:szCs w:val="22"/>
        </w:rPr>
        <w:t xml:space="preserve">Assess whether the remediation action addresses the root cause identified in Template 10, rather than being a superficial fix (“we reminded staff” without changing the underlying process).</w:t>
      </w:r>
    </w:p>
    <w:p>
      <w:pPr>
        <w:pStyle w:val="ListParagraph"/>
        <w:numPr>
          <w:ilvl w:val="0"/>
          <w:numId w:val="3"/>
        </w:numPr>
        <w:spacing w:after="100"/>
      </w:pPr>
      <w:r>
        <w:rPr>
          <w:rFonts w:ascii="Calibri" w:cs="Calibri" w:eastAsia="Calibri" w:hAnsi="Calibri"/>
          <w:sz w:val="22"/>
          <w:szCs w:val="22"/>
        </w:rPr>
        <w:t xml:space="preserve">Where possible, verify closure with evidence rather than a written assurance — request the actual updated record, a follow-up sample, or a focused re-test for Critical/High findings.</w:t>
      </w:r>
    </w:p>
    <w:p>
      <w:pPr>
        <w:pStyle w:val="ListParagraph"/>
        <w:numPr>
          <w:ilvl w:val="0"/>
          <w:numId w:val="3"/>
        </w:numPr>
        <w:spacing w:after="100"/>
      </w:pPr>
      <w:r>
        <w:rPr>
          <w:rFonts w:ascii="Calibri" w:cs="Calibri" w:eastAsia="Calibri" w:hAnsi="Calibri"/>
          <w:sz w:val="22"/>
          <w:szCs w:val="22"/>
        </w:rPr>
        <w:t xml:space="preserve">Mark the finding 'Verified Closed' only once objective evidence of effectiveness exists; otherwise keep it open and escalate per the organization's own governance process.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Closing a Critical or High finding based on a promise or a policy update alone, with no evidence the fix actually works, is one of the most common quality failures in compliance audits — always ask 'how do you know this worked?'</w:t>
      </w:r>
    </w:p>
    <w:p>
      <w:pPr>
        <w:spacing w:after="200"/>
      </w:pPr>
    </w:p>
    <w:p>
      <w:r>
        <w:br w:type="page"/>
      </w:r>
    </w:p>
    <w:p>
      <w:pPr>
        <w:pStyle w:val="Heading1"/>
        <w:spacing w:after="200" w:before="400"/>
      </w:pPr>
      <w:r>
        <w:t xml:space="preserve">Part Five – Reusing the Toolkit for Future Audits</w:t>
      </w:r>
    </w:p>
    <w:p>
      <w:pPr>
        <w:pStyle w:val="Heading2"/>
        <w:spacing w:after="150" w:before="300"/>
      </w:pPr>
      <w:r>
        <w:t xml:space="preserve">5.1 Treat the Toolkit as a Living System, Not a One-Off Form</w:t>
      </w:r>
    </w:p>
    <w:p>
      <w:pPr>
        <w:pStyle w:val="ListParagraph"/>
        <w:numPr>
          <w:ilvl w:val="0"/>
          <w:numId w:val="2"/>
        </w:numPr>
        <w:spacing w:after="100"/>
      </w:pPr>
      <w:r>
        <w:rPr>
          <w:rFonts w:ascii="Calibri" w:cs="Calibri" w:eastAsia="Calibri" w:hAnsi="Calibri"/>
          <w:sz w:val="22"/>
          <w:szCs w:val="22"/>
        </w:rPr>
        <w:t xml:space="preserve">Version-control the workbook (e.g. filename or tab date-stamped per audit) so you can compare findings year over year.</w:t>
      </w:r>
    </w:p>
    <w:p>
      <w:pPr>
        <w:pStyle w:val="ListParagraph"/>
        <w:numPr>
          <w:ilvl w:val="0"/>
          <w:numId w:val="2"/>
        </w:numPr>
        <w:spacing w:after="100"/>
      </w:pPr>
      <w:r>
        <w:rPr>
          <w:rFonts w:ascii="Calibri" w:cs="Calibri" w:eastAsia="Calibri" w:hAnsi="Calibri"/>
          <w:sz w:val="22"/>
          <w:szCs w:val="22"/>
        </w:rPr>
        <w:t xml:space="preserve">Carry forward open items from Template 12 into the next audit's Template 1 scope — never start a new audit blind to unresolved history.</w:t>
      </w:r>
    </w:p>
    <w:p>
      <w:pPr>
        <w:pStyle w:val="ListParagraph"/>
        <w:numPr>
          <w:ilvl w:val="0"/>
          <w:numId w:val="2"/>
        </w:numPr>
        <w:spacing w:after="100"/>
      </w:pPr>
      <w:r>
        <w:rPr>
          <w:rFonts w:ascii="Calibri" w:cs="Calibri" w:eastAsia="Calibri" w:hAnsi="Calibri"/>
          <w:sz w:val="22"/>
          <w:szCs w:val="22"/>
        </w:rPr>
        <w:t xml:space="preserve">Recalibrate sample sizes each cycle using the data map (Template 2) — more processing activities, more special-category data, or more cross-border transfers justify a larger sample.</w:t>
      </w:r>
    </w:p>
    <w:p>
      <w:pPr>
        <w:pStyle w:val="ListParagraph"/>
        <w:numPr>
          <w:ilvl w:val="0"/>
          <w:numId w:val="2"/>
        </w:numPr>
        <w:spacing w:after="100"/>
      </w:pPr>
      <w:r>
        <w:rPr>
          <w:rFonts w:ascii="Calibri" w:cs="Calibri" w:eastAsia="Calibri" w:hAnsi="Calibri"/>
          <w:sz w:val="22"/>
          <w:szCs w:val="22"/>
        </w:rPr>
        <w:t xml:space="preserve">Update Template 3-8's checklist questions if guidance changes or the organization's own processing changes materially.</w:t>
      </w:r>
    </w:p>
    <w:p>
      <w:pPr>
        <w:pStyle w:val="Heading2"/>
        <w:spacing w:after="150" w:before="300"/>
      </w:pPr>
      <w:r>
        <w:t xml:space="preserve">5.2 Keeping Pace with EDPB and DPA Guidance</w:t>
      </w:r>
    </w:p>
    <w:p>
      <w:pPr>
        <w:spacing w:after="160" w:line="276"/>
      </w:pPr>
      <w:r>
        <w:rPr>
          <w:rFonts w:ascii="Calibri" w:cs="Calibri" w:eastAsia="Calibri" w:hAnsi="Calibri"/>
          <w:sz w:val="22"/>
          <w:szCs w:val="22"/>
        </w:rPr>
        <w:t xml:space="preserve">Unlike an ISO standard, which is revised on a multi-year cycle, GDPR interpretation evolves continuously through European Data Protection Board (EDPB) guidelines, national DPA guidance, and enforcement decisions. A finding that was acceptable practice two years ago may not be today.</w:t>
      </w:r>
    </w:p>
    <w:p>
      <w:pPr>
        <w:pStyle w:val="ListParagraph"/>
        <w:numPr>
          <w:ilvl w:val="0"/>
          <w:numId w:val="2"/>
        </w:numPr>
        <w:spacing w:after="100"/>
      </w:pPr>
      <w:r>
        <w:rPr>
          <w:rFonts w:ascii="Calibri" w:cs="Calibri" w:eastAsia="Calibri" w:hAnsi="Calibri"/>
          <w:sz w:val="22"/>
          <w:szCs w:val="22"/>
        </w:rPr>
        <w:t xml:space="preserve">Periodically check EDPB guidelines (edpb.europa.eu) for updated interpretation of DPIAs, transfers, and other recurring audit areas.</w:t>
      </w:r>
    </w:p>
    <w:p>
      <w:pPr>
        <w:pStyle w:val="ListParagraph"/>
        <w:numPr>
          <w:ilvl w:val="0"/>
          <w:numId w:val="2"/>
        </w:numPr>
        <w:spacing w:after="100"/>
      </w:pPr>
      <w:r>
        <w:rPr>
          <w:rFonts w:ascii="Calibri" w:cs="Calibri" w:eastAsia="Calibri" w:hAnsi="Calibri"/>
          <w:sz w:val="22"/>
          <w:szCs w:val="22"/>
        </w:rPr>
        <w:t xml:space="preserve">Monitor guidance from the relevant national DPA(s) in scope — e.g. the ICO's published guidance and its Data Protection Audit Framework toolkits, or the CNIL's GDPR toolkit.</w:t>
      </w:r>
    </w:p>
    <w:p>
      <w:pPr>
        <w:pStyle w:val="ListParagraph"/>
        <w:numPr>
          <w:ilvl w:val="0"/>
          <w:numId w:val="2"/>
        </w:numPr>
        <w:spacing w:after="100"/>
      </w:pPr>
      <w:r>
        <w:rPr>
          <w:rFonts w:ascii="Calibri" w:cs="Calibri" w:eastAsia="Calibri" w:hAnsi="Calibri"/>
          <w:sz w:val="22"/>
          <w:szCs w:val="22"/>
        </w:rPr>
        <w:t xml:space="preserve">Track significant enforcement decisions in your sector — they are the clearest real-world signal of which gaps DPAs treat as high risk in practice.</w:t>
      </w:r>
    </w:p>
    <w:p>
      <w:pPr>
        <w:pStyle w:val="Heading2"/>
        <w:spacing w:after="150" w:before="300"/>
      </w:pPr>
      <w:r>
        <w:t xml:space="preserve">5.3 Growing From Beginner to Confident Auditor</w:t>
      </w:r>
    </w:p>
    <w:p>
      <w:pPr>
        <w:pStyle w:val="ListParagraph"/>
        <w:numPr>
          <w:ilvl w:val="0"/>
          <w:numId w:val="2"/>
        </w:numPr>
        <w:spacing w:after="100"/>
      </w:pPr>
      <w:r>
        <w:rPr>
          <w:rFonts w:ascii="Calibri" w:cs="Calibri" w:eastAsia="Calibri" w:hAnsi="Calibri"/>
          <w:sz w:val="22"/>
          <w:szCs w:val="22"/>
        </w:rPr>
        <w:t xml:space="preserve">Shadow an experienced privacy auditor or DPO on your first one or two engagements before leading one yourself.</w:t>
      </w:r>
    </w:p>
    <w:p>
      <w:pPr>
        <w:pStyle w:val="ListParagraph"/>
        <w:numPr>
          <w:ilvl w:val="0"/>
          <w:numId w:val="2"/>
        </w:numPr>
        <w:spacing w:after="100"/>
      </w:pPr>
      <w:r>
        <w:rPr>
          <w:rFonts w:ascii="Calibri" w:cs="Calibri" w:eastAsia="Calibri" w:hAnsi="Calibri"/>
          <w:sz w:val="22"/>
          <w:szCs w:val="22"/>
        </w:rPr>
        <w:t xml:space="preserve">After each audit, do a short personal retrospective: which questions produced the most useful evidence? Which findings were hardest to risk-rate, and why?</w:t>
      </w:r>
    </w:p>
    <w:p>
      <w:pPr>
        <w:pStyle w:val="ListParagraph"/>
        <w:numPr>
          <w:ilvl w:val="0"/>
          <w:numId w:val="2"/>
        </w:numPr>
        <w:spacing w:after="100"/>
      </w:pPr>
      <w:r>
        <w:rPr>
          <w:rFonts w:ascii="Calibri" w:cs="Calibri" w:eastAsia="Calibri" w:hAnsi="Calibri"/>
          <w:sz w:val="22"/>
          <w:szCs w:val="22"/>
        </w:rPr>
        <w:t xml:space="preserve">Keep building your own bank of good/bad example findings — nothing improves finding-writing faster than reviewing real examples.</w:t>
      </w:r>
    </w:p>
    <w:p>
      <w:pPr>
        <w:pStyle w:val="ListParagraph"/>
        <w:numPr>
          <w:ilvl w:val="0"/>
          <w:numId w:val="2"/>
        </w:numPr>
        <w:spacing w:after="100"/>
      </w:pPr>
      <w:r>
        <w:rPr>
          <w:rFonts w:ascii="Calibri" w:cs="Calibri" w:eastAsia="Calibri" w:hAnsi="Calibri"/>
          <w:sz w:val="22"/>
          <w:szCs w:val="22"/>
        </w:rPr>
        <w:t xml:space="preserve">Stay current: data protection law and regulatory practice move quickly — revisit official EDPB/DPA guidance periodically, and remember that this handbook is training material, not legal advice.</w:t>
      </w:r>
    </w:p>
    <w:p>
      <w:r>
        <w:br w:type="page"/>
      </w:r>
    </w:p>
    <w:p>
      <w:pPr>
        <w:pStyle w:val="Heading1"/>
        <w:spacing w:after="200" w:before="400"/>
      </w:pPr>
      <w:r>
        <w:t xml:space="preserve">Glossary</w:t>
      </w:r>
    </w:p>
    <w:p>
      <w:pPr>
        <w:spacing w:after="160" w:line="276"/>
      </w:pPr>
      <w:r>
        <w:rPr>
          <w:rFonts w:ascii="Calibri" w:cs="Calibri" w:eastAsia="Calibri" w:hAnsi="Calibri"/>
          <w:b/>
          <w:bCs/>
          <w:i w:val="false"/>
          <w:iCs w:val="false"/>
          <w:sz w:val="22"/>
          <w:szCs w:val="22"/>
        </w:rPr>
        <w:t xml:space="preserve">Controller: </w:t>
      </w:r>
      <w:r>
        <w:rPr>
          <w:rFonts w:ascii="Calibri" w:cs="Calibri" w:eastAsia="Calibri" w:hAnsi="Calibri"/>
          <w:b w:val="false"/>
          <w:bCs w:val="false"/>
          <w:i w:val="false"/>
          <w:iCs w:val="false"/>
          <w:sz w:val="22"/>
          <w:szCs w:val="22"/>
        </w:rPr>
        <w:t xml:space="preserve">The natural or legal person, public authority, agency or other body that, alone or jointly with others, determines the purposes and means of processing personal data (Art 4(7)).</w:t>
      </w:r>
    </w:p>
    <w:p>
      <w:pPr>
        <w:spacing w:after="160" w:line="276"/>
      </w:pPr>
      <w:r>
        <w:rPr>
          <w:rFonts w:ascii="Calibri" w:cs="Calibri" w:eastAsia="Calibri" w:hAnsi="Calibri"/>
          <w:b/>
          <w:bCs/>
          <w:i w:val="false"/>
          <w:iCs w:val="false"/>
          <w:sz w:val="22"/>
          <w:szCs w:val="22"/>
        </w:rPr>
        <w:t xml:space="preserve">Processor: </w:t>
      </w:r>
      <w:r>
        <w:rPr>
          <w:rFonts w:ascii="Calibri" w:cs="Calibri" w:eastAsia="Calibri" w:hAnsi="Calibri"/>
          <w:b w:val="false"/>
          <w:bCs w:val="false"/>
          <w:i w:val="false"/>
          <w:iCs w:val="false"/>
          <w:sz w:val="22"/>
          <w:szCs w:val="22"/>
        </w:rPr>
        <w:t xml:space="preserve">A natural or legal person, public authority, agency or other body that processes personal data on behalf of the controller (Art 4(8)).</w:t>
      </w:r>
    </w:p>
    <w:p>
      <w:pPr>
        <w:spacing w:after="160" w:line="276"/>
      </w:pPr>
      <w:r>
        <w:rPr>
          <w:rFonts w:ascii="Calibri" w:cs="Calibri" w:eastAsia="Calibri" w:hAnsi="Calibri"/>
          <w:b/>
          <w:bCs/>
          <w:i w:val="false"/>
          <w:iCs w:val="false"/>
          <w:sz w:val="22"/>
          <w:szCs w:val="22"/>
        </w:rPr>
        <w:t xml:space="preserve">Data subject: </w:t>
      </w:r>
      <w:r>
        <w:rPr>
          <w:rFonts w:ascii="Calibri" w:cs="Calibri" w:eastAsia="Calibri" w:hAnsi="Calibri"/>
          <w:b w:val="false"/>
          <w:bCs w:val="false"/>
          <w:i w:val="false"/>
          <w:iCs w:val="false"/>
          <w:sz w:val="22"/>
          <w:szCs w:val="22"/>
        </w:rPr>
        <w:t xml:space="preserve">An identified or identifiable natural person to whom personal data relates.</w:t>
      </w:r>
    </w:p>
    <w:p>
      <w:pPr>
        <w:spacing w:after="160" w:line="276"/>
      </w:pPr>
      <w:r>
        <w:rPr>
          <w:rFonts w:ascii="Calibri" w:cs="Calibri" w:eastAsia="Calibri" w:hAnsi="Calibri"/>
          <w:b/>
          <w:bCs/>
          <w:i w:val="false"/>
          <w:iCs w:val="false"/>
          <w:sz w:val="22"/>
          <w:szCs w:val="22"/>
        </w:rPr>
        <w:t xml:space="preserve">Personal data: </w:t>
      </w:r>
      <w:r>
        <w:rPr>
          <w:rFonts w:ascii="Calibri" w:cs="Calibri" w:eastAsia="Calibri" w:hAnsi="Calibri"/>
          <w:b w:val="false"/>
          <w:bCs w:val="false"/>
          <w:i w:val="false"/>
          <w:iCs w:val="false"/>
          <w:sz w:val="22"/>
          <w:szCs w:val="22"/>
        </w:rPr>
        <w:t xml:space="preserve">Any information relating to an identified or identifiable natural person (Art 4(1)) — a broader concept than most beginners expect: includes online identifiers, IP addresses, and pseudonymised (but not anonymised) data.</w:t>
      </w:r>
    </w:p>
    <w:p>
      <w:pPr>
        <w:spacing w:after="160" w:line="276"/>
      </w:pPr>
      <w:r>
        <w:rPr>
          <w:rFonts w:ascii="Calibri" w:cs="Calibri" w:eastAsia="Calibri" w:hAnsi="Calibri"/>
          <w:b/>
          <w:bCs/>
          <w:i w:val="false"/>
          <w:iCs w:val="false"/>
          <w:sz w:val="22"/>
          <w:szCs w:val="22"/>
        </w:rPr>
        <w:t xml:space="preserve">Processing: </w:t>
      </w:r>
      <w:r>
        <w:rPr>
          <w:rFonts w:ascii="Calibri" w:cs="Calibri" w:eastAsia="Calibri" w:hAnsi="Calibri"/>
          <w:b w:val="false"/>
          <w:bCs w:val="false"/>
          <w:i w:val="false"/>
          <w:iCs w:val="false"/>
          <w:sz w:val="22"/>
          <w:szCs w:val="22"/>
        </w:rPr>
        <w:t xml:space="preserve">Any operation performed on personal data — collection, recording, storage, use, disclosure, erasure — whether or not by automated means (Art 4(2)).</w:t>
      </w:r>
    </w:p>
    <w:p>
      <w:pPr>
        <w:spacing w:after="160" w:line="276"/>
      </w:pPr>
      <w:r>
        <w:rPr>
          <w:rFonts w:ascii="Calibri" w:cs="Calibri" w:eastAsia="Calibri" w:hAnsi="Calibri"/>
          <w:b/>
          <w:bCs/>
          <w:i w:val="false"/>
          <w:iCs w:val="false"/>
          <w:sz w:val="22"/>
          <w:szCs w:val="22"/>
        </w:rPr>
        <w:t xml:space="preserve">Special category data: </w:t>
      </w:r>
      <w:r>
        <w:rPr>
          <w:rFonts w:ascii="Calibri" w:cs="Calibri" w:eastAsia="Calibri" w:hAnsi="Calibri"/>
          <w:b w:val="false"/>
          <w:bCs w:val="false"/>
          <w:i w:val="false"/>
          <w:iCs w:val="false"/>
          <w:sz w:val="22"/>
          <w:szCs w:val="22"/>
        </w:rPr>
        <w:t xml:space="preserve">Data revealing race/ethnicity, political opinions, religion, trade union membership, or concerning genetics, biometrics (for ID), health, or sex life/orientation (Art 9(1)) — subject to a general prohibition unless an exception applies.</w:t>
      </w:r>
    </w:p>
    <w:p>
      <w:pPr>
        <w:spacing w:after="160" w:line="276"/>
      </w:pPr>
      <w:r>
        <w:rPr>
          <w:rFonts w:ascii="Calibri" w:cs="Calibri" w:eastAsia="Calibri" w:hAnsi="Calibri"/>
          <w:b/>
          <w:bCs/>
          <w:i w:val="false"/>
          <w:iCs w:val="false"/>
          <w:sz w:val="22"/>
          <w:szCs w:val="22"/>
        </w:rPr>
        <w:t xml:space="preserve">Personal data breach: </w:t>
      </w:r>
      <w:r>
        <w:rPr>
          <w:rFonts w:ascii="Calibri" w:cs="Calibri" w:eastAsia="Calibri" w:hAnsi="Calibri"/>
          <w:b w:val="false"/>
          <w:bCs w:val="false"/>
          <w:i w:val="false"/>
          <w:iCs w:val="false"/>
          <w:sz w:val="22"/>
          <w:szCs w:val="22"/>
        </w:rPr>
        <w:t xml:space="preserve">A breach of security leading to accidental or unlawful destruction, loss, alteration, unauthorised disclosure of, or access to, personal data (Art 4(12)).</w:t>
      </w:r>
    </w:p>
    <w:p>
      <w:pPr>
        <w:spacing w:after="160" w:line="276"/>
      </w:pPr>
      <w:r>
        <w:rPr>
          <w:rFonts w:ascii="Calibri" w:cs="Calibri" w:eastAsia="Calibri" w:hAnsi="Calibri"/>
          <w:b/>
          <w:bCs/>
          <w:i w:val="false"/>
          <w:iCs w:val="false"/>
          <w:sz w:val="22"/>
          <w:szCs w:val="22"/>
        </w:rPr>
        <w:t xml:space="preserve">Supervisory authority / DPA: </w:t>
      </w:r>
      <w:r>
        <w:rPr>
          <w:rFonts w:ascii="Calibri" w:cs="Calibri" w:eastAsia="Calibri" w:hAnsi="Calibri"/>
          <w:b w:val="false"/>
          <w:bCs w:val="false"/>
          <w:i w:val="false"/>
          <w:iCs w:val="false"/>
          <w:sz w:val="22"/>
          <w:szCs w:val="22"/>
        </w:rPr>
        <w:t xml:space="preserve">The independent public authority responsible for monitoring GDPR application in a member state (e.g. the Irish DPC, France's CNIL, the UK's ICO post-Brexit).</w:t>
      </w:r>
    </w:p>
    <w:p>
      <w:pPr>
        <w:spacing w:after="160" w:line="276"/>
      </w:pPr>
      <w:r>
        <w:rPr>
          <w:rFonts w:ascii="Calibri" w:cs="Calibri" w:eastAsia="Calibri" w:hAnsi="Calibri"/>
          <w:b/>
          <w:bCs/>
          <w:i w:val="false"/>
          <w:iCs w:val="false"/>
          <w:sz w:val="22"/>
          <w:szCs w:val="22"/>
        </w:rPr>
        <w:t xml:space="preserve">DPO: </w:t>
      </w:r>
      <w:r>
        <w:rPr>
          <w:rFonts w:ascii="Calibri" w:cs="Calibri" w:eastAsia="Calibri" w:hAnsi="Calibri"/>
          <w:b w:val="false"/>
          <w:bCs w:val="false"/>
          <w:i w:val="false"/>
          <w:iCs w:val="false"/>
          <w:sz w:val="22"/>
          <w:szCs w:val="22"/>
        </w:rPr>
        <w:t xml:space="preserve">Data Protection Officer — a role mandatory under Art 37 in specific circumstances, with independence guaranteed under Art 38 and tasks defined under Art 39.</w:t>
      </w:r>
    </w:p>
    <w:p>
      <w:pPr>
        <w:spacing w:after="160" w:line="276"/>
      </w:pPr>
      <w:r>
        <w:rPr>
          <w:rFonts w:ascii="Calibri" w:cs="Calibri" w:eastAsia="Calibri" w:hAnsi="Calibri"/>
          <w:b/>
          <w:bCs/>
          <w:i w:val="false"/>
          <w:iCs w:val="false"/>
          <w:sz w:val="22"/>
          <w:szCs w:val="22"/>
        </w:rPr>
        <w:t xml:space="preserve">DSR: </w:t>
      </w:r>
      <w:r>
        <w:rPr>
          <w:rFonts w:ascii="Calibri" w:cs="Calibri" w:eastAsia="Calibri" w:hAnsi="Calibri"/>
          <w:b w:val="false"/>
          <w:bCs w:val="false"/>
          <w:i w:val="false"/>
          <w:iCs w:val="false"/>
          <w:sz w:val="22"/>
          <w:szCs w:val="22"/>
        </w:rPr>
        <w:t xml:space="preserve">Data Subject Rights (also used informally for an individual data subject request) — the rights in Art 12-22, such as access, rectification and erasure, that Template 4 tests.</w:t>
      </w:r>
    </w:p>
    <w:p>
      <w:pPr>
        <w:spacing w:after="160" w:line="276"/>
      </w:pPr>
      <w:r>
        <w:rPr>
          <w:rFonts w:ascii="Calibri" w:cs="Calibri" w:eastAsia="Calibri" w:hAnsi="Calibri"/>
          <w:b/>
          <w:bCs/>
          <w:i w:val="false"/>
          <w:iCs w:val="false"/>
          <w:sz w:val="22"/>
          <w:szCs w:val="22"/>
        </w:rPr>
        <w:t xml:space="preserve">ROPA: </w:t>
      </w:r>
      <w:r>
        <w:rPr>
          <w:rFonts w:ascii="Calibri" w:cs="Calibri" w:eastAsia="Calibri" w:hAnsi="Calibri"/>
          <w:b w:val="false"/>
          <w:bCs w:val="false"/>
          <w:i w:val="false"/>
          <w:iCs w:val="false"/>
          <w:sz w:val="22"/>
          <w:szCs w:val="22"/>
        </w:rPr>
        <w:t xml:space="preserve">Records of Processing Activities — the Art 30 written record every controller (and most processors) must maintain.</w:t>
      </w:r>
    </w:p>
    <w:p>
      <w:pPr>
        <w:spacing w:after="160" w:line="276"/>
      </w:pPr>
      <w:r>
        <w:rPr>
          <w:rFonts w:ascii="Calibri" w:cs="Calibri" w:eastAsia="Calibri" w:hAnsi="Calibri"/>
          <w:b/>
          <w:bCs/>
          <w:i w:val="false"/>
          <w:iCs w:val="false"/>
          <w:sz w:val="22"/>
          <w:szCs w:val="22"/>
        </w:rPr>
        <w:t xml:space="preserve">DPIA: </w:t>
      </w:r>
      <w:r>
        <w:rPr>
          <w:rFonts w:ascii="Calibri" w:cs="Calibri" w:eastAsia="Calibri" w:hAnsi="Calibri"/>
          <w:b w:val="false"/>
          <w:bCs w:val="false"/>
          <w:i w:val="false"/>
          <w:iCs w:val="false"/>
          <w:sz w:val="22"/>
          <w:szCs w:val="22"/>
        </w:rPr>
        <w:t xml:space="preserve">Data Protection Impact Assessment — a structured risk assessment required under Art 35 before high-risk processing begins.</w:t>
      </w:r>
    </w:p>
    <w:p>
      <w:pPr>
        <w:spacing w:after="160" w:line="276"/>
      </w:pPr>
      <w:r>
        <w:rPr>
          <w:rFonts w:ascii="Calibri" w:cs="Calibri" w:eastAsia="Calibri" w:hAnsi="Calibri"/>
          <w:b/>
          <w:bCs/>
          <w:i w:val="false"/>
          <w:iCs w:val="false"/>
          <w:sz w:val="22"/>
          <w:szCs w:val="22"/>
        </w:rPr>
        <w:t xml:space="preserve">TOMs: </w:t>
      </w:r>
      <w:r>
        <w:rPr>
          <w:rFonts w:ascii="Calibri" w:cs="Calibri" w:eastAsia="Calibri" w:hAnsi="Calibri"/>
          <w:b w:val="false"/>
          <w:bCs w:val="false"/>
          <w:i w:val="false"/>
          <w:iCs w:val="false"/>
          <w:sz w:val="22"/>
          <w:szCs w:val="22"/>
        </w:rPr>
        <w:t xml:space="preserve">Technical and Organisational Measures — the Art 32 security controls (encryption, access control, resilience, testing) proportionate to risk.</w:t>
      </w:r>
    </w:p>
    <w:p>
      <w:pPr>
        <w:spacing w:after="160" w:line="276"/>
      </w:pPr>
      <w:r>
        <w:rPr>
          <w:rFonts w:ascii="Calibri" w:cs="Calibri" w:eastAsia="Calibri" w:hAnsi="Calibri"/>
          <w:b/>
          <w:bCs/>
          <w:i w:val="false"/>
          <w:iCs w:val="false"/>
          <w:sz w:val="22"/>
          <w:szCs w:val="22"/>
        </w:rPr>
        <w:t xml:space="preserve">Lead supervisory authority / one-stop-shop: </w:t>
      </w:r>
      <w:r>
        <w:rPr>
          <w:rFonts w:ascii="Calibri" w:cs="Calibri" w:eastAsia="Calibri" w:hAnsi="Calibri"/>
          <w:b w:val="false"/>
          <w:bCs w:val="false"/>
          <w:i w:val="false"/>
          <w:iCs w:val="false"/>
          <w:sz w:val="22"/>
          <w:szCs w:val="22"/>
        </w:rPr>
        <w:t xml:space="preserve">For cross-border processing, the DPA of the controller's/processor's main EU establishment leads investigations, coordinating with other 'concerned' DPAs — a mechanism unavailable to the UK post-Brexit.</w:t>
      </w:r>
    </w:p>
    <w:p>
      <w:pPr>
        <w:spacing w:after="160" w:line="276"/>
      </w:pPr>
      <w:r>
        <w:rPr>
          <w:rFonts w:ascii="Calibri" w:cs="Calibri" w:eastAsia="Calibri" w:hAnsi="Calibri"/>
          <w:b/>
          <w:bCs/>
          <w:i w:val="false"/>
          <w:iCs w:val="false"/>
          <w:sz w:val="22"/>
          <w:szCs w:val="22"/>
        </w:rPr>
        <w:t xml:space="preserve">Adequacy decision: </w:t>
      </w:r>
      <w:r>
        <w:rPr>
          <w:rFonts w:ascii="Calibri" w:cs="Calibri" w:eastAsia="Calibri" w:hAnsi="Calibri"/>
          <w:b w:val="false"/>
          <w:bCs w:val="false"/>
          <w:i w:val="false"/>
          <w:iCs w:val="false"/>
          <w:sz w:val="22"/>
          <w:szCs w:val="22"/>
        </w:rPr>
        <w:t xml:space="preserve">A European Commission decision (Art 45) that a third country offers an essentially equivalent level of data protection, permitting transfers without additional safeguards.</w:t>
      </w:r>
    </w:p>
    <w:p>
      <w:pPr>
        <w:spacing w:after="160" w:line="276"/>
      </w:pPr>
      <w:r>
        <w:rPr>
          <w:rFonts w:ascii="Calibri" w:cs="Calibri" w:eastAsia="Calibri" w:hAnsi="Calibri"/>
          <w:b/>
          <w:bCs/>
          <w:i w:val="false"/>
          <w:iCs w:val="false"/>
          <w:sz w:val="22"/>
          <w:szCs w:val="22"/>
        </w:rPr>
        <w:t xml:space="preserve">Standard Contractual Clauses (SCCs): </w:t>
      </w:r>
      <w:r>
        <w:rPr>
          <w:rFonts w:ascii="Calibri" w:cs="Calibri" w:eastAsia="Calibri" w:hAnsi="Calibri"/>
          <w:b w:val="false"/>
          <w:bCs w:val="false"/>
          <w:i w:val="false"/>
          <w:iCs w:val="false"/>
          <w:sz w:val="22"/>
          <w:szCs w:val="22"/>
        </w:rPr>
        <w:t xml:space="preserve">European Commission-approved model contract clauses (Art 46) used to provide appropriate safeguards for transfers to third countries lacking an adequacy decision.</w:t>
      </w:r>
    </w:p>
    <w:p>
      <w:pPr>
        <w:spacing w:after="160" w:line="276"/>
      </w:pPr>
      <w:r>
        <w:rPr>
          <w:rFonts w:ascii="Calibri" w:cs="Calibri" w:eastAsia="Calibri" w:hAnsi="Calibri"/>
          <w:b/>
          <w:bCs/>
          <w:i w:val="false"/>
          <w:iCs w:val="false"/>
          <w:sz w:val="22"/>
          <w:szCs w:val="22"/>
        </w:rPr>
        <w:t xml:space="preserve">Binding Corporate Rules (BCRs): </w:t>
      </w:r>
      <w:r>
        <w:rPr>
          <w:rFonts w:ascii="Calibri" w:cs="Calibri" w:eastAsia="Calibri" w:hAnsi="Calibri"/>
          <w:b w:val="false"/>
          <w:bCs w:val="false"/>
          <w:i w:val="false"/>
          <w:iCs w:val="false"/>
          <w:sz w:val="22"/>
          <w:szCs w:val="22"/>
        </w:rPr>
        <w:t xml:space="preserve">Internal rules approved by a competent supervisory authority (Art 47) allowing intra-group transfers within a multinational organization.</w:t>
      </w:r>
    </w:p>
    <w:p>
      <w:pPr>
        <w:spacing w:after="160" w:line="276"/>
      </w:pPr>
      <w:r>
        <w:rPr>
          <w:rFonts w:ascii="Calibri" w:cs="Calibri" w:eastAsia="Calibri" w:hAnsi="Calibri"/>
          <w:b/>
          <w:bCs/>
          <w:i w:val="false"/>
          <w:iCs w:val="false"/>
          <w:sz w:val="22"/>
          <w:szCs w:val="22"/>
        </w:rPr>
        <w:t xml:space="preserve">Pseudonymisation: </w:t>
      </w:r>
      <w:r>
        <w:rPr>
          <w:rFonts w:ascii="Calibri" w:cs="Calibri" w:eastAsia="Calibri" w:hAnsi="Calibri"/>
          <w:b w:val="false"/>
          <w:bCs w:val="false"/>
          <w:i w:val="false"/>
          <w:iCs w:val="false"/>
          <w:sz w:val="22"/>
          <w:szCs w:val="22"/>
        </w:rPr>
        <w:t xml:space="preserve">Processing personal data so it can no longer be attributed to a specific data subject without additional information kept separately (Art 4(5)) — a recommended security/by-design measure, not the same as anonymisation.</w:t>
      </w:r>
    </w:p>
    <w:p>
      <w:pPr>
        <w:spacing w:after="160" w:line="276"/>
      </w:pPr>
      <w:r>
        <w:rPr>
          <w:rFonts w:ascii="Calibri" w:cs="Calibri" w:eastAsia="Calibri" w:hAnsi="Calibri"/>
          <w:b/>
          <w:bCs/>
          <w:i w:val="false"/>
          <w:iCs w:val="false"/>
          <w:sz w:val="22"/>
          <w:szCs w:val="22"/>
        </w:rPr>
        <w:t xml:space="preserve">Right to be forgotten: </w:t>
      </w:r>
      <w:r>
        <w:rPr>
          <w:rFonts w:ascii="Calibri" w:cs="Calibri" w:eastAsia="Calibri" w:hAnsi="Calibri"/>
          <w:b w:val="false"/>
          <w:bCs w:val="false"/>
          <w:i w:val="false"/>
          <w:iCs w:val="false"/>
          <w:sz w:val="22"/>
          <w:szCs w:val="22"/>
        </w:rPr>
        <w:t xml:space="preserve">The commonly used name for the Art 17 right to erasure.</w:t>
      </w:r>
    </w:p>
    <w:p>
      <w:pPr>
        <w:spacing w:after="160" w:line="276"/>
      </w:pPr>
      <w:r>
        <w:rPr>
          <w:rFonts w:ascii="Calibri" w:cs="Calibri" w:eastAsia="Calibri" w:hAnsi="Calibri"/>
          <w:b/>
          <w:bCs/>
          <w:i w:val="false"/>
          <w:iCs w:val="false"/>
          <w:sz w:val="22"/>
          <w:szCs w:val="22"/>
        </w:rPr>
        <w:t xml:space="preserve">Joint controllers: </w:t>
      </w:r>
      <w:r>
        <w:rPr>
          <w:rFonts w:ascii="Calibri" w:cs="Calibri" w:eastAsia="Calibri" w:hAnsi="Calibri"/>
          <w:b w:val="false"/>
          <w:bCs w:val="false"/>
          <w:i w:val="false"/>
          <w:iCs w:val="false"/>
          <w:sz w:val="22"/>
          <w:szCs w:val="22"/>
        </w:rPr>
        <w:t xml:space="preserve">Two or more controllers who jointly determine the purposes and means of processing (Art 26), requiring a transparent arrangement allocating responsibilities.</w:t>
      </w:r>
    </w:p>
    <w:p>
      <w:pPr>
        <w:spacing w:after="160" w:line="276"/>
      </w:pPr>
      <w:r>
        <w:rPr>
          <w:rFonts w:ascii="Calibri" w:cs="Calibri" w:eastAsia="Calibri" w:hAnsi="Calibri"/>
          <w:b/>
          <w:bCs/>
          <w:i w:val="false"/>
          <w:iCs w:val="false"/>
          <w:sz w:val="22"/>
          <w:szCs w:val="22"/>
        </w:rPr>
        <w:t xml:space="preserve">Third country: </w:t>
      </w:r>
      <w:r>
        <w:rPr>
          <w:rFonts w:ascii="Calibri" w:cs="Calibri" w:eastAsia="Calibri" w:hAnsi="Calibri"/>
          <w:b w:val="false"/>
          <w:bCs w:val="false"/>
          <w:i w:val="false"/>
          <w:iCs w:val="false"/>
          <w:sz w:val="22"/>
          <w:szCs w:val="22"/>
        </w:rPr>
        <w:t xml:space="preserve">Any country outside the EU/EEA — transfers to a third country trigger Chapter V (Art 44-49).</w:t>
      </w:r>
    </w:p>
    <w:p>
      <w:r>
        <w:br w:type="page"/>
      </w:r>
    </w:p>
    <w:p>
      <w:pPr>
        <w:pStyle w:val="Heading1"/>
        <w:spacing w:after="200" w:before="400"/>
      </w:pPr>
      <w:r>
        <w:t xml:space="preserve">Appendix A: Quick Reference – Key GDPR Articles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760"/>
        <w:gridCol w:w="3720"/>
      </w:tblGrid>
      <w:tr>
        <w:trPr>
          <w:cantSplit/>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Article</w:t>
            </w:r>
          </w:p>
        </w:tc>
        <w:tc>
          <w:tcPr>
            <w:tcW w:type="dxa" w:w="1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Topic</w:t>
            </w:r>
          </w:p>
        </w:tc>
        <w:tc>
          <w:tcPr>
            <w:tcW w:type="dxa" w:w="37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requires</w:t>
            </w:r>
          </w:p>
        </w:tc>
        <w:tc>
          <w:tcPr>
            <w:tcW w:type="dxa" w:w="372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an auditor checks</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Principles relating to processing</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Seven principles: lawfulness/fairness/transparency, purpose limitation, data minimisation, accuracy, storage limitation, integrity &amp; confidentiality, and accountability (5(2)) — the controller must be able to DEMONSTRATE compliance.</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 documented lawful basis and privacy notice exist; whether collected data is proportionate; whether retention schedules and accuracy/security controls are followed in practice, not just written down.</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Lawfulness of processing</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 least one of six lawful bases must apply to every processing activity: consent, contract necessity, legal obligation, vital interests, public task, or legitimate interests.</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the lawful basis recorded in the ROPA matches reality, is documented, and is the most appropriate basis (e.g. consent isn't used where it isn't freely given, such as in an employment context).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Conditions for consent</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Where consent is the basis, it must be freely given, specific, informed, unambiguous, as easy to withdraw as to give, and demonstrable.</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Consent logs/timestamps; whether pre-ticked boxes or bundled consent are used (both non-compliant); whether withdrawal is genuinely as easy as giving consent.</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Child's consent for information society services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Where consent is the basis for offering services directly to a child, parental consent is required below an age threshold that member states set individually (13-16); UK GDPR sets 13.</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Age-verification and parental-consent mechanisms; which national age threshold the organization applies and why.</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9</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Processing of special categories of personal data</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Prohibits processing race/ethnicity, political opinions, religion, trade union membership, genetic data, biometric data (for ID), health data, or sex life/orientation data, unless an Art 9(2)(a)-(j) exception applies.</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special-category data is being processed at all (often discovered, not declared); which Art 9(2) exception is relied on and whether it is documented and genuinely applicable.</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12-14</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Transparency &amp; information duties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must be provided concisely, transparently and in plain language, free of charge, generally within one month; Art 13/14 set out the specific information required at collection.</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Privacy notices for completeness and readability; whether the one-month clock is tracked and met.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15-22</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subject rights</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(15), rectification (16), erasure (17), restriction (18), notification to recipients (19), portability (20), objection (21), and safeguards around automated decision-making/profiling (22).</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 documented process exists for each right; sampled real requests and their actual response times against the one-month deadline.</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24</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Responsibility of the controller</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controller must implement appropriate technical and organisational measures to ensure and demonstrate compliance, proportionate to risk.</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accountability documentation (policies, ROPA, training, DPIAs) exists and is kept current, not just produced once for a prior audit.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25</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protection by design and by default</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Privacy must be built into systems and processes from the start (by design) and default settings must be the most privacy-protective (by default).</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privacy is considered at the design stage of new systems/products (e.g. via a DPIA or privacy review gate in the software development lifecycle, SDLC), and whether default settings minimise data collection/sharing.</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28</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Processor</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Processing by a processor must be governed by a written contract (a DPA) with mandatory clauses covering instructions, confidentiality, security, sub-processing, assistance, deletion/return, and audit rights.</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every vendor handling personal data has a signed DPA with the mandatory clauses; how sub-processors are approved and tracked.</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30</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Records of processing activities (ROPA)</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Controllers (and processors) must maintain a written record covering purpose, categories of data subjects and data, recipients, transfers, retention, and security measures. The &lt;250-employee exemption is narrow.</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the ROPA exists, is complete against the Art 30 fields, and matches what systems and interviews reveal is actually happening.</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32</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of processing</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Risk-based technical and organisational measures (TOMs) are required, including pseudonymisation/encryption, ongoing confidentiality/integrity/availability/resilience (the CIA triad), ability to restore availability, and regular testing.</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 of encryption, access control, resilience/backup testing, and a program of regular security testing (penetration tests, vulnerability scans).</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33-34</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Personal data breach notification</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Notify the supervisory authority within 72 hours of becoming aware, "where feasible," unless the breach is unlikely to risk rights and freedoms (33); notify affected individuals without undue delay when the breach is high risk (34).</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breach log/register; whether the 72-hour clock was tracked and met (or a documented reason for delay recorded); the risk assessment behind each notify/don't-notify decision.</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35</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protection impact assessment (DPIA)</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Mandatory before processing likely to result in high risk, including per Art 35(3): systematic/extensive profiling with legal or similarly significant effects; large-scale special-category/criminal data processing; and large-scale systematic monitoring of public areas.</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DPIA screening record for each new/changed processing activity; whether DPIAs were actually completed before processing began, and whether identified risks were genuinely mitigated.</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37-39</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Protection Officer (DPO)</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DPO is mandatory if: the organization is a public authority (except courts acting judicially); its core activities require regular/systematic large-scale monitoring; or its core activities are large-scale special-category/criminal-data processing. Art 38 guarantees independence; Art 39 sets DPO tasks.</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a DPO is required and, if so, appointed with genuine independence (no instructions on how to perform tasks, reports to the highest management level, no conflict of interest from other duties).</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44-49</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Transfers of personal data to third countries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General principle (44): transfers must maintain the level of protection GDPR guarantees. Mechanisms: adequacy decisions (45), Standard Contractual Clauses/BCRs/other appropriate safeguards (46), Binding Corporate Rules (47), and narrow derogations (49).</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Which transfer mechanism is used for each cross-border data flow identified during data mapping; whether SCCs are correctly executed and whether a transfer impact assessment was performed where required.</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42-43</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Certification mechanisms and seals</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GDPR allows for certification mechanisms, seals and marks to demonstrate compliance for specific processing operations — but these remain rare and nascent in practice.</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Whether the organization holds or claims any Art 42 certification; in almost all cases, none will exist — this confirms GDPR compliance work is a compliance audit, not an ISO-style certification audit.</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58</w:t>
            </w:r>
          </w:p>
        </w:tc>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Powers of supervisory authorities</w:t>
            </w:r>
          </w:p>
        </w:tc>
        <w:tc>
          <w:tcPr>
            <w:tcW w:type="dxa" w:w="37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Supervisory authorities (DPAs) have investigative powers (audit, information orders), corrective powers (warnings, orders, processing bans, fines), and authorisation powers (approving BCRs, prior consultation).</w:t>
            </w:r>
          </w:p>
        </w:tc>
        <w:tc>
          <w:tcPr>
            <w:tcW w:type="dxa" w:w="37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directly auditor-tested, but essential context: this is the power a DPA investigation exercises, distinct from the self-directed compliance audits this handbook focuses on.</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83</w:t>
            </w:r>
          </w:p>
        </w:tc>
        <w:tc>
          <w:tcPr>
            <w:tcW w:type="dxa" w:w="1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Administrative fines</w:t>
            </w:r>
          </w:p>
        </w:tc>
        <w:tc>
          <w:tcPr>
            <w:tcW w:type="dxa" w:w="37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Two tiers of maximum fines (see Appendix table) depending on which provisions are breached, calibrated to whichever of the flat amount or global-turnover percentage is HIGHER.</w:t>
            </w:r>
          </w:p>
        </w:tc>
        <w:tc>
          <w:tcPr>
            <w:tcW w:type="dxa" w:w="37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Not directly auditor-tested, but used to prioritise findings — a gap in an Art 83(5) area carries materially higher enforcement exposure than one in an Art 83(4) area.</w:t>
            </w:r>
          </w:p>
        </w:tc>
      </w:tr>
    </w:tbl>
    <w:p>
      <w:r>
        <w:br w:type="page"/>
      </w:r>
    </w:p>
    <w:p>
      <w:pPr>
        <w:pStyle w:val="Heading1"/>
        <w:spacing w:after="200" w:before="400"/>
      </w:pPr>
      <w:r>
        <w:t xml:space="preserve">Appendix B: Quick Reference – Article 83 Fine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508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Tier</w:t>
            </w:r>
          </w:p>
        </w:tc>
        <w:tc>
          <w:tcPr>
            <w:tcW w:type="dxa" w:w="3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Maximum fine</w:t>
            </w:r>
          </w:p>
        </w:tc>
        <w:tc>
          <w:tcPr>
            <w:tcW w:type="dxa" w:w="50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Triggered by breaches of</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1 — Art 83(4)</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€10,000,000 or 2% of total worldwide annual turnover of the preceding financial year, whichever is HIGHER</w:t>
            </w:r>
          </w:p>
        </w:tc>
        <w:tc>
          <w:tcPr>
            <w:tcW w:type="dxa" w:w="50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Breaches of: Art 8 (child's consent), Art 11 (processing not requiring identification), Art 25-39 (by-design/default, joint controllers, representatives, processor obligations, records, security, breach notification, DPIA, DPO), Art 41(4), Art 42, Art 43 (certification bodies)</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Tier 2 — Art 83(5)</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 to €20,000,000 or 4% of total worldwide annual turnover of the preceding financial year, whichever is HIGHER</w:t>
            </w:r>
          </w:p>
        </w:tc>
        <w:tc>
          <w:tcPr>
            <w:tcW w:type="dxa" w:w="50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Breaches of: Art 5 (principles), Art 6 (lawfulness), Art 7 (consent conditions), Art 9 (special categories), Art 12-22 (data subject rights), Art 44-49 (international transfers), Chapter IX member-state-law obligations, and non-compliance with a supervisory authority order under Art 58(2)</w:t>
            </w:r>
          </w:p>
        </w:tc>
      </w:tr>
    </w:tbl>
    <w:p>
      <w:pPr>
        <w:spacing w:after="120"/>
      </w:pPr>
    </w:p>
    <w:p>
      <w:pPr>
        <w:pStyle w:val="Heading1"/>
        <w:spacing w:after="200" w:before="400"/>
      </w:pPr>
      <w:r>
        <w:t xml:space="preserve">Appendix C: Quick Reference – DPIA Mandatory Triggers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rPr>
          <w:cantSplit/>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Source</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Trigger</w:t>
            </w:r>
          </w:p>
        </w:tc>
        <w:tc>
          <w:tcPr>
            <w:tcW w:type="dxa" w:w="48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35(3)(a)</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Systematic and extensive profiling</w:t>
            </w:r>
          </w:p>
        </w:tc>
        <w:tc>
          <w:tcPr>
            <w:tcW w:type="dxa" w:w="4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Automated evaluation of personal aspects, including profiling, producing legal or similarly significant effects on the individual</w:t>
            </w:r>
          </w:p>
        </w:tc>
      </w:tr>
      <w:tr>
        <w:trPr>
          <w:cantSplit/>
        </w:trP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35(3)(b)</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Large-scale special category / criminal data</w:t>
            </w:r>
          </w:p>
        </w:tc>
        <w:tc>
          <w:tcPr>
            <w:tcW w:type="dxa" w:w="4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Large-scale processing of Art 9 special-category data or Art 10 criminal-offence data</w:t>
            </w:r>
          </w:p>
        </w:tc>
      </w:tr>
      <w:tr>
        <w:trPr>
          <w:cantSplit/>
        </w:trP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Art 35(3)(c)</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Large-scale public monitoring</w:t>
            </w:r>
          </w:p>
        </w:tc>
        <w:tc>
          <w:tcPr>
            <w:tcW w:type="dxa" w:w="4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Systematic monitoring of a publicly accessible area on a large scale</w:t>
            </w:r>
          </w:p>
        </w:tc>
      </w:tr>
      <w:tr>
        <w:trPr>
          <w:cantSplit/>
        </w:trP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Innovative technology</w:t>
            </w:r>
          </w:p>
        </w:tc>
        <w:tc>
          <w:tcPr>
            <w:tcW w:type="dxa" w:w="4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New or innovative technology, or a novel application of existing technology</w:t>
            </w:r>
          </w:p>
        </w:tc>
      </w:tr>
      <w:tr>
        <w:trPr>
          <w:cantSplit/>
        </w:trP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Denial of service</w:t>
            </w:r>
          </w:p>
        </w:tc>
        <w:tc>
          <w:tcPr>
            <w:tcW w:type="dxa" w:w="4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Automated decision-making that could deny someone a service or opportunity</w:t>
            </w:r>
          </w:p>
        </w:tc>
      </w:tr>
      <w:tr>
        <w:trPr>
          <w:cantSplit/>
        </w:trP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Large-scale profiling</w:t>
            </w:r>
          </w:p>
        </w:tc>
        <w:tc>
          <w:tcPr>
            <w:tcW w:type="dxa" w:w="4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Any profiling of individuals on a large scale</w:t>
            </w:r>
          </w:p>
        </w:tc>
      </w:tr>
      <w:tr>
        <w:trPr>
          <w:cantSplit/>
        </w:trP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Biometric or genetic data</w:t>
            </w:r>
          </w:p>
        </w:tc>
        <w:tc>
          <w:tcPr>
            <w:tcW w:type="dxa" w:w="4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Biometric or genetic data processed in combination with another factor</w:t>
            </w:r>
          </w:p>
        </w:tc>
      </w:tr>
      <w:tr>
        <w:trPr>
          <w:cantSplit/>
        </w:trP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Data matching</w:t>
            </w:r>
          </w:p>
        </w:tc>
        <w:tc>
          <w:tcPr>
            <w:tcW w:type="dxa" w:w="4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Combining, comparing or matching data from multiple sources</w:t>
            </w:r>
          </w:p>
        </w:tc>
      </w:tr>
      <w:tr>
        <w:trPr>
          <w:cantSplit/>
        </w:trP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Invisible processing</w:t>
            </w:r>
          </w:p>
        </w:tc>
        <w:tc>
          <w:tcPr>
            <w:tcW w:type="dxa" w:w="4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Processing individuals are unlikely to be aware of</w:t>
            </w:r>
          </w:p>
        </w:tc>
      </w:tr>
      <w:tr>
        <w:trPr>
          <w:cantSplit/>
        </w:trP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Tracking / geolocation</w:t>
            </w:r>
          </w:p>
        </w:tc>
        <w:tc>
          <w:tcPr>
            <w:tcW w:type="dxa" w:w="4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Tracking location or behaviour, including online</w:t>
            </w:r>
          </w:p>
        </w:tc>
      </w:tr>
      <w:tr>
        <w:trPr>
          <w:cantSplit/>
        </w:trP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Targeting children/vulnerable people</w:t>
            </w:r>
          </w:p>
        </w:tc>
        <w:tc>
          <w:tcPr>
            <w:tcW w:type="dxa" w:w="4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Marketing, profiling or automated decisions targeting children or vulnerable individuals</w:t>
            </w:r>
          </w:p>
        </w:tc>
      </w:tr>
      <w:tr>
        <w:trPr>
          <w:cantSplit/>
        </w:trP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ICO supplementary</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of physical harm</w:t>
            </w:r>
          </w:p>
        </w:tc>
        <w:tc>
          <w:tcPr>
            <w:tcW w:type="dxa" w:w="4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breach of the data could result in physical harm to individuals</w:t>
            </w:r>
          </w:p>
        </w:tc>
      </w:tr>
    </w:tbl>
    <w:p>
      <w:r>
        <w:br w:type="page"/>
      </w:r>
    </w:p>
    <w:p>
      <w:pPr>
        <w:pStyle w:val="Heading1"/>
        <w:spacing w:after="200" w:before="400"/>
      </w:pPr>
      <w:r>
        <w:t xml:space="preserve">Sources &amp; Further Reading</w:t>
      </w:r>
    </w:p>
    <w:p>
      <w:pPr>
        <w:spacing w:after="160" w:line="276"/>
      </w:pPr>
      <w:r>
        <w:rPr>
          <w:rFonts w:ascii="Calibri" w:cs="Calibri" w:eastAsia="Calibri" w:hAnsi="Calibri"/>
          <w:sz w:val="22"/>
          <w:szCs w:val="22"/>
        </w:rPr>
        <w:t xml:space="preserve">This handbook synthesizes publicly available secondary guidance on GDPR (Regulation (EU) 2016/679) and general compliance-audit practice. For authoritative primary text, consult EUR-Lex directly. Key sources consulted:</w:t>
      </w:r>
    </w:p>
    <w:p>
      <w:pPr>
        <w:pStyle w:val="ListParagraph"/>
        <w:numPr>
          <w:ilvl w:val="0"/>
          <w:numId w:val="2"/>
        </w:numPr>
        <w:spacing w:after="100"/>
      </w:pPr>
      <w:r>
        <w:rPr>
          <w:rFonts w:ascii="Calibri" w:cs="Calibri" w:eastAsia="Calibri" w:hAnsi="Calibri"/>
          <w:sz w:val="22"/>
          <w:szCs w:val="22"/>
        </w:rPr>
        <w:t xml:space="preserve">gdpr-info.eu – Full consolidated GDPR text, Articles 5, 9, 33, 83 and Chapter III (data subject rights) – gdpr-info.eu</w:t>
      </w:r>
    </w:p>
    <w:p>
      <w:pPr>
        <w:pStyle w:val="ListParagraph"/>
        <w:numPr>
          <w:ilvl w:val="0"/>
          <w:numId w:val="2"/>
        </w:numPr>
        <w:spacing w:after="100"/>
      </w:pPr>
      <w:r>
        <w:rPr>
          <w:rFonts w:ascii="Calibri" w:cs="Calibri" w:eastAsia="Calibri" w:hAnsi="Calibri"/>
          <w:sz w:val="22"/>
          <w:szCs w:val="22"/>
        </w:rPr>
        <w:t xml:space="preserve">Information Commissioner's Office (UK ICO) – DPIA guidance, Data Protection Audit Framework, Accountability Framework self-assessment – ico.org.uk</w:t>
      </w:r>
    </w:p>
    <w:p>
      <w:pPr>
        <w:pStyle w:val="ListParagraph"/>
        <w:numPr>
          <w:ilvl w:val="0"/>
          <w:numId w:val="2"/>
        </w:numPr>
        <w:spacing w:after="100"/>
      </w:pPr>
      <w:r>
        <w:rPr>
          <w:rFonts w:ascii="Calibri" w:cs="Calibri" w:eastAsia="Calibri" w:hAnsi="Calibri"/>
          <w:sz w:val="22"/>
          <w:szCs w:val="22"/>
        </w:rPr>
        <w:t xml:space="preserve">Data Protection Commission (Ireland) – Records of Processing Activities (ROPA) guidance – dataprotection.ie</w:t>
      </w:r>
    </w:p>
    <w:p>
      <w:pPr>
        <w:pStyle w:val="ListParagraph"/>
        <w:numPr>
          <w:ilvl w:val="0"/>
          <w:numId w:val="2"/>
        </w:numPr>
        <w:spacing w:after="100"/>
      </w:pPr>
      <w:r>
        <w:rPr>
          <w:rFonts w:ascii="Calibri" w:cs="Calibri" w:eastAsia="Calibri" w:hAnsi="Calibri"/>
          <w:sz w:val="22"/>
          <w:szCs w:val="22"/>
        </w:rPr>
        <w:t xml:space="preserve">CNIL (France) – GDPR toolkit: ROPA, PIA/DPIA, BCR, certification, codes of conduct, processor guide – cnil.fr</w:t>
      </w:r>
    </w:p>
    <w:p>
      <w:pPr>
        <w:pStyle w:val="ListParagraph"/>
        <w:numPr>
          <w:ilvl w:val="0"/>
          <w:numId w:val="2"/>
        </w:numPr>
        <w:spacing w:after="100"/>
      </w:pPr>
      <w:r>
        <w:rPr>
          <w:rFonts w:ascii="Calibri" w:cs="Calibri" w:eastAsia="Calibri" w:hAnsi="Calibri"/>
          <w:sz w:val="22"/>
          <w:szCs w:val="22"/>
        </w:rPr>
        <w:t xml:space="preserve">IAPP – Analysis on Article 42/43 certification schemes and common myths about GDPR certification – iapp.org</w:t>
      </w:r>
    </w:p>
    <w:p>
      <w:pPr>
        <w:pStyle w:val="ListParagraph"/>
        <w:numPr>
          <w:ilvl w:val="0"/>
          <w:numId w:val="2"/>
        </w:numPr>
        <w:spacing w:after="100"/>
      </w:pPr>
      <w:r>
        <w:rPr>
          <w:rFonts w:ascii="Calibri" w:cs="Calibri" w:eastAsia="Calibri" w:hAnsi="Calibri"/>
          <w:sz w:val="22"/>
          <w:szCs w:val="22"/>
        </w:rPr>
        <w:t xml:space="preserve">EUR-Lex – Regulation (EU) 2016/679, official consolidated text – eur-lex.europa.eu</w:t>
      </w:r>
    </w:p>
    <w:p>
      <w:pPr>
        <w:pStyle w:val="ListParagraph"/>
        <w:numPr>
          <w:ilvl w:val="0"/>
          <w:numId w:val="2"/>
        </w:numPr>
        <w:spacing w:after="100"/>
      </w:pPr>
      <w:r>
        <w:rPr>
          <w:rFonts w:ascii="Calibri" w:cs="Calibri" w:eastAsia="Calibri" w:hAnsi="Calibri"/>
          <w:sz w:val="22"/>
          <w:szCs w:val="22"/>
        </w:rPr>
        <w:t xml:space="preserve">gdpr.eu – Plain-language GDPR summaries and compliance checklists – gdpr.eu</w:t>
      </w:r>
    </w:p>
    <w:p>
      <w:pPr>
        <w:pStyle w:val="ListParagraph"/>
        <w:numPr>
          <w:ilvl w:val="0"/>
          <w:numId w:val="2"/>
        </w:numPr>
        <w:spacing w:after="100"/>
      </w:pPr>
      <w:r>
        <w:rPr>
          <w:rFonts w:ascii="Calibri" w:cs="Calibri" w:eastAsia="Calibri" w:hAnsi="Calibri"/>
          <w:sz w:val="22"/>
          <w:szCs w:val="22"/>
        </w:rPr>
        <w:t xml:space="preserve">uk-gdpr.org – UK GDPR consolidated text and UK/EU distinctions – uk-gdpr.org</w:t>
      </w:r>
    </w:p>
    <w:p>
      <w:pPr>
        <w:spacing w:after="120"/>
      </w:pPr>
    </w:p>
    <w:p>
      <w:pPr>
        <w:spacing w:after="160" w:line="276"/>
      </w:pPr>
      <w:r>
        <w:rPr>
          <w:rFonts w:ascii="Calibri" w:cs="Calibri" w:eastAsia="Calibri" w:hAnsi="Calibri"/>
          <w:sz w:val="22"/>
          <w:szCs w:val="22"/>
        </w:rPr>
        <w:t xml:space="preserve">Note: Article text and requirements are reproduced here in summarized, plain-language form for training purposes based on secondary sources; always verify against the official consolidated text on eur-lex.europa.eu (and, for UK GDPR, legislation.gov.uk) before relying on it for a live compliance decision. This handbook is training material, not legal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GDPR Compliance Audit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color w:val="59595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2026-08-13T15:27:58.646Z</dcterms:created>
  <dcterms:modified xsi:type="dcterms:W3CDTF">2026-08-13T15:27:58.646Z</dcterms:modified>
</cp:coreProperties>
</file>

<file path=docProps/custom.xml><?xml version="1.0" encoding="utf-8"?>
<Properties xmlns="http://schemas.openxmlformats.org/officeDocument/2006/custom-properties" xmlns:vt="http://schemas.openxmlformats.org/officeDocument/2006/docPropsVTypes"/>
</file>