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B3A6B"/>
          <w:sz w:val="56"/>
          <w:szCs w:val="56"/>
        </w:rPr>
        <w:t xml:space="preserve">GLOBAL AI GOVERNANCE FRAMEWORKS</w:t>
      </w:r>
    </w:p>
    <w:p>
      <w:pPr>
        <w:spacing w:after="120" w:before="0"/>
        <w:jc w:val="center"/>
      </w:pPr>
      <w:r>
        <w:rPr>
          <w:rFonts w:ascii="Arial" w:cs="Arial" w:eastAsia="Arial" w:hAnsi="Arial"/>
          <w:b w:val="false"/>
          <w:bCs w:val="false"/>
          <w:color w:val="2E6DA4"/>
          <w:sz w:val="30"/>
          <w:szCs w:val="30"/>
        </w:rPr>
        <w:t xml:space="preserve">Executive Reference Guide for GRC Managers</w:t>
      </w:r>
    </w:p>
    <w:p>
      <w:pPr>
        <w:pBdr>
          <w:bottom w:val="single" w:color="C8960C" w:sz="12"/>
        </w:pBdr>
        <w:spacing w:after="480" w:before="0"/>
        <w:jc w:val="center"/>
      </w:pPr>
      <w:r>
        <w:rPr>
          <w:rFonts w:ascii="Arial" w:cs="Arial" w:eastAsia="Arial" w:hAnsi="Arial"/>
          <w:color w:val="333333"/>
          <w:sz w:val="22"/>
          <w:szCs w:val="22"/>
        </w:rPr>
        <w:t xml:space="preserve"/>
      </w:r>
    </w:p>
    <w:p>
      <w:pPr>
        <w:spacing w:after="120" w:before="480"/>
        <w:jc w:val="center"/>
      </w:pPr>
      <w:r>
        <w:rPr>
          <w:rFonts w:ascii="Arial" w:cs="Arial" w:eastAsia="Arial" w:hAnsi="Arial"/>
          <w:color w:val="666666"/>
          <w:sz w:val="24"/>
          <w:szCs w:val="24"/>
        </w:rPr>
        <w:t xml:space="preserve">Covering: NIST AI RMF  ·  ISO 42001  ·  ISO 27001  ·  EU AI Act  ·  GDPR</w:t>
      </w:r>
    </w:p>
    <w:p>
      <w:pPr>
        <w:spacing w:after="0" w:before="120"/>
        <w:jc w:val="center"/>
      </w:pPr>
      <w:r>
        <w:rPr>
          <w:rFonts w:ascii="Arial" w:cs="Arial" w:eastAsia="Arial" w:hAnsi="Arial"/>
          <w:i/>
          <w:iCs/>
          <w:color w:val="666666"/>
          <w:sz w:val="22"/>
          <w:szCs w:val="22"/>
        </w:rPr>
        <w:t xml:space="preserve">Prepared for: New GRC Manager Onboarding &amp; Audit Quick-Reference</w:t>
      </w:r>
    </w:p>
    <w:p>
      <w:r>
        <w:br/>
      </w:r>
    </w:p>
    <w:p>
      <w:pPr>
        <w:pStyle w:val="Heading1"/>
        <w:pBdr>
          <w:bottom w:val="single" w:color="C8960C" w:sz="8"/>
        </w:pBdr>
        <w:shd w:fill="1B3A6B" w:val="clear"/>
        <w:spacing w:after="120" w:before="360"/>
        <w:ind w:left="180" w:right="180"/>
      </w:pPr>
      <w:r>
        <w:rPr>
          <w:rFonts w:ascii="Arial" w:cs="Arial" w:eastAsia="Arial" w:hAnsi="Arial"/>
          <w:b/>
          <w:bCs/>
          <w:color w:val="FFFFFF"/>
          <w:sz w:val="32"/>
          <w:szCs w:val="32"/>
        </w:rPr>
        <w:t xml:space="preserve">How to Use This Guide</w:t>
      </w:r>
    </w:p>
    <w:p>
      <w:pPr>
        <w:spacing w:after="60" w:before="60"/>
      </w:pPr>
      <w:r>
        <w:rPr>
          <w:rFonts w:ascii="Arial" w:cs="Arial" w:eastAsia="Arial" w:hAnsi="Arial"/>
          <w:color w:val="333333"/>
          <w:sz w:val="22"/>
          <w:szCs w:val="22"/>
        </w:rPr>
        <w:t xml:space="preserve">You are holding a GRC manager's field manual — not a light reading guide. Each framework section is built to answer three questions fast during an audit or a board conversation:</w:t>
      </w:r>
    </w:p>
    <w:p>
      <w:pPr>
        <w:pStyle w:val="ListParagraph"/>
        <w:numPr>
          <w:ilvl w:val="0"/>
          <w:numId w:val="2"/>
        </w:numPr>
        <w:spacing w:after="40" w:before="40"/>
      </w:pPr>
      <w:r>
        <w:rPr>
          <w:rFonts w:ascii="Arial" w:cs="Arial" w:eastAsia="Arial" w:hAnsi="Arial"/>
          <w:color w:val="333333"/>
          <w:sz w:val="22"/>
          <w:szCs w:val="22"/>
        </w:rPr>
        <w:t xml:space="preserve">What is this framework and why does it exist?</w:t>
      </w:r>
    </w:p>
    <w:p>
      <w:pPr>
        <w:pStyle w:val="ListParagraph"/>
        <w:numPr>
          <w:ilvl w:val="0"/>
          <w:numId w:val="2"/>
        </w:numPr>
        <w:spacing w:after="40" w:before="40"/>
      </w:pPr>
      <w:r>
        <w:rPr>
          <w:rFonts w:ascii="Arial" w:cs="Arial" w:eastAsia="Arial" w:hAnsi="Arial"/>
          <w:color w:val="333333"/>
          <w:sz w:val="22"/>
          <w:szCs w:val="22"/>
        </w:rPr>
        <w:t xml:space="preserve">What does it actually require us to do (controls and processes)?</w:t>
      </w:r>
    </w:p>
    <w:p>
      <w:pPr>
        <w:pStyle w:val="ListParagraph"/>
        <w:numPr>
          <w:ilvl w:val="0"/>
          <w:numId w:val="2"/>
        </w:numPr>
        <w:spacing w:after="40" w:before="40"/>
      </w:pPr>
      <w:r>
        <w:rPr>
          <w:rFonts w:ascii="Arial" w:cs="Arial" w:eastAsia="Arial" w:hAnsi="Arial"/>
          <w:color w:val="333333"/>
          <w:sz w:val="22"/>
          <w:szCs w:val="22"/>
        </w:rPr>
        <w:t xml:space="preserve">What does an auditor look for when they walk in the door?</w:t>
      </w:r>
    </w:p>
    <w:p>
      <w:pPr>
        <w:spacing w:after="60" w:before="120"/>
      </w:pPr>
      <w:r>
        <w:rPr>
          <w:rFonts w:ascii="Arial" w:cs="Arial" w:eastAsia="Arial" w:hAnsi="Arial"/>
          <w:b/>
          <w:bCs/>
          <w:color w:val="1B3A6B"/>
          <w:sz w:val="22"/>
          <w:szCs w:val="22"/>
        </w:rPr>
        <w:t xml:space="preserve">Plain-language principle: </w:t>
      </w:r>
      <w:r>
        <w:rPr>
          <w:rFonts w:ascii="Arial" w:cs="Arial" w:eastAsia="Arial" w:hAnsi="Arial"/>
          <w:color w:val="333333"/>
          <w:sz w:val="22"/>
          <w:szCs w:val="22"/>
        </w:rPr>
        <w:t xml:space="preserve">If a 10th-grader can understand the sentence, so can a stressed auditor at 4 PM on a Friday. We keep it plain without removing the technical precision you need to actually implement and defend these frameworks.</w:t>
      </w:r>
    </w:p>
    <w:tbl>
      <w:tblPr>
        <w:tblW w:type="dxa" w:w="9360"/>
        <w:tblBorders>
          <w:top w:val="single" w:color="C8960C" w:sz="8"/>
          <w:left w:val="single" w:color="C8960C" w:sz="8"/>
          <w:bottom w:val="single" w:color="C8960C" w:sz="8"/>
          <w:right w:val="single" w:color="C8960C" w:sz="8"/>
          <w:insideH w:val="single" w:color="auto" w:sz="4"/>
          <w:insideV w:val="single" w:color="auto" w:sz="4"/>
        </w:tblBorders>
      </w:tblPr>
      <w:tblGrid>
        <w:gridCol w:w="200"/>
        <w:gridCol w:w="9160"/>
      </w:tblGrid>
      <w:tr>
        <w:tc>
          <w:tcPr>
            <w:tcW w:type="dxa" w:w="200"/>
            <w:tcBorders>
              <w:top w:val="nil"/>
              <w:left w:val="nil"/>
              <w:bottom w:val="nil"/>
              <w:right w:val="nil"/>
            </w:tcBorders>
            <w:shd w:fill="C8960C"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D6E4F0" w:val="clear"/>
            <w:tcMar>
              <w:top w:type="dxa" w:w="80"/>
              <w:left w:type="dxa" w:w="160"/>
              <w:bottom w:type="dxa" w:w="80"/>
              <w:right w:type="dxa" w:w="120"/>
            </w:tcMar>
          </w:tcPr>
          <w:p>
            <w:pPr>
              <w:spacing w:after="0" w:before="0"/>
            </w:pPr>
            <w:r>
              <w:rPr>
                <w:rFonts w:ascii="Arial" w:cs="Arial" w:eastAsia="Arial" w:hAnsi="Arial"/>
                <w:b/>
                <w:bCs/>
                <w:color w:val="1B3A6B"/>
                <w:sz w:val="22"/>
                <w:szCs w:val="22"/>
              </w:rPr>
              <w:t xml:space="preserve">Audit Tip: </w:t>
            </w:r>
            <w:r>
              <w:rPr>
                <w:rFonts w:ascii="Arial" w:cs="Arial" w:eastAsia="Arial" w:hAnsi="Arial"/>
                <w:color w:val="333333"/>
                <w:sz w:val="22"/>
                <w:szCs w:val="22"/>
              </w:rPr>
              <w:t xml:space="preserve">Bookmark the 'Key Controls &amp; Processes' and 'What Auditors Look For' subsections in each chapter. Those two subsections are your first line of defense when an auditor asks you to demonstrate compliance on short notice.</w:t>
            </w:r>
          </w:p>
        </w:tc>
      </w:tr>
    </w:tbl>
    <w:p>
      <w:pPr>
        <w:pBdr>
          <w:bottom w:val="single" w:color="D6E4F0" w:sz="6"/>
        </w:pBdr>
        <w:spacing w:after="120" w:before="120"/>
      </w:pPr>
      <w:r>
        <w:rPr>
          <w:rFonts w:ascii="Arial" w:cs="Arial" w:eastAsia="Arial" w:hAnsi="Arial"/>
          <w:color w:val="333333"/>
          <w:sz w:val="22"/>
          <w:szCs w:val="22"/>
        </w:rPr>
        <w:t xml:space="preserve"/>
      </w:r>
    </w:p>
    <w:p>
      <w:r>
        <w:br/>
      </w:r>
    </w:p>
    <w:p>
      <w:pPr>
        <w:pStyle w:val="Heading1"/>
        <w:pBdr>
          <w:bottom w:val="single" w:color="C8960C" w:sz="8"/>
        </w:pBdr>
        <w:shd w:fill="1B3A6B" w:val="clear"/>
        <w:spacing w:after="120" w:before="360"/>
        <w:ind w:left="180" w:right="180"/>
      </w:pPr>
      <w:r>
        <w:rPr>
          <w:rFonts w:ascii="Arial" w:cs="Arial" w:eastAsia="Arial" w:hAnsi="Arial"/>
          <w:b/>
          <w:bCs/>
          <w:color w:val="FFFFFF"/>
          <w:sz w:val="32"/>
          <w:szCs w:val="32"/>
        </w:rPr>
        <w:t xml:space="preserve">Framework 1: NIST AI Risk Management Framework (AI RMF 1.0)</w:t>
      </w:r>
    </w:p>
    <w:p>
      <w:pPr>
        <w:pStyle w:val="Heading2"/>
        <w:shd w:fill="2E6DA4" w:val="clear"/>
        <w:spacing w:after="80" w:before="240"/>
        <w:ind w:left="120"/>
      </w:pPr>
      <w:r>
        <w:rPr>
          <w:rFonts w:ascii="Arial" w:cs="Arial" w:eastAsia="Arial" w:hAnsi="Arial"/>
          <w:b/>
          <w:bCs/>
          <w:color w:val="FFFFFF"/>
          <w:sz w:val="26"/>
          <w:szCs w:val="26"/>
        </w:rPr>
        <w:t xml:space="preserve">What It Is and Why It Matters</w:t>
      </w:r>
    </w:p>
    <w:p>
      <w:pPr>
        <w:spacing w:after="60" w:before="60"/>
      </w:pPr>
      <w:r>
        <w:rPr>
          <w:rFonts w:ascii="Arial" w:cs="Arial" w:eastAsia="Arial" w:hAnsi="Arial"/>
          <w:color w:val="333333"/>
          <w:sz w:val="22"/>
          <w:szCs w:val="22"/>
        </w:rPr>
        <w:t xml:space="preserve">The NIST AI RMF is a voluntary framework published by the National Institute of Standards and Technology in January 2023. Think of it as the AI world's answer to NIST CSF — it is not a law, but it has become the de facto standard that regulators, federal agencies, and enterprise risk committees point to when they ask 'show me how you manage AI risk.'</w:t>
      </w:r>
    </w:p>
    <w:p>
      <w:pPr>
        <w:spacing w:after="60" w:before="60"/>
      </w:pPr>
      <w:r>
        <w:rPr>
          <w:rFonts w:ascii="Arial" w:cs="Arial" w:eastAsia="Arial" w:hAnsi="Arial"/>
          <w:color w:val="333333"/>
          <w:sz w:val="22"/>
          <w:szCs w:val="22"/>
        </w:rPr>
        <w:t xml:space="preserve">If you work in the federal space — and especially at the VA — the AI RMF is not optional in practice. OMB policy, emerging FedRAMP AI guidance, and every serious AI governance conversation in the federal ecosystem maps back to this document.</w:t>
      </w:r>
    </w:p>
    <w:tbl>
      <w:tblPr>
        <w:tblW w:type="dxa" w:w="9360"/>
        <w:tblBorders>
          <w:top w:val="single" w:color="C8960C" w:sz="8"/>
          <w:left w:val="single" w:color="C8960C" w:sz="8"/>
          <w:bottom w:val="single" w:color="C8960C" w:sz="8"/>
          <w:right w:val="single" w:color="C8960C" w:sz="8"/>
          <w:insideH w:val="single" w:color="auto" w:sz="4"/>
          <w:insideV w:val="single" w:color="auto" w:sz="4"/>
        </w:tblBorders>
      </w:tblPr>
      <w:tblGrid>
        <w:gridCol w:w="200"/>
        <w:gridCol w:w="9160"/>
      </w:tblGrid>
      <w:tr>
        <w:tc>
          <w:tcPr>
            <w:tcW w:type="dxa" w:w="200"/>
            <w:tcBorders>
              <w:top w:val="nil"/>
              <w:left w:val="nil"/>
              <w:bottom w:val="nil"/>
              <w:right w:val="nil"/>
            </w:tcBorders>
            <w:shd w:fill="C8960C"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D6E4F0" w:val="clear"/>
            <w:tcMar>
              <w:top w:type="dxa" w:w="80"/>
              <w:left w:type="dxa" w:w="160"/>
              <w:bottom w:type="dxa" w:w="80"/>
              <w:right w:type="dxa" w:w="120"/>
            </w:tcMar>
          </w:tcPr>
          <w:p>
            <w:pPr>
              <w:spacing w:after="0" w:before="0"/>
            </w:pPr>
            <w:r>
              <w:rPr>
                <w:rFonts w:ascii="Arial" w:cs="Arial" w:eastAsia="Arial" w:hAnsi="Arial"/>
                <w:b/>
                <w:bCs/>
                <w:color w:val="1B3A6B"/>
                <w:sz w:val="22"/>
                <w:szCs w:val="22"/>
              </w:rPr>
              <w:t xml:space="preserve">The Core Idea: </w:t>
            </w:r>
            <w:r>
              <w:rPr>
                <w:rFonts w:ascii="Arial" w:cs="Arial" w:eastAsia="Arial" w:hAnsi="Arial"/>
                <w:color w:val="333333"/>
                <w:sz w:val="22"/>
                <w:szCs w:val="22"/>
              </w:rPr>
              <w:t xml:space="preserve">AI is not just a technology risk — it is a sociotechnical risk. That means you cannot manage AI risk with pure IT controls. You need people, processes, and context baked into your risk approach from day one.</w:t>
            </w:r>
          </w:p>
        </w:tc>
      </w:tr>
    </w:tbl>
    <w:p>
      <w:pPr>
        <w:pStyle w:val="Heading2"/>
        <w:shd w:fill="2E6DA4" w:val="clear"/>
        <w:spacing w:after="80" w:before="240"/>
        <w:ind w:left="120"/>
      </w:pPr>
      <w:r>
        <w:rPr>
          <w:rFonts w:ascii="Arial" w:cs="Arial" w:eastAsia="Arial" w:hAnsi="Arial"/>
          <w:b/>
          <w:bCs/>
          <w:color w:val="FFFFFF"/>
          <w:sz w:val="26"/>
          <w:szCs w:val="26"/>
        </w:rPr>
        <w:t xml:space="preserve">The Framework Structure: GOVERN · MAP · MEASURE · MANAGE</w:t>
      </w:r>
    </w:p>
    <w:p>
      <w:pPr>
        <w:spacing w:after="60" w:before="60"/>
      </w:pPr>
      <w:r>
        <w:rPr>
          <w:rFonts w:ascii="Arial" w:cs="Arial" w:eastAsia="Arial" w:hAnsi="Arial"/>
          <w:color w:val="333333"/>
          <w:sz w:val="22"/>
          <w:szCs w:val="22"/>
        </w:rPr>
        <w:t xml:space="preserve">The AI RMF is organized around four core functions. Think of them as an operational cycle, not a checklist you run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400"/>
        <w:gridCol w:w="3200"/>
        <w:gridCol w:w="3200"/>
      </w:tblGrid>
      <w:tr>
        <w:trPr>
          <w:tblHeader/>
        </w:trPr>
        <w:tc>
          <w:tcPr>
            <w:tcW w:type="dxa" w:w="1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Function</w:t>
            </w:r>
          </w:p>
        </w:tc>
        <w:tc>
          <w:tcPr>
            <w:tcW w:type="dxa" w:w="1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Analogy</w:t>
            </w:r>
          </w:p>
        </w:tc>
        <w:tc>
          <w:tcPr>
            <w:tcW w:type="dxa" w:w="3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You Do</w:t>
            </w:r>
          </w:p>
        </w:tc>
        <w:tc>
          <w:tcPr>
            <w:tcW w:type="dxa" w:w="3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Outputs</w:t>
            </w:r>
          </w:p>
        </w:tc>
      </w:tr>
      <w:tr>
        <w:tc>
          <w:tcPr>
            <w:tcW w:type="dxa" w:w="15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GOVERN</w:t>
            </w:r>
          </w:p>
        </w:tc>
        <w:tc>
          <w:tcPr>
            <w:tcW w:type="dxa" w:w="1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Build the rules</w:t>
            </w:r>
          </w:p>
        </w:tc>
        <w:tc>
          <w:tcPr>
            <w:tcW w:type="dxa" w:w="32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Establish policies, roles, accountability structures, and culture for responsible AI. Set your risk tolerance.</w:t>
            </w:r>
          </w:p>
        </w:tc>
        <w:tc>
          <w:tcPr>
            <w:tcW w:type="dxa" w:w="32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AI Governance Policy, Risk Tolerance Statement, RACI matrix, Acceptable Use Policy</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MAP</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Know the terrain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Categorize AI systems, identify affected stakeholders, understand context of use, and classify risk level.</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AI System Inventory, Use-Case Risk Register, Stakeholder Impact Assessment</w:t>
            </w:r>
          </w:p>
        </w:tc>
      </w:tr>
      <w:tr>
        <w:tc>
          <w:tcPr>
            <w:tcW w:type="dxa" w:w="15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MEASURE</w:t>
            </w:r>
          </w:p>
        </w:tc>
        <w:tc>
          <w:tcPr>
            <w:tcW w:type="dxa" w:w="1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Test and score</w:t>
            </w:r>
          </w:p>
        </w:tc>
        <w:tc>
          <w:tcPr>
            <w:tcW w:type="dxa" w:w="32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Apply metrics, run bias testing, evaluate trustworthiness attributes, use explainability tools (SHAP, LIME).</w:t>
            </w:r>
          </w:p>
        </w:tc>
        <w:tc>
          <w:tcPr>
            <w:tcW w:type="dxa" w:w="32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Bias Assessment Reports, Fairness Metrics, TEVV (Test, Evaluate, Validate, Verify) results</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MANAGE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Act on findings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Prioritize risks, implement controls, monitor deployed systems, respond to incidents, decommission safely.</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Risk Treatment Plans, Incident Response Logs, Model Cards, Monitoring Dashboards</w:t>
            </w:r>
          </w:p>
        </w:tc>
      </w:tr>
    </w:tbl>
    <w:p>
      <w:pPr>
        <w:spacing w:after="0" w:before="240"/>
      </w:pPr>
      <w:r>
        <w:rPr>
          <w:rFonts w:ascii="Arial" w:cs="Arial" w:eastAsia="Arial" w:hAnsi="Arial"/>
          <w:color w:val="333333"/>
          <w:sz w:val="22"/>
          <w:szCs w:val="22"/>
        </w:rPr>
        <w:t xml:space="preserve"/>
      </w:r>
    </w:p>
    <w:p>
      <w:pPr>
        <w:pStyle w:val="Heading2"/>
        <w:shd w:fill="2E6DA4" w:val="clear"/>
        <w:spacing w:after="80" w:before="240"/>
        <w:ind w:left="120"/>
      </w:pPr>
      <w:r>
        <w:rPr>
          <w:rFonts w:ascii="Arial" w:cs="Arial" w:eastAsia="Arial" w:hAnsi="Arial"/>
          <w:b/>
          <w:bCs/>
          <w:color w:val="FFFFFF"/>
          <w:sz w:val="26"/>
          <w:szCs w:val="26"/>
        </w:rPr>
        <w:t xml:space="preserve">The 7 Trustworthy AI Characteristics</w:t>
      </w:r>
    </w:p>
    <w:p>
      <w:pPr>
        <w:spacing w:after="60" w:before="60"/>
      </w:pPr>
      <w:r>
        <w:rPr>
          <w:rFonts w:ascii="Arial" w:cs="Arial" w:eastAsia="Arial" w:hAnsi="Arial"/>
          <w:color w:val="333333"/>
          <w:sz w:val="22"/>
          <w:szCs w:val="22"/>
        </w:rPr>
        <w:t xml:space="preserve">NIST defines seven properties that every trustworthy AI system should demonstrate. These are not aspirational talking points — they are auditable attributes. You need to be able to point to evidence for each one.</w:t>
      </w:r>
    </w:p>
    <w:p>
      <w:pPr>
        <w:pStyle w:val="ListParagraph"/>
        <w:numPr>
          <w:ilvl w:val="0"/>
          <w:numId w:val="2"/>
        </w:numPr>
        <w:spacing w:after="40" w:before="40"/>
      </w:pPr>
      <w:r>
        <w:rPr>
          <w:rFonts w:ascii="Arial" w:cs="Arial" w:eastAsia="Arial" w:hAnsi="Arial"/>
          <w:color w:val="333333"/>
          <w:sz w:val="22"/>
          <w:szCs w:val="22"/>
        </w:rPr>
        <w:t xml:space="preserve">Safe — The system does not cause unintended physical, psychological, financial, or societal harm.</w:t>
      </w:r>
    </w:p>
    <w:p>
      <w:pPr>
        <w:pStyle w:val="ListParagraph"/>
        <w:numPr>
          <w:ilvl w:val="0"/>
          <w:numId w:val="2"/>
        </w:numPr>
        <w:spacing w:after="40" w:before="40"/>
      </w:pPr>
      <w:r>
        <w:rPr>
          <w:rFonts w:ascii="Arial" w:cs="Arial" w:eastAsia="Arial" w:hAnsi="Arial"/>
          <w:color w:val="333333"/>
          <w:sz w:val="22"/>
          <w:szCs w:val="22"/>
        </w:rPr>
        <w:t xml:space="preserve">Secure and Resilient — The system withstands adversarial attacks, manipulation (prompt injection, data poisoning), and environmental disruption.</w:t>
      </w:r>
    </w:p>
    <w:p>
      <w:pPr>
        <w:pStyle w:val="ListParagraph"/>
        <w:numPr>
          <w:ilvl w:val="0"/>
          <w:numId w:val="2"/>
        </w:numPr>
        <w:spacing w:after="40" w:before="40"/>
      </w:pPr>
      <w:r>
        <w:rPr>
          <w:rFonts w:ascii="Arial" w:cs="Arial" w:eastAsia="Arial" w:hAnsi="Arial"/>
          <w:color w:val="333333"/>
          <w:sz w:val="22"/>
          <w:szCs w:val="22"/>
        </w:rPr>
        <w:t xml:space="preserve">Explainable and Interpretable — Stakeholders can understand why the system produced a given output (explainability = external; interpretability = internal logic).</w:t>
      </w:r>
    </w:p>
    <w:p>
      <w:pPr>
        <w:pStyle w:val="ListParagraph"/>
        <w:numPr>
          <w:ilvl w:val="0"/>
          <w:numId w:val="2"/>
        </w:numPr>
        <w:spacing w:after="40" w:before="40"/>
      </w:pPr>
      <w:r>
        <w:rPr>
          <w:rFonts w:ascii="Arial" w:cs="Arial" w:eastAsia="Arial" w:hAnsi="Arial"/>
          <w:color w:val="333333"/>
          <w:sz w:val="22"/>
          <w:szCs w:val="22"/>
        </w:rPr>
        <w:t xml:space="preserve">Accountable and Transparent — Clear ownership, audit trails, and disclosure to affected parties about how AI decisions are made.</w:t>
      </w:r>
    </w:p>
    <w:p>
      <w:pPr>
        <w:pStyle w:val="ListParagraph"/>
        <w:numPr>
          <w:ilvl w:val="0"/>
          <w:numId w:val="2"/>
        </w:numPr>
        <w:spacing w:after="40" w:before="40"/>
      </w:pPr>
      <w:r>
        <w:rPr>
          <w:rFonts w:ascii="Arial" w:cs="Arial" w:eastAsia="Arial" w:hAnsi="Arial"/>
          <w:color w:val="333333"/>
          <w:sz w:val="22"/>
          <w:szCs w:val="22"/>
        </w:rPr>
        <w:t xml:space="preserve">Fair — Harmful bias is managed. Disparate impact across protected classes is tested and mitigated. Fairness metrics are defined and monitored.</w:t>
      </w:r>
    </w:p>
    <w:p>
      <w:pPr>
        <w:pStyle w:val="ListParagraph"/>
        <w:numPr>
          <w:ilvl w:val="0"/>
          <w:numId w:val="2"/>
        </w:numPr>
        <w:spacing w:after="40" w:before="40"/>
      </w:pPr>
      <w:r>
        <w:rPr>
          <w:rFonts w:ascii="Arial" w:cs="Arial" w:eastAsia="Arial" w:hAnsi="Arial"/>
          <w:color w:val="333333"/>
          <w:sz w:val="22"/>
          <w:szCs w:val="22"/>
        </w:rPr>
        <w:t xml:space="preserve">Privacy Enhanced — Personal data used in training and inference is handled with privacy-by-design controls. Data minimization and consent frameworks apply.</w:t>
      </w:r>
    </w:p>
    <w:p>
      <w:pPr>
        <w:pStyle w:val="ListParagraph"/>
        <w:numPr>
          <w:ilvl w:val="0"/>
          <w:numId w:val="2"/>
        </w:numPr>
        <w:spacing w:after="40" w:before="40"/>
      </w:pPr>
      <w:r>
        <w:rPr>
          <w:rFonts w:ascii="Arial" w:cs="Arial" w:eastAsia="Arial" w:hAnsi="Arial"/>
          <w:color w:val="333333"/>
          <w:sz w:val="22"/>
          <w:szCs w:val="22"/>
        </w:rPr>
        <w:t xml:space="preserve">Valid and Reliable — The system performs as intended across its defined operating conditions. Drift and performance degradation are monitored.</w:t>
      </w:r>
    </w:p>
    <w:p>
      <w:pPr>
        <w:pStyle w:val="Heading2"/>
        <w:shd w:fill="2E6DA4" w:val="clear"/>
        <w:spacing w:after="80" w:before="240"/>
        <w:ind w:left="120"/>
      </w:pPr>
      <w:r>
        <w:rPr>
          <w:rFonts w:ascii="Arial" w:cs="Arial" w:eastAsia="Arial" w:hAnsi="Arial"/>
          <w:b/>
          <w:bCs/>
          <w:color w:val="FFFFFF"/>
          <w:sz w:val="26"/>
          <w:szCs w:val="26"/>
        </w:rPr>
        <w:t xml:space="preserve">Key Controls and Processes</w:t>
      </w:r>
    </w:p>
    <w:p>
      <w:pPr>
        <w:pStyle w:val="Heading3"/>
        <w:pBdr>
          <w:bottom w:val="single" w:color="D6E4F0" w:sz="6"/>
        </w:pBdr>
        <w:spacing w:after="60" w:before="180"/>
      </w:pPr>
      <w:r>
        <w:rPr>
          <w:rFonts w:ascii="Arial" w:cs="Arial" w:eastAsia="Arial" w:hAnsi="Arial"/>
          <w:b/>
          <w:bCs/>
          <w:color w:val="1B3A6B"/>
          <w:sz w:val="24"/>
          <w:szCs w:val="24"/>
        </w:rPr>
        <w:t xml:space="preserve">GOVERN Controls</w:t>
      </w:r>
    </w:p>
    <w:p>
      <w:pPr>
        <w:pStyle w:val="ListParagraph"/>
        <w:numPr>
          <w:ilvl w:val="0"/>
          <w:numId w:val="2"/>
        </w:numPr>
        <w:spacing w:after="40" w:before="40"/>
      </w:pPr>
      <w:r>
        <w:rPr>
          <w:rFonts w:ascii="Arial" w:cs="Arial" w:eastAsia="Arial" w:hAnsi="Arial"/>
          <w:color w:val="333333"/>
          <w:sz w:val="22"/>
          <w:szCs w:val="22"/>
        </w:rPr>
        <w:t xml:space="preserve">Establish an AI Governance Committee with defined membership (legal, IT, ethics, business owners).</w:t>
      </w:r>
    </w:p>
    <w:p>
      <w:pPr>
        <w:pStyle w:val="ListParagraph"/>
        <w:numPr>
          <w:ilvl w:val="0"/>
          <w:numId w:val="2"/>
        </w:numPr>
        <w:spacing w:after="40" w:before="40"/>
      </w:pPr>
      <w:r>
        <w:rPr>
          <w:rFonts w:ascii="Arial" w:cs="Arial" w:eastAsia="Arial" w:hAnsi="Arial"/>
          <w:color w:val="333333"/>
          <w:sz w:val="22"/>
          <w:szCs w:val="22"/>
        </w:rPr>
        <w:t xml:space="preserve">Publish a formal AI Acceptable Use Policy (AUP) that covers Shadow AI, third-party AI tools, and generative AI.</w:t>
      </w:r>
    </w:p>
    <w:p>
      <w:pPr>
        <w:pStyle w:val="ListParagraph"/>
        <w:numPr>
          <w:ilvl w:val="0"/>
          <w:numId w:val="2"/>
        </w:numPr>
        <w:spacing w:after="40" w:before="40"/>
      </w:pPr>
      <w:r>
        <w:rPr>
          <w:rFonts w:ascii="Arial" w:cs="Arial" w:eastAsia="Arial" w:hAnsi="Arial"/>
          <w:color w:val="333333"/>
          <w:sz w:val="22"/>
          <w:szCs w:val="22"/>
        </w:rPr>
        <w:t xml:space="preserve">Define and document your organization's AI Risk Tolerance — what level of AI risk is acceptable without escalation?</w:t>
      </w:r>
    </w:p>
    <w:p>
      <w:pPr>
        <w:pStyle w:val="ListParagraph"/>
        <w:numPr>
          <w:ilvl w:val="0"/>
          <w:numId w:val="2"/>
        </w:numPr>
        <w:spacing w:after="40" w:before="40"/>
      </w:pPr>
      <w:r>
        <w:rPr>
          <w:rFonts w:ascii="Arial" w:cs="Arial" w:eastAsia="Arial" w:hAnsi="Arial"/>
          <w:color w:val="333333"/>
          <w:sz w:val="22"/>
          <w:szCs w:val="22"/>
        </w:rPr>
        <w:t xml:space="preserve">Maintain a complete AI System Inventory. Every deployed AI system, its purpose, data inputs, and owner must be recorded.</w:t>
      </w:r>
    </w:p>
    <w:p>
      <w:pPr>
        <w:pStyle w:val="ListParagraph"/>
        <w:numPr>
          <w:ilvl w:val="0"/>
          <w:numId w:val="2"/>
        </w:numPr>
        <w:spacing w:after="40" w:before="40"/>
      </w:pPr>
      <w:r>
        <w:rPr>
          <w:rFonts w:ascii="Arial" w:cs="Arial" w:eastAsia="Arial" w:hAnsi="Arial"/>
          <w:color w:val="333333"/>
          <w:sz w:val="22"/>
          <w:szCs w:val="22"/>
        </w:rPr>
        <w:t xml:space="preserve">Assign an AI Risk Owner for each system in the inventory.</w:t>
      </w:r>
    </w:p>
    <w:p>
      <w:pPr>
        <w:pStyle w:val="Heading3"/>
        <w:pBdr>
          <w:bottom w:val="single" w:color="D6E4F0" w:sz="6"/>
        </w:pBdr>
        <w:spacing w:after="60" w:before="180"/>
      </w:pPr>
      <w:r>
        <w:rPr>
          <w:rFonts w:ascii="Arial" w:cs="Arial" w:eastAsia="Arial" w:hAnsi="Arial"/>
          <w:b/>
          <w:bCs/>
          <w:color w:val="1B3A6B"/>
          <w:sz w:val="24"/>
          <w:szCs w:val="24"/>
        </w:rPr>
        <w:t xml:space="preserve">MAP Controls</w:t>
      </w:r>
    </w:p>
    <w:p>
      <w:pPr>
        <w:pStyle w:val="ListParagraph"/>
        <w:numPr>
          <w:ilvl w:val="0"/>
          <w:numId w:val="2"/>
        </w:numPr>
        <w:spacing w:after="40" w:before="40"/>
      </w:pPr>
      <w:r>
        <w:rPr>
          <w:rFonts w:ascii="Arial" w:cs="Arial" w:eastAsia="Arial" w:hAnsi="Arial"/>
          <w:color w:val="333333"/>
          <w:sz w:val="22"/>
          <w:szCs w:val="22"/>
        </w:rPr>
        <w:t xml:space="preserve">Conduct an AI Use Case Risk Classification for every new AI project before deployment. Classify as High, Medium, or Low risk based on impact to individuals, reversibility of decisions, and autonomy level.</w:t>
      </w:r>
    </w:p>
    <w:p>
      <w:pPr>
        <w:pStyle w:val="ListParagraph"/>
        <w:numPr>
          <w:ilvl w:val="0"/>
          <w:numId w:val="2"/>
        </w:numPr>
        <w:spacing w:after="40" w:before="40"/>
      </w:pPr>
      <w:r>
        <w:rPr>
          <w:rFonts w:ascii="Arial" w:cs="Arial" w:eastAsia="Arial" w:hAnsi="Arial"/>
          <w:color w:val="333333"/>
          <w:sz w:val="22"/>
          <w:szCs w:val="22"/>
        </w:rPr>
        <w:t xml:space="preserve">Document a Stakeholder Impact Assessment — who is affected by AI outputs, directly or indirectly?</w:t>
      </w:r>
    </w:p>
    <w:p>
      <w:pPr>
        <w:pStyle w:val="ListParagraph"/>
        <w:numPr>
          <w:ilvl w:val="0"/>
          <w:numId w:val="2"/>
        </w:numPr>
        <w:spacing w:after="40" w:before="40"/>
      </w:pPr>
      <w:r>
        <w:rPr>
          <w:rFonts w:ascii="Arial" w:cs="Arial" w:eastAsia="Arial" w:hAnsi="Arial"/>
          <w:color w:val="333333"/>
          <w:sz w:val="22"/>
          <w:szCs w:val="22"/>
        </w:rPr>
        <w:t xml:space="preserve">Assess the AI's deployment context. The same algorithm can be low-risk in one context (movie recommendations) and high-risk in another (medical triage).</w:t>
      </w:r>
    </w:p>
    <w:p>
      <w:pPr>
        <w:pStyle w:val="Heading3"/>
        <w:pBdr>
          <w:bottom w:val="single" w:color="D6E4F0" w:sz="6"/>
        </w:pBdr>
        <w:spacing w:after="60" w:before="180"/>
      </w:pPr>
      <w:r>
        <w:rPr>
          <w:rFonts w:ascii="Arial" w:cs="Arial" w:eastAsia="Arial" w:hAnsi="Arial"/>
          <w:b/>
          <w:bCs/>
          <w:color w:val="1B3A6B"/>
          <w:sz w:val="24"/>
          <w:szCs w:val="24"/>
        </w:rPr>
        <w:t xml:space="preserve">MEASURE Controls</w:t>
      </w:r>
    </w:p>
    <w:p>
      <w:pPr>
        <w:pStyle w:val="ListParagraph"/>
        <w:numPr>
          <w:ilvl w:val="0"/>
          <w:numId w:val="2"/>
        </w:numPr>
        <w:spacing w:after="40" w:before="40"/>
      </w:pPr>
      <w:r>
        <w:rPr>
          <w:rFonts w:ascii="Arial" w:cs="Arial" w:eastAsia="Arial" w:hAnsi="Arial"/>
          <w:color w:val="333333"/>
          <w:sz w:val="22"/>
          <w:szCs w:val="22"/>
        </w:rPr>
        <w:t xml:space="preserve">Implement TEVV protocols: Test, Evaluate, Validate, and Verify — before and after deployment.</w:t>
      </w:r>
    </w:p>
    <w:p>
      <w:pPr>
        <w:pStyle w:val="ListParagraph"/>
        <w:numPr>
          <w:ilvl w:val="0"/>
          <w:numId w:val="2"/>
        </w:numPr>
        <w:spacing w:after="40" w:before="40"/>
      </w:pPr>
      <w:r>
        <w:rPr>
          <w:rFonts w:ascii="Arial" w:cs="Arial" w:eastAsia="Arial" w:hAnsi="Arial"/>
          <w:color w:val="333333"/>
          <w:sz w:val="22"/>
          <w:szCs w:val="22"/>
        </w:rPr>
        <w:t xml:space="preserve">Run bias and fairness testing across all protected demographic categories (race, gender, age, disability status). Document fairness metrics used and results.</w:t>
      </w:r>
    </w:p>
    <w:p>
      <w:pPr>
        <w:pStyle w:val="ListParagraph"/>
        <w:numPr>
          <w:ilvl w:val="0"/>
          <w:numId w:val="2"/>
        </w:numPr>
        <w:spacing w:after="40" w:before="40"/>
      </w:pPr>
      <w:r>
        <w:rPr>
          <w:rFonts w:ascii="Arial" w:cs="Arial" w:eastAsia="Arial" w:hAnsi="Arial"/>
          <w:color w:val="333333"/>
          <w:sz w:val="22"/>
          <w:szCs w:val="22"/>
        </w:rPr>
        <w:t xml:space="preserve">Use explainability tools (SHAP, LIME, or model-specific tools) to generate explanations for high-stakes AI decisions.</w:t>
      </w:r>
    </w:p>
    <w:p>
      <w:pPr>
        <w:pStyle w:val="ListParagraph"/>
        <w:numPr>
          <w:ilvl w:val="0"/>
          <w:numId w:val="2"/>
        </w:numPr>
        <w:spacing w:after="40" w:before="40"/>
      </w:pPr>
      <w:r>
        <w:rPr>
          <w:rFonts w:ascii="Arial" w:cs="Arial" w:eastAsia="Arial" w:hAnsi="Arial"/>
          <w:color w:val="333333"/>
          <w:sz w:val="22"/>
          <w:szCs w:val="22"/>
        </w:rPr>
        <w:t xml:space="preserve">Track model drift — set thresholds for acceptable performance degradation and trigger re-evaluation when crossed.</w:t>
      </w:r>
    </w:p>
    <w:p>
      <w:pPr>
        <w:pStyle w:val="Heading3"/>
        <w:pBdr>
          <w:bottom w:val="single" w:color="D6E4F0" w:sz="6"/>
        </w:pBdr>
        <w:spacing w:after="60" w:before="180"/>
      </w:pPr>
      <w:r>
        <w:rPr>
          <w:rFonts w:ascii="Arial" w:cs="Arial" w:eastAsia="Arial" w:hAnsi="Arial"/>
          <w:b/>
          <w:bCs/>
          <w:color w:val="1B3A6B"/>
          <w:sz w:val="24"/>
          <w:szCs w:val="24"/>
        </w:rPr>
        <w:t xml:space="preserve">MANAGE Controls</w:t>
      </w:r>
    </w:p>
    <w:p>
      <w:pPr>
        <w:pStyle w:val="ListParagraph"/>
        <w:numPr>
          <w:ilvl w:val="0"/>
          <w:numId w:val="2"/>
        </w:numPr>
        <w:spacing w:after="40" w:before="40"/>
      </w:pPr>
      <w:r>
        <w:rPr>
          <w:rFonts w:ascii="Arial" w:cs="Arial" w:eastAsia="Arial" w:hAnsi="Arial"/>
          <w:color w:val="333333"/>
          <w:sz w:val="22"/>
          <w:szCs w:val="22"/>
        </w:rPr>
        <w:t xml:space="preserve">Build and test an AI Incident Response Plan. AI incidents include unexpected bias, model drift, adversarial manipulation, and privacy breaches caused by AI.</w:t>
      </w:r>
    </w:p>
    <w:p>
      <w:pPr>
        <w:pStyle w:val="ListParagraph"/>
        <w:numPr>
          <w:ilvl w:val="0"/>
          <w:numId w:val="2"/>
        </w:numPr>
        <w:spacing w:after="40" w:before="40"/>
      </w:pPr>
      <w:r>
        <w:rPr>
          <w:rFonts w:ascii="Arial" w:cs="Arial" w:eastAsia="Arial" w:hAnsi="Arial"/>
          <w:color w:val="333333"/>
          <w:sz w:val="22"/>
          <w:szCs w:val="22"/>
        </w:rPr>
        <w:t xml:space="preserve">Conduct Red Teaming exercises for high-risk AI systems at least annually.</w:t>
      </w:r>
    </w:p>
    <w:p>
      <w:pPr>
        <w:pStyle w:val="ListParagraph"/>
        <w:numPr>
          <w:ilvl w:val="0"/>
          <w:numId w:val="2"/>
        </w:numPr>
        <w:spacing w:after="40" w:before="40"/>
      </w:pPr>
      <w:r>
        <w:rPr>
          <w:rFonts w:ascii="Arial" w:cs="Arial" w:eastAsia="Arial" w:hAnsi="Arial"/>
          <w:color w:val="333333"/>
          <w:sz w:val="22"/>
          <w:szCs w:val="22"/>
        </w:rPr>
        <w:t xml:space="preserve">Establish an AI decommissioning process — when a model is retired, how is training data handled, and what happens to dependent processes?</w:t>
      </w:r>
    </w:p>
    <w:p>
      <w:pPr>
        <w:pStyle w:val="ListParagraph"/>
        <w:numPr>
          <w:ilvl w:val="0"/>
          <w:numId w:val="2"/>
        </w:numPr>
        <w:spacing w:after="40" w:before="40"/>
      </w:pPr>
      <w:r>
        <w:rPr>
          <w:rFonts w:ascii="Arial" w:cs="Arial" w:eastAsia="Arial" w:hAnsi="Arial"/>
          <w:color w:val="333333"/>
          <w:sz w:val="22"/>
          <w:szCs w:val="22"/>
        </w:rPr>
        <w:t xml:space="preserve">Implement ongoing monitoring dashboards for production AI systems covering accuracy, fairness metrics, and anomaly detection.</w:t>
      </w:r>
    </w:p>
    <w:p>
      <w:pPr>
        <w:spacing w:after="60" w:before="60"/>
      </w:pPr>
      <w:r>
        <w:rPr>
          <w:rFonts w:ascii="Arial" w:cs="Arial" w:eastAsia="Arial" w:hAnsi="Arial"/>
          <w:b/>
          <w:bCs/>
          <w:color w:val="1B3A6B"/>
          <w:sz w:val="22"/>
          <w:szCs w:val="22"/>
        </w:rPr>
        <w:t xml:space="preserve">Key Term — Model Card: </w:t>
      </w:r>
      <w:r>
        <w:rPr>
          <w:rFonts w:ascii="Arial" w:cs="Arial" w:eastAsia="Arial" w:hAnsi="Arial"/>
          <w:color w:val="333333"/>
          <w:sz w:val="22"/>
          <w:szCs w:val="22"/>
        </w:rPr>
        <w:t xml:space="preserve">A Model Card is a standardized documentation artifact for an AI or machine learning model. It captures the model’s intended uses, performance metrics across demographic groups, evaluation methodology, known limitations, ethical considerations, and out-of-scope use cases. Model Cards are referenced in the NIST AI RMF MANAGE function and ISO 42001 operational controls. When auditing, request a Model Card for each in-scope AI system — its absence is a documentation gap and a potential finding.</w:t>
      </w:r>
    </w:p>
    <w:p>
      <w:pPr>
        <w:pStyle w:val="Heading2"/>
        <w:shd w:fill="2E6DA4" w:val="clear"/>
        <w:spacing w:after="80" w:before="240"/>
        <w:ind w:left="120"/>
      </w:pPr>
      <w:r>
        <w:rPr>
          <w:rFonts w:ascii="Arial" w:cs="Arial" w:eastAsia="Arial" w:hAnsi="Arial"/>
          <w:b/>
          <w:bCs/>
          <w:color w:val="FFFFFF"/>
          <w:sz w:val="26"/>
          <w:szCs w:val="26"/>
        </w:rPr>
        <w:t xml:space="preserve">What Auditors Look For</w:t>
      </w:r>
    </w:p>
    <w:tbl>
      <w:tblPr>
        <w:tblW w:type="dxa" w:w="9360"/>
        <w:tblBorders>
          <w:top w:val="single" w:color="C8960C" w:sz="8"/>
          <w:left w:val="single" w:color="C8960C" w:sz="8"/>
          <w:bottom w:val="single" w:color="C8960C" w:sz="8"/>
          <w:right w:val="single" w:color="C8960C" w:sz="8"/>
          <w:insideH w:val="single" w:color="auto" w:sz="4"/>
          <w:insideV w:val="single" w:color="auto" w:sz="4"/>
        </w:tblBorders>
      </w:tblPr>
      <w:tblGrid>
        <w:gridCol w:w="200"/>
        <w:gridCol w:w="9160"/>
      </w:tblGrid>
      <w:tr>
        <w:tc>
          <w:tcPr>
            <w:tcW w:type="dxa" w:w="200"/>
            <w:tcBorders>
              <w:top w:val="nil"/>
              <w:left w:val="nil"/>
              <w:bottom w:val="nil"/>
              <w:right w:val="nil"/>
            </w:tcBorders>
            <w:shd w:fill="C8960C"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D6E4F0" w:val="clear"/>
            <w:tcMar>
              <w:top w:type="dxa" w:w="80"/>
              <w:left w:type="dxa" w:w="160"/>
              <w:bottom w:type="dxa" w:w="80"/>
              <w:right w:type="dxa" w:w="120"/>
            </w:tcMar>
          </w:tcPr>
          <w:p>
            <w:pPr>
              <w:spacing w:after="0" w:before="0"/>
            </w:pPr>
            <w:r>
              <w:rPr>
                <w:rFonts w:ascii="Arial" w:cs="Arial" w:eastAsia="Arial" w:hAnsi="Arial"/>
                <w:b/>
                <w:bCs/>
                <w:color w:val="1B3A6B"/>
                <w:sz w:val="22"/>
                <w:szCs w:val="22"/>
              </w:rPr>
              <w:t xml:space="preserve">Audit Focus: </w:t>
            </w:r>
            <w:r>
              <w:rPr>
                <w:rFonts w:ascii="Arial" w:cs="Arial" w:eastAsia="Arial" w:hAnsi="Arial"/>
                <w:color w:val="333333"/>
                <w:sz w:val="22"/>
                <w:szCs w:val="22"/>
              </w:rPr>
              <w:t xml:space="preserve">Auditors are not checking whether you read the AI RMF. They are checking whether you have operationalized it. Show them artifacts, not policies.</w:t>
            </w:r>
          </w:p>
        </w:tc>
      </w:tr>
    </w:tbl>
    <w:p>
      <w:pPr>
        <w:pStyle w:val="ListParagraph"/>
        <w:numPr>
          <w:ilvl w:val="0"/>
          <w:numId w:val="2"/>
        </w:numPr>
        <w:spacing w:after="40" w:before="40"/>
      </w:pPr>
      <w:r>
        <w:rPr>
          <w:rFonts w:ascii="Arial" w:cs="Arial" w:eastAsia="Arial" w:hAnsi="Arial"/>
          <w:color w:val="333333"/>
          <w:sz w:val="22"/>
          <w:szCs w:val="22"/>
        </w:rPr>
        <w:t xml:space="preserve">AI System Inventory — complete, current, and tied to a named owner.</w:t>
      </w:r>
    </w:p>
    <w:p>
      <w:pPr>
        <w:pStyle w:val="ListParagraph"/>
        <w:numPr>
          <w:ilvl w:val="0"/>
          <w:numId w:val="2"/>
        </w:numPr>
        <w:spacing w:after="40" w:before="40"/>
      </w:pPr>
      <w:r>
        <w:rPr>
          <w:rFonts w:ascii="Arial" w:cs="Arial" w:eastAsia="Arial" w:hAnsi="Arial"/>
          <w:color w:val="333333"/>
          <w:sz w:val="22"/>
          <w:szCs w:val="22"/>
        </w:rPr>
        <w:t xml:space="preserve">Risk Classification records for each AI system, showing how the classification was determined.</w:t>
      </w:r>
    </w:p>
    <w:p>
      <w:pPr>
        <w:pStyle w:val="ListParagraph"/>
        <w:numPr>
          <w:ilvl w:val="0"/>
          <w:numId w:val="2"/>
        </w:numPr>
        <w:spacing w:after="40" w:before="40"/>
      </w:pPr>
      <w:r>
        <w:rPr>
          <w:rFonts w:ascii="Arial" w:cs="Arial" w:eastAsia="Arial" w:hAnsi="Arial"/>
          <w:color w:val="333333"/>
          <w:sz w:val="22"/>
          <w:szCs w:val="22"/>
        </w:rPr>
        <w:t xml:space="preserve">TEVV documentation — pre-deployment test results and ongoing post-deployment monitoring logs.</w:t>
      </w:r>
    </w:p>
    <w:p>
      <w:pPr>
        <w:pStyle w:val="ListParagraph"/>
        <w:numPr>
          <w:ilvl w:val="0"/>
          <w:numId w:val="2"/>
        </w:numPr>
        <w:spacing w:after="40" w:before="40"/>
      </w:pPr>
      <w:r>
        <w:rPr>
          <w:rFonts w:ascii="Arial" w:cs="Arial" w:eastAsia="Arial" w:hAnsi="Arial"/>
          <w:color w:val="333333"/>
          <w:sz w:val="22"/>
          <w:szCs w:val="22"/>
        </w:rPr>
        <w:t xml:space="preserve">Bias and fairness testing reports — not just that you ran them, but what you found and what you did about it.</w:t>
      </w:r>
    </w:p>
    <w:p>
      <w:pPr>
        <w:pStyle w:val="ListParagraph"/>
        <w:numPr>
          <w:ilvl w:val="0"/>
          <w:numId w:val="2"/>
        </w:numPr>
        <w:spacing w:after="40" w:before="40"/>
      </w:pPr>
      <w:r>
        <w:rPr>
          <w:rFonts w:ascii="Arial" w:cs="Arial" w:eastAsia="Arial" w:hAnsi="Arial"/>
          <w:color w:val="333333"/>
          <w:sz w:val="22"/>
          <w:szCs w:val="22"/>
        </w:rPr>
        <w:t xml:space="preserve">AI Governance Committee meeting minutes — evidence that governance is active, not just documented.</w:t>
      </w:r>
    </w:p>
    <w:p>
      <w:pPr>
        <w:pStyle w:val="ListParagraph"/>
        <w:numPr>
          <w:ilvl w:val="0"/>
          <w:numId w:val="2"/>
        </w:numPr>
        <w:spacing w:after="40" w:before="40"/>
      </w:pPr>
      <w:r>
        <w:rPr>
          <w:rFonts w:ascii="Arial" w:cs="Arial" w:eastAsia="Arial" w:hAnsi="Arial"/>
          <w:color w:val="333333"/>
          <w:sz w:val="22"/>
          <w:szCs w:val="22"/>
        </w:rPr>
        <w:t xml:space="preserve">Acceptable Use Policy with an effective date, version number, and evidence of employee training.</w:t>
      </w:r>
    </w:p>
    <w:p>
      <w:pPr>
        <w:pStyle w:val="ListParagraph"/>
        <w:numPr>
          <w:ilvl w:val="0"/>
          <w:numId w:val="2"/>
        </w:numPr>
        <w:spacing w:after="40" w:before="40"/>
      </w:pPr>
      <w:r>
        <w:rPr>
          <w:rFonts w:ascii="Arial" w:cs="Arial" w:eastAsia="Arial" w:hAnsi="Arial"/>
          <w:color w:val="333333"/>
          <w:sz w:val="22"/>
          <w:szCs w:val="22"/>
        </w:rPr>
        <w:t xml:space="preserve">Incident response records for any AI-related events, showing detection, response, and lessons learned.</w:t>
      </w:r>
    </w:p>
    <w:p>
      <w:pPr>
        <w:pBdr>
          <w:bottom w:val="single" w:color="D6E4F0" w:sz="6"/>
        </w:pBdr>
        <w:spacing w:after="120" w:before="120"/>
      </w:pPr>
      <w:r>
        <w:rPr>
          <w:rFonts w:ascii="Arial" w:cs="Arial" w:eastAsia="Arial" w:hAnsi="Arial"/>
          <w:color w:val="333333"/>
          <w:sz w:val="22"/>
          <w:szCs w:val="22"/>
        </w:rPr>
        <w:t xml:space="preserve"/>
      </w:r>
    </w:p>
    <w:p>
      <w:r>
        <w:br/>
      </w:r>
    </w:p>
    <w:p>
      <w:pPr>
        <w:pStyle w:val="Heading1"/>
        <w:pBdr>
          <w:bottom w:val="single" w:color="C8960C" w:sz="8"/>
        </w:pBdr>
        <w:shd w:fill="1B3A6B" w:val="clear"/>
        <w:spacing w:after="120" w:before="360"/>
        <w:ind w:left="180" w:right="180"/>
      </w:pPr>
      <w:r>
        <w:rPr>
          <w:rFonts w:ascii="Arial" w:cs="Arial" w:eastAsia="Arial" w:hAnsi="Arial"/>
          <w:b/>
          <w:bCs/>
          <w:color w:val="FFFFFF"/>
          <w:sz w:val="32"/>
          <w:szCs w:val="32"/>
        </w:rPr>
        <w:t xml:space="preserve">Framework 2: ISO/IEC 42001 — AI Management System Standard</w:t>
      </w:r>
    </w:p>
    <w:p>
      <w:pPr>
        <w:pStyle w:val="Heading2"/>
        <w:shd w:fill="2E6DA4" w:val="clear"/>
        <w:spacing w:after="80" w:before="240"/>
        <w:ind w:left="120"/>
      </w:pPr>
      <w:r>
        <w:rPr>
          <w:rFonts w:ascii="Arial" w:cs="Arial" w:eastAsia="Arial" w:hAnsi="Arial"/>
          <w:b/>
          <w:bCs/>
          <w:color w:val="FFFFFF"/>
          <w:sz w:val="26"/>
          <w:szCs w:val="26"/>
        </w:rPr>
        <w:t xml:space="preserve">What It Is and Why It Matters</w:t>
      </w:r>
    </w:p>
    <w:p>
      <w:pPr>
        <w:spacing w:after="60" w:before="60"/>
      </w:pPr>
      <w:r>
        <w:rPr>
          <w:rFonts w:ascii="Arial" w:cs="Arial" w:eastAsia="Arial" w:hAnsi="Arial"/>
          <w:color w:val="333333"/>
          <w:sz w:val="22"/>
          <w:szCs w:val="22"/>
        </w:rPr>
        <w:t xml:space="preserve">ISO/IEC 42001 was published in December 2023 as the world's first international standard for an Artificial Intelligence Management System (AIMS). If you are already living in the ISO 27001 world, this standard will feel immediately familiar — it uses the same high-level structure (HLS/Annex SL), the same Plan-Do-Check-Act (PDCA) cycle, and the same audit logic.</w:t>
      </w:r>
    </w:p>
    <w:p>
      <w:pPr>
        <w:spacing w:after="60" w:before="60"/>
      </w:pPr>
      <w:r>
        <w:rPr>
          <w:rFonts w:ascii="Arial" w:cs="Arial" w:eastAsia="Arial" w:hAnsi="Arial"/>
          <w:color w:val="333333"/>
          <w:sz w:val="22"/>
          <w:szCs w:val="22"/>
        </w:rPr>
        <w:t xml:space="preserve">The critical difference: where ISO 27001 asks 'is your information secure?' ISO 42001 asks 'is your AI designed, deployed, and governed responsibly?' The two standards are complementary and increasingly deployed together.</w:t>
      </w:r>
    </w:p>
    <w:tbl>
      <w:tblPr>
        <w:tblW w:type="dxa" w:w="9360"/>
        <w:tblBorders>
          <w:top w:val="single" w:color="C8960C" w:sz="8"/>
          <w:left w:val="single" w:color="C8960C" w:sz="8"/>
          <w:bottom w:val="single" w:color="C8960C" w:sz="8"/>
          <w:right w:val="single" w:color="C8960C" w:sz="8"/>
          <w:insideH w:val="single" w:color="auto" w:sz="4"/>
          <w:insideV w:val="single" w:color="auto" w:sz="4"/>
        </w:tblBorders>
      </w:tblPr>
      <w:tblGrid>
        <w:gridCol w:w="200"/>
        <w:gridCol w:w="9160"/>
      </w:tblGrid>
      <w:tr>
        <w:tc>
          <w:tcPr>
            <w:tcW w:type="dxa" w:w="200"/>
            <w:tcBorders>
              <w:top w:val="nil"/>
              <w:left w:val="nil"/>
              <w:bottom w:val="nil"/>
              <w:right w:val="nil"/>
            </w:tcBorders>
            <w:shd w:fill="C8960C"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D6E4F0" w:val="clear"/>
            <w:tcMar>
              <w:top w:type="dxa" w:w="80"/>
              <w:left w:type="dxa" w:w="160"/>
              <w:bottom w:type="dxa" w:w="80"/>
              <w:right w:type="dxa" w:w="120"/>
            </w:tcMar>
          </w:tcPr>
          <w:p>
            <w:pPr>
              <w:spacing w:after="0" w:before="0"/>
            </w:pPr>
            <w:r>
              <w:rPr>
                <w:rFonts w:ascii="Arial" w:cs="Arial" w:eastAsia="Arial" w:hAnsi="Arial"/>
                <w:b/>
                <w:bCs/>
                <w:color w:val="1B3A6B"/>
                <w:sz w:val="22"/>
                <w:szCs w:val="22"/>
              </w:rPr>
              <w:t xml:space="preserve">Key Point: </w:t>
            </w:r>
            <w:r>
              <w:rPr>
                <w:rFonts w:ascii="Arial" w:cs="Arial" w:eastAsia="Arial" w:hAnsi="Arial"/>
                <w:color w:val="333333"/>
                <w:sz w:val="22"/>
                <w:szCs w:val="22"/>
              </w:rPr>
              <w:t xml:space="preserve">ISO 42001 is certifiable. Organizations can pursue third-party certification, which is increasingly required by enterprise customers, government contracts, and EU AI Act compliance chains. It is not just a guidance document — it is a formal management system standard.</w:t>
            </w:r>
          </w:p>
        </w:tc>
      </w:tr>
    </w:tbl>
    <w:p>
      <w:pPr>
        <w:pStyle w:val="Heading2"/>
        <w:shd w:fill="2E6DA4" w:val="clear"/>
        <w:spacing w:after="80" w:before="240"/>
        <w:ind w:left="120"/>
      </w:pPr>
      <w:r>
        <w:rPr>
          <w:rFonts w:ascii="Arial" w:cs="Arial" w:eastAsia="Arial" w:hAnsi="Arial"/>
          <w:b/>
          <w:bCs/>
          <w:color w:val="FFFFFF"/>
          <w:sz w:val="26"/>
          <w:szCs w:val="26"/>
        </w:rPr>
        <w:t xml:space="preserve">The Management System Structure (PDCA)</w:t>
      </w:r>
    </w:p>
    <w:p>
      <w:pPr>
        <w:spacing w:after="60" w:before="60"/>
      </w:pPr>
      <w:r>
        <w:rPr>
          <w:rFonts w:ascii="Arial" w:cs="Arial" w:eastAsia="Arial" w:hAnsi="Arial"/>
          <w:color w:val="333333"/>
          <w:sz w:val="22"/>
          <w:szCs w:val="22"/>
        </w:rPr>
        <w:t xml:space="preserve">ISO 42001 follows the same Plan-Do-Check-Act cycle as all ISO management system standards. Here is what that means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00"/>
        <w:gridCol w:w="2760"/>
      </w:tblGrid>
      <w:tr>
        <w:trPr>
          <w:tblHeader/>
        </w:trPr>
        <w:tc>
          <w:tcPr>
            <w:tcW w:type="dxa" w:w="1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ISO Clauses</w:t>
            </w:r>
          </w:p>
        </w:tc>
        <w:tc>
          <w:tcPr>
            <w:tcW w:type="dxa" w:w="3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You Do</w:t>
            </w:r>
          </w:p>
        </w:tc>
        <w:tc>
          <w:tcPr>
            <w:tcW w:type="dxa" w:w="2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Evidence Required</w:t>
            </w:r>
          </w:p>
        </w:tc>
      </w:tr>
      <w:tr>
        <w:tc>
          <w:tcPr>
            <w:tcW w:type="dxa" w:w="1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PLAN</w:t>
            </w:r>
          </w:p>
        </w:tc>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Clauses 4–6</w:t>
            </w:r>
          </w:p>
        </w:tc>
        <w:tc>
          <w:tcPr>
            <w:tcW w:type="dxa" w:w="32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Understand context, identify stakeholders, define AI policy, set objectives, plan risk treatment.</w:t>
            </w:r>
          </w:p>
        </w:tc>
        <w:tc>
          <w:tcPr>
            <w:tcW w:type="dxa" w:w="27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Context Analysis, AI Policy, Risk Register, Objectives Doc</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DO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Clause 7–8</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Implement controls, manage the AI lifecycle, build processes for responsible AI development and deployment.</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Procedures, Training Records, AI System Documentation, Supplier Agreements</w:t>
            </w:r>
          </w:p>
        </w:tc>
      </w:tr>
      <w:tr>
        <w:tc>
          <w:tcPr>
            <w:tcW w:type="dxa" w:w="1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CHECK</w:t>
            </w:r>
          </w:p>
        </w:tc>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Clause 9</w:t>
            </w:r>
          </w:p>
        </w:tc>
        <w:tc>
          <w:tcPr>
            <w:tcW w:type="dxa" w:w="32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Monitor performance, run internal audits, conduct Management Reviews.</w:t>
            </w:r>
          </w:p>
        </w:tc>
        <w:tc>
          <w:tcPr>
            <w:tcW w:type="dxa" w:w="27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Audit Reports, KPIs, Nonconformity Logs, Management Review Minutes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ACT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Clause 10</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Take corrective action on nonconformities, drive continual improvement.</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Corrective Action Records (CARs), Improvement Logs</w:t>
            </w:r>
          </w:p>
        </w:tc>
      </w:tr>
    </w:tbl>
    <w:p>
      <w:pPr>
        <w:spacing w:after="0" w:before="240"/>
      </w:pPr>
      <w:r>
        <w:rPr>
          <w:rFonts w:ascii="Arial" w:cs="Arial" w:eastAsia="Arial" w:hAnsi="Arial"/>
          <w:color w:val="333333"/>
          <w:sz w:val="22"/>
          <w:szCs w:val="22"/>
        </w:rPr>
        <w:t xml:space="preserve"/>
      </w:r>
    </w:p>
    <w:p>
      <w:pPr>
        <w:pStyle w:val="Heading2"/>
        <w:shd w:fill="2E6DA4" w:val="clear"/>
        <w:spacing w:after="80" w:before="240"/>
        <w:ind w:left="120"/>
      </w:pPr>
      <w:r>
        <w:rPr>
          <w:rFonts w:ascii="Arial" w:cs="Arial" w:eastAsia="Arial" w:hAnsi="Arial"/>
          <w:b/>
          <w:bCs/>
          <w:color w:val="FFFFFF"/>
          <w:sz w:val="26"/>
          <w:szCs w:val="26"/>
        </w:rPr>
        <w:t xml:space="preserve">The AI Policy and Organizational Objectives</w:t>
      </w:r>
    </w:p>
    <w:p>
      <w:pPr>
        <w:spacing w:after="60" w:before="60"/>
      </w:pPr>
      <w:r>
        <w:rPr>
          <w:rFonts w:ascii="Arial" w:cs="Arial" w:eastAsia="Arial" w:hAnsi="Arial"/>
          <w:color w:val="333333"/>
          <w:sz w:val="22"/>
          <w:szCs w:val="22"/>
        </w:rPr>
        <w:t xml:space="preserve">Clause 5 (Leadership) requires top management to establish, approve, and communicate an AI Policy. This is not the same as your IT security policy. The AI Policy must address:</w:t>
      </w:r>
    </w:p>
    <w:p>
      <w:pPr>
        <w:pStyle w:val="ListParagraph"/>
        <w:numPr>
          <w:ilvl w:val="0"/>
          <w:numId w:val="2"/>
        </w:numPr>
        <w:spacing w:after="40" w:before="40"/>
      </w:pPr>
      <w:r>
        <w:rPr>
          <w:rFonts w:ascii="Arial" w:cs="Arial" w:eastAsia="Arial" w:hAnsi="Arial"/>
          <w:color w:val="333333"/>
          <w:sz w:val="22"/>
          <w:szCs w:val="22"/>
        </w:rPr>
        <w:t xml:space="preserve">The organization's intended uses of AI and any prohibited uses.</w:t>
      </w:r>
    </w:p>
    <w:p>
      <w:pPr>
        <w:pStyle w:val="ListParagraph"/>
        <w:numPr>
          <w:ilvl w:val="0"/>
          <w:numId w:val="2"/>
        </w:numPr>
        <w:spacing w:after="40" w:before="40"/>
      </w:pPr>
      <w:r>
        <w:rPr>
          <w:rFonts w:ascii="Arial" w:cs="Arial" w:eastAsia="Arial" w:hAnsi="Arial"/>
          <w:color w:val="333333"/>
          <w:sz w:val="22"/>
          <w:szCs w:val="22"/>
        </w:rPr>
        <w:t xml:space="preserve">Commitment to responsible AI including fairness, transparency, and human oversight.</w:t>
      </w:r>
    </w:p>
    <w:p>
      <w:pPr>
        <w:pStyle w:val="ListParagraph"/>
        <w:numPr>
          <w:ilvl w:val="0"/>
          <w:numId w:val="2"/>
        </w:numPr>
        <w:spacing w:after="40" w:before="40"/>
      </w:pPr>
      <w:r>
        <w:rPr>
          <w:rFonts w:ascii="Arial" w:cs="Arial" w:eastAsia="Arial" w:hAnsi="Arial"/>
          <w:color w:val="333333"/>
          <w:sz w:val="22"/>
          <w:szCs w:val="22"/>
        </w:rPr>
        <w:t xml:space="preserve">Alignment with applicable laws and regulations (EU AI Act, GDPR, sector-specific rules).</w:t>
      </w:r>
    </w:p>
    <w:p>
      <w:pPr>
        <w:pStyle w:val="ListParagraph"/>
        <w:numPr>
          <w:ilvl w:val="0"/>
          <w:numId w:val="2"/>
        </w:numPr>
        <w:spacing w:after="40" w:before="40"/>
      </w:pPr>
      <w:r>
        <w:rPr>
          <w:rFonts w:ascii="Arial" w:cs="Arial" w:eastAsia="Arial" w:hAnsi="Arial"/>
          <w:color w:val="333333"/>
          <w:sz w:val="22"/>
          <w:szCs w:val="22"/>
        </w:rPr>
        <w:t xml:space="preserve">How AI risk management integrates with enterprise risk management (ERM).</w:t>
      </w:r>
    </w:p>
    <w:p>
      <w:pPr>
        <w:pStyle w:val="Heading2"/>
        <w:shd w:fill="2E6DA4" w:val="clear"/>
        <w:spacing w:after="80" w:before="240"/>
        <w:ind w:left="120"/>
      </w:pPr>
      <w:r>
        <w:rPr>
          <w:rFonts w:ascii="Arial" w:cs="Arial" w:eastAsia="Arial" w:hAnsi="Arial"/>
          <w:b/>
          <w:bCs/>
          <w:color w:val="FFFFFF"/>
          <w:sz w:val="26"/>
          <w:szCs w:val="26"/>
        </w:rPr>
        <w:t xml:space="preserve">Annex A Controls — The AI-Specific Control Set</w:t>
      </w:r>
    </w:p>
    <w:p>
      <w:pPr>
        <w:spacing w:after="60" w:before="60"/>
      </w:pPr>
      <w:r>
        <w:rPr>
          <w:rFonts w:ascii="Arial" w:cs="Arial" w:eastAsia="Arial" w:hAnsi="Arial"/>
          <w:color w:val="333333"/>
          <w:sz w:val="22"/>
          <w:szCs w:val="22"/>
        </w:rPr>
        <w:t xml:space="preserve">ISO 42001 includes Annex A, which contains 38 controls across 8 control domains. Unlike ISO 27001 Annex A, these controls are tailored specifically to AI risks — not general information security. Key domains include:</w:t>
      </w:r>
    </w:p>
    <w:p>
      <w:pPr>
        <w:pStyle w:val="ListParagraph"/>
        <w:numPr>
          <w:ilvl w:val="0"/>
          <w:numId w:val="2"/>
        </w:numPr>
        <w:spacing w:after="40" w:before="40"/>
      </w:pPr>
      <w:r>
        <w:rPr>
          <w:rFonts w:ascii="Arial" w:cs="Arial" w:eastAsia="Arial" w:hAnsi="Arial"/>
          <w:color w:val="333333"/>
          <w:sz w:val="22"/>
          <w:szCs w:val="22"/>
        </w:rPr>
        <w:t xml:space="preserve">AI Policies — Defining what AI can and cannot be used for.</w:t>
      </w:r>
    </w:p>
    <w:p>
      <w:pPr>
        <w:pStyle w:val="ListParagraph"/>
        <w:numPr>
          <w:ilvl w:val="0"/>
          <w:numId w:val="2"/>
        </w:numPr>
        <w:spacing w:after="40" w:before="40"/>
      </w:pPr>
      <w:r>
        <w:rPr>
          <w:rFonts w:ascii="Arial" w:cs="Arial" w:eastAsia="Arial" w:hAnsi="Arial"/>
          <w:color w:val="333333"/>
          <w:sz w:val="22"/>
          <w:szCs w:val="22"/>
        </w:rPr>
        <w:t xml:space="preserve">Internal Organization — Roles, responsibilities, accountability, and training for AI governance.</w:t>
      </w:r>
    </w:p>
    <w:p>
      <w:pPr>
        <w:pStyle w:val="ListParagraph"/>
        <w:numPr>
          <w:ilvl w:val="0"/>
          <w:numId w:val="2"/>
        </w:numPr>
        <w:spacing w:after="40" w:before="40"/>
      </w:pPr>
      <w:r>
        <w:rPr>
          <w:rFonts w:ascii="Arial" w:cs="Arial" w:eastAsia="Arial" w:hAnsi="Arial"/>
          <w:color w:val="333333"/>
          <w:sz w:val="22"/>
          <w:szCs w:val="22"/>
        </w:rPr>
        <w:t xml:space="preserve">Resources for AI Systems — Ensuring data, compute, and human resources are adequate and appropriate.</w:t>
      </w:r>
    </w:p>
    <w:p>
      <w:pPr>
        <w:pStyle w:val="ListParagraph"/>
        <w:numPr>
          <w:ilvl w:val="0"/>
          <w:numId w:val="2"/>
        </w:numPr>
        <w:spacing w:after="40" w:before="40"/>
      </w:pPr>
      <w:r>
        <w:rPr>
          <w:rFonts w:ascii="Arial" w:cs="Arial" w:eastAsia="Arial" w:hAnsi="Arial"/>
          <w:color w:val="333333"/>
          <w:sz w:val="22"/>
          <w:szCs w:val="22"/>
        </w:rPr>
        <w:t xml:space="preserve">AI System Impact Assessment — A structured process to evaluate potential harms before deployment.</w:t>
      </w:r>
    </w:p>
    <w:p>
      <w:pPr>
        <w:pStyle w:val="ListParagraph"/>
        <w:numPr>
          <w:ilvl w:val="0"/>
          <w:numId w:val="2"/>
        </w:numPr>
        <w:spacing w:after="40" w:before="40"/>
      </w:pPr>
      <w:r>
        <w:rPr>
          <w:rFonts w:ascii="Arial" w:cs="Arial" w:eastAsia="Arial" w:hAnsi="Arial"/>
          <w:color w:val="333333"/>
          <w:sz w:val="22"/>
          <w:szCs w:val="22"/>
        </w:rPr>
        <w:t xml:space="preserve">AI System Lifecycle — Controls covering design, development, testing, deployment, monitoring, and retirement.</w:t>
      </w:r>
    </w:p>
    <w:p>
      <w:pPr>
        <w:pStyle w:val="ListParagraph"/>
        <w:numPr>
          <w:ilvl w:val="0"/>
          <w:numId w:val="2"/>
        </w:numPr>
        <w:spacing w:after="40" w:before="40"/>
      </w:pPr>
      <w:r>
        <w:rPr>
          <w:rFonts w:ascii="Arial" w:cs="Arial" w:eastAsia="Arial" w:hAnsi="Arial"/>
          <w:color w:val="333333"/>
          <w:sz w:val="22"/>
          <w:szCs w:val="22"/>
        </w:rPr>
        <w:t xml:space="preserve">Third-Party and Supplier Management — Vetting AI vendors, reviewing model cards, and managing AI supply chain risk.</w:t>
      </w:r>
    </w:p>
    <w:p>
      <w:pPr>
        <w:pStyle w:val="ListParagraph"/>
        <w:numPr>
          <w:ilvl w:val="0"/>
          <w:numId w:val="2"/>
        </w:numPr>
        <w:spacing w:after="40" w:before="40"/>
      </w:pPr>
      <w:r>
        <w:rPr>
          <w:rFonts w:ascii="Arial" w:cs="Arial" w:eastAsia="Arial" w:hAnsi="Arial"/>
          <w:color w:val="333333"/>
          <w:sz w:val="22"/>
          <w:szCs w:val="22"/>
        </w:rPr>
        <w:t xml:space="preserve">Responsible Disclosure — Processes for reporting AI-related harms and incidents.</w:t>
      </w:r>
    </w:p>
    <w:p>
      <w:pPr>
        <w:pStyle w:val="Heading2"/>
        <w:shd w:fill="2E6DA4" w:val="clear"/>
        <w:spacing w:after="80" w:before="240"/>
        <w:ind w:left="120"/>
      </w:pPr>
      <w:r>
        <w:rPr>
          <w:rFonts w:ascii="Arial" w:cs="Arial" w:eastAsia="Arial" w:hAnsi="Arial"/>
          <w:b/>
          <w:bCs/>
          <w:color w:val="FFFFFF"/>
          <w:sz w:val="26"/>
          <w:szCs w:val="26"/>
        </w:rPr>
        <w:t xml:space="preserve">Key Controls and Processes</w:t>
      </w:r>
    </w:p>
    <w:p>
      <w:pPr>
        <w:pStyle w:val="Heading3"/>
        <w:pBdr>
          <w:bottom w:val="single" w:color="D6E4F0" w:sz="6"/>
        </w:pBdr>
        <w:spacing w:after="60" w:before="180"/>
      </w:pPr>
      <w:r>
        <w:rPr>
          <w:rFonts w:ascii="Arial" w:cs="Arial" w:eastAsia="Arial" w:hAnsi="Arial"/>
          <w:b/>
          <w:bCs/>
          <w:color w:val="1B3A6B"/>
          <w:sz w:val="24"/>
          <w:szCs w:val="24"/>
        </w:rPr>
        <w:t xml:space="preserve">Documentation and Context (Clauses 4–5)</w:t>
      </w:r>
    </w:p>
    <w:p>
      <w:pPr>
        <w:pStyle w:val="ListParagraph"/>
        <w:numPr>
          <w:ilvl w:val="0"/>
          <w:numId w:val="2"/>
        </w:numPr>
        <w:spacing w:after="40" w:before="40"/>
      </w:pPr>
      <w:r>
        <w:rPr>
          <w:rFonts w:ascii="Arial" w:cs="Arial" w:eastAsia="Arial" w:hAnsi="Arial"/>
          <w:color w:val="333333"/>
          <w:sz w:val="22"/>
          <w:szCs w:val="22"/>
        </w:rPr>
        <w:t xml:space="preserve">Conduct and document a Context of the Organization analysis — understand your internal capabilities and external environment as they relate to AI.</w:t>
      </w:r>
    </w:p>
    <w:p>
      <w:pPr>
        <w:pStyle w:val="ListParagraph"/>
        <w:numPr>
          <w:ilvl w:val="0"/>
          <w:numId w:val="2"/>
        </w:numPr>
        <w:spacing w:after="40" w:before="40"/>
      </w:pPr>
      <w:r>
        <w:rPr>
          <w:rFonts w:ascii="Arial" w:cs="Arial" w:eastAsia="Arial" w:hAnsi="Arial"/>
          <w:color w:val="333333"/>
          <w:sz w:val="22"/>
          <w:szCs w:val="22"/>
        </w:rPr>
        <w:t xml:space="preserve">Identify and document Interested Parties (stakeholders) and their requirements regarding AI systems.</w:t>
      </w:r>
    </w:p>
    <w:p>
      <w:pPr>
        <w:pStyle w:val="ListParagraph"/>
        <w:numPr>
          <w:ilvl w:val="0"/>
          <w:numId w:val="2"/>
        </w:numPr>
        <w:spacing w:after="40" w:before="40"/>
      </w:pPr>
      <w:r>
        <w:rPr>
          <w:rFonts w:ascii="Arial" w:cs="Arial" w:eastAsia="Arial" w:hAnsi="Arial"/>
          <w:color w:val="333333"/>
          <w:sz w:val="22"/>
          <w:szCs w:val="22"/>
        </w:rPr>
        <w:t xml:space="preserve">Issue a formal, top-management-approved AI Policy with defined scope and commitments.</w:t>
      </w:r>
    </w:p>
    <w:p>
      <w:pPr>
        <w:pStyle w:val="ListParagraph"/>
        <w:numPr>
          <w:ilvl w:val="0"/>
          <w:numId w:val="2"/>
        </w:numPr>
        <w:spacing w:after="40" w:before="40"/>
      </w:pPr>
      <w:r>
        <w:rPr>
          <w:rFonts w:ascii="Arial" w:cs="Arial" w:eastAsia="Arial" w:hAnsi="Arial"/>
          <w:color w:val="333333"/>
          <w:sz w:val="22"/>
          <w:szCs w:val="22"/>
        </w:rPr>
        <w:t xml:space="preserve">Establish and document AI Roles and Responsibilities, including who owns each AI system and who has oversight authority.</w:t>
      </w:r>
    </w:p>
    <w:p>
      <w:pPr>
        <w:pStyle w:val="Heading3"/>
        <w:pBdr>
          <w:bottom w:val="single" w:color="D6E4F0" w:sz="6"/>
        </w:pBdr>
        <w:spacing w:after="60" w:before="180"/>
      </w:pPr>
      <w:r>
        <w:rPr>
          <w:rFonts w:ascii="Arial" w:cs="Arial" w:eastAsia="Arial" w:hAnsi="Arial"/>
          <w:b/>
          <w:bCs/>
          <w:color w:val="1B3A6B"/>
          <w:sz w:val="24"/>
          <w:szCs w:val="24"/>
        </w:rPr>
        <w:t xml:space="preserve">Risk and Impact Assessment (Clause 6 + Annex A)</w:t>
      </w:r>
    </w:p>
    <w:p>
      <w:pPr>
        <w:pStyle w:val="ListParagraph"/>
        <w:numPr>
          <w:ilvl w:val="0"/>
          <w:numId w:val="2"/>
        </w:numPr>
        <w:spacing w:after="40" w:before="40"/>
      </w:pPr>
      <w:r>
        <w:rPr>
          <w:rFonts w:ascii="Arial" w:cs="Arial" w:eastAsia="Arial" w:hAnsi="Arial"/>
          <w:color w:val="333333"/>
          <w:sz w:val="22"/>
          <w:szCs w:val="22"/>
        </w:rPr>
        <w:t xml:space="preserve">Conduct an AI Risk Assessment for each AI system before deployment, using a repeatable methodology.</w:t>
      </w:r>
    </w:p>
    <w:p>
      <w:pPr>
        <w:pStyle w:val="ListParagraph"/>
        <w:numPr>
          <w:ilvl w:val="0"/>
          <w:numId w:val="2"/>
        </w:numPr>
        <w:spacing w:after="40" w:before="40"/>
      </w:pPr>
      <w:r>
        <w:rPr>
          <w:rFonts w:ascii="Arial" w:cs="Arial" w:eastAsia="Arial" w:hAnsi="Arial"/>
          <w:color w:val="333333"/>
          <w:sz w:val="22"/>
          <w:szCs w:val="22"/>
        </w:rPr>
        <w:t xml:space="preserve">Conduct an AI System Impact Assessment — evaluate potential negative impacts on individuals, communities, and society.</w:t>
      </w:r>
    </w:p>
    <w:p>
      <w:pPr>
        <w:pStyle w:val="ListParagraph"/>
        <w:numPr>
          <w:ilvl w:val="0"/>
          <w:numId w:val="2"/>
        </w:numPr>
        <w:spacing w:after="40" w:before="40"/>
      </w:pPr>
      <w:r>
        <w:rPr>
          <w:rFonts w:ascii="Arial" w:cs="Arial" w:eastAsia="Arial" w:hAnsi="Arial"/>
          <w:color w:val="333333"/>
          <w:sz w:val="22"/>
          <w:szCs w:val="22"/>
        </w:rPr>
        <w:t xml:space="preserve">Build and maintain a Statement of Applicability (SoA) for Annex A controls, documenting which controls apply, which are excluded, and the justification.</w:t>
      </w:r>
    </w:p>
    <w:p>
      <w:pPr>
        <w:pStyle w:val="Heading3"/>
        <w:pBdr>
          <w:bottom w:val="single" w:color="D6E4F0" w:sz="6"/>
        </w:pBdr>
        <w:spacing w:after="60" w:before="180"/>
      </w:pPr>
      <w:r>
        <w:rPr>
          <w:rFonts w:ascii="Arial" w:cs="Arial" w:eastAsia="Arial" w:hAnsi="Arial"/>
          <w:b/>
          <w:bCs/>
          <w:color w:val="1B3A6B"/>
          <w:sz w:val="24"/>
          <w:szCs w:val="24"/>
        </w:rPr>
        <w:t xml:space="preserve">Operational Controls (Clause 8)</w:t>
      </w:r>
    </w:p>
    <w:p>
      <w:pPr>
        <w:pStyle w:val="ListParagraph"/>
        <w:numPr>
          <w:ilvl w:val="0"/>
          <w:numId w:val="2"/>
        </w:numPr>
        <w:spacing w:after="40" w:before="40"/>
      </w:pPr>
      <w:r>
        <w:rPr>
          <w:rFonts w:ascii="Arial" w:cs="Arial" w:eastAsia="Arial" w:hAnsi="Arial"/>
          <w:color w:val="333333"/>
          <w:sz w:val="22"/>
          <w:szCs w:val="22"/>
        </w:rPr>
        <w:t xml:space="preserve">Implement an AI System Lifecycle process with defined stage gates — no system moves to production without documented approval.</w:t>
      </w:r>
    </w:p>
    <w:p>
      <w:pPr>
        <w:pStyle w:val="ListParagraph"/>
        <w:numPr>
          <w:ilvl w:val="0"/>
          <w:numId w:val="2"/>
        </w:numPr>
        <w:spacing w:after="40" w:before="40"/>
      </w:pPr>
      <w:r>
        <w:rPr>
          <w:rFonts w:ascii="Arial" w:cs="Arial" w:eastAsia="Arial" w:hAnsi="Arial"/>
          <w:color w:val="333333"/>
          <w:sz w:val="22"/>
          <w:szCs w:val="22"/>
        </w:rPr>
        <w:t xml:space="preserve">Maintain data governance documentation — data sourcing, data quality controls, data bias assessment, and consent records.</w:t>
      </w:r>
    </w:p>
    <w:p>
      <w:pPr>
        <w:pStyle w:val="ListParagraph"/>
        <w:numPr>
          <w:ilvl w:val="0"/>
          <w:numId w:val="2"/>
        </w:numPr>
        <w:spacing w:after="40" w:before="40"/>
      </w:pPr>
      <w:r>
        <w:rPr>
          <w:rFonts w:ascii="Arial" w:cs="Arial" w:eastAsia="Arial" w:hAnsi="Arial"/>
          <w:color w:val="333333"/>
          <w:sz w:val="22"/>
          <w:szCs w:val="22"/>
        </w:rPr>
        <w:t xml:space="preserve">Conduct supplier due diligence for all AI vendors and third-party AI components.</w:t>
      </w:r>
    </w:p>
    <w:p>
      <w:pPr>
        <w:pStyle w:val="ListParagraph"/>
        <w:numPr>
          <w:ilvl w:val="0"/>
          <w:numId w:val="2"/>
        </w:numPr>
        <w:spacing w:after="40" w:before="40"/>
      </w:pPr>
      <w:r>
        <w:rPr>
          <w:rFonts w:ascii="Arial" w:cs="Arial" w:eastAsia="Arial" w:hAnsi="Arial"/>
          <w:color w:val="333333"/>
          <w:sz w:val="22"/>
          <w:szCs w:val="22"/>
        </w:rPr>
        <w:t xml:space="preserve">Maintain Model Documentation for each AI system (equivalent to a model card) — purpose, training data, known limitations, fairness metrics.</w:t>
      </w:r>
    </w:p>
    <w:p>
      <w:pPr>
        <w:pStyle w:val="Heading3"/>
        <w:pBdr>
          <w:bottom w:val="single" w:color="D6E4F0" w:sz="6"/>
        </w:pBdr>
        <w:spacing w:after="60" w:before="180"/>
      </w:pPr>
      <w:r>
        <w:rPr>
          <w:rFonts w:ascii="Arial" w:cs="Arial" w:eastAsia="Arial" w:hAnsi="Arial"/>
          <w:b/>
          <w:bCs/>
          <w:color w:val="1B3A6B"/>
          <w:sz w:val="24"/>
          <w:szCs w:val="24"/>
        </w:rPr>
        <w:t xml:space="preserve">Audit and Review (Clause 9)</w:t>
      </w:r>
    </w:p>
    <w:p>
      <w:pPr>
        <w:pStyle w:val="ListParagraph"/>
        <w:numPr>
          <w:ilvl w:val="0"/>
          <w:numId w:val="2"/>
        </w:numPr>
        <w:spacing w:after="40" w:before="40"/>
      </w:pPr>
      <w:r>
        <w:rPr>
          <w:rFonts w:ascii="Arial" w:cs="Arial" w:eastAsia="Arial" w:hAnsi="Arial"/>
          <w:color w:val="333333"/>
          <w:sz w:val="22"/>
          <w:szCs w:val="22"/>
        </w:rPr>
        <w:t xml:space="preserve">Conduct Internal Audits of the AIMS at planned intervals (typically annually at minimum).</w:t>
      </w:r>
    </w:p>
    <w:p>
      <w:pPr>
        <w:pStyle w:val="ListParagraph"/>
        <w:numPr>
          <w:ilvl w:val="0"/>
          <w:numId w:val="2"/>
        </w:numPr>
        <w:spacing w:after="40" w:before="40"/>
      </w:pPr>
      <w:r>
        <w:rPr>
          <w:rFonts w:ascii="Arial" w:cs="Arial" w:eastAsia="Arial" w:hAnsi="Arial"/>
          <w:color w:val="333333"/>
          <w:sz w:val="22"/>
          <w:szCs w:val="22"/>
        </w:rPr>
        <w:t xml:space="preserve">Hold a Management Review at least annually — top management must review AIMS performance, audit results, and improvement actions.</w:t>
      </w:r>
    </w:p>
    <w:p>
      <w:pPr>
        <w:pStyle w:val="ListParagraph"/>
        <w:numPr>
          <w:ilvl w:val="0"/>
          <w:numId w:val="2"/>
        </w:numPr>
        <w:spacing w:after="40" w:before="40"/>
      </w:pPr>
      <w:r>
        <w:rPr>
          <w:rFonts w:ascii="Arial" w:cs="Arial" w:eastAsia="Arial" w:hAnsi="Arial"/>
          <w:color w:val="333333"/>
          <w:sz w:val="22"/>
          <w:szCs w:val="22"/>
        </w:rPr>
        <w:t xml:space="preserve">Track and report AI-related KPIs to management.</w:t>
      </w:r>
    </w:p>
    <w:p>
      <w:pPr>
        <w:pStyle w:val="Heading2"/>
        <w:shd w:fill="2E6DA4" w:val="clear"/>
        <w:spacing w:after="80" w:before="240"/>
        <w:ind w:left="120"/>
      </w:pPr>
      <w:r>
        <w:rPr>
          <w:rFonts w:ascii="Arial" w:cs="Arial" w:eastAsia="Arial" w:hAnsi="Arial"/>
          <w:b/>
          <w:bCs/>
          <w:color w:val="FFFFFF"/>
          <w:sz w:val="26"/>
          <w:szCs w:val="26"/>
        </w:rPr>
        <w:t xml:space="preserve">What Auditors Look For</w:t>
      </w:r>
    </w:p>
    <w:tbl>
      <w:tblPr>
        <w:tblW w:type="dxa" w:w="9360"/>
        <w:tblBorders>
          <w:top w:val="single" w:color="C8960C" w:sz="8"/>
          <w:left w:val="single" w:color="C8960C" w:sz="8"/>
          <w:bottom w:val="single" w:color="C8960C" w:sz="8"/>
          <w:right w:val="single" w:color="C8960C" w:sz="8"/>
          <w:insideH w:val="single" w:color="auto" w:sz="4"/>
          <w:insideV w:val="single" w:color="auto" w:sz="4"/>
        </w:tblBorders>
      </w:tblPr>
      <w:tblGrid>
        <w:gridCol w:w="200"/>
        <w:gridCol w:w="9160"/>
      </w:tblGrid>
      <w:tr>
        <w:tc>
          <w:tcPr>
            <w:tcW w:type="dxa" w:w="200"/>
            <w:tcBorders>
              <w:top w:val="nil"/>
              <w:left w:val="nil"/>
              <w:bottom w:val="nil"/>
              <w:right w:val="nil"/>
            </w:tcBorders>
            <w:shd w:fill="C8960C"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D6E4F0" w:val="clear"/>
            <w:tcMar>
              <w:top w:type="dxa" w:w="80"/>
              <w:left w:type="dxa" w:w="160"/>
              <w:bottom w:type="dxa" w:w="80"/>
              <w:right w:type="dxa" w:w="120"/>
            </w:tcMar>
          </w:tcPr>
          <w:p>
            <w:pPr>
              <w:spacing w:after="0" w:before="0"/>
            </w:pPr>
            <w:r>
              <w:rPr>
                <w:rFonts w:ascii="Arial" w:cs="Arial" w:eastAsia="Arial" w:hAnsi="Arial"/>
                <w:b/>
                <w:bCs/>
                <w:color w:val="1B3A6B"/>
                <w:sz w:val="22"/>
                <w:szCs w:val="22"/>
              </w:rPr>
              <w:t xml:space="preserve">Audit Focus: </w:t>
            </w:r>
            <w:r>
              <w:rPr>
                <w:rFonts w:ascii="Arial" w:cs="Arial" w:eastAsia="Arial" w:hAnsi="Arial"/>
                <w:color w:val="333333"/>
                <w:sz w:val="22"/>
                <w:szCs w:val="22"/>
              </w:rPr>
              <w:t xml:space="preserve">ISO 42001 auditors are certification auditors — they verify your management system is implemented, not just documented. They will interview staff, sample records, and trace processes end-to-end.</w:t>
            </w:r>
          </w:p>
        </w:tc>
      </w:tr>
    </w:tbl>
    <w:p>
      <w:pPr>
        <w:pStyle w:val="ListParagraph"/>
        <w:numPr>
          <w:ilvl w:val="0"/>
          <w:numId w:val="2"/>
        </w:numPr>
        <w:spacing w:after="40" w:before="40"/>
      </w:pPr>
      <w:r>
        <w:rPr>
          <w:rFonts w:ascii="Arial" w:cs="Arial" w:eastAsia="Arial" w:hAnsi="Arial"/>
          <w:color w:val="333333"/>
          <w:sz w:val="22"/>
          <w:szCs w:val="22"/>
        </w:rPr>
        <w:t xml:space="preserve">AI Policy — signed, dated, communicated to staff, and reviewed at least annually.</w:t>
      </w:r>
    </w:p>
    <w:p>
      <w:pPr>
        <w:pStyle w:val="ListParagraph"/>
        <w:numPr>
          <w:ilvl w:val="0"/>
          <w:numId w:val="2"/>
        </w:numPr>
        <w:spacing w:after="40" w:before="40"/>
      </w:pPr>
      <w:r>
        <w:rPr>
          <w:rFonts w:ascii="Arial" w:cs="Arial" w:eastAsia="Arial" w:hAnsi="Arial"/>
          <w:color w:val="333333"/>
          <w:sz w:val="22"/>
          <w:szCs w:val="22"/>
        </w:rPr>
        <w:t xml:space="preserve">Documented scope of the AIMS — what is in, what is out, and why.</w:t>
      </w:r>
    </w:p>
    <w:p>
      <w:pPr>
        <w:pStyle w:val="ListParagraph"/>
        <w:numPr>
          <w:ilvl w:val="0"/>
          <w:numId w:val="2"/>
        </w:numPr>
        <w:spacing w:after="40" w:before="40"/>
      </w:pPr>
      <w:r>
        <w:rPr>
          <w:rFonts w:ascii="Arial" w:cs="Arial" w:eastAsia="Arial" w:hAnsi="Arial"/>
          <w:color w:val="333333"/>
          <w:sz w:val="22"/>
          <w:szCs w:val="22"/>
        </w:rPr>
        <w:t xml:space="preserve">Risk Assessment records for AI systems with evidence of treatment decisions.</w:t>
      </w:r>
    </w:p>
    <w:p>
      <w:pPr>
        <w:pStyle w:val="ListParagraph"/>
        <w:numPr>
          <w:ilvl w:val="0"/>
          <w:numId w:val="2"/>
        </w:numPr>
        <w:spacing w:after="40" w:before="40"/>
      </w:pPr>
      <w:r>
        <w:rPr>
          <w:rFonts w:ascii="Arial" w:cs="Arial" w:eastAsia="Arial" w:hAnsi="Arial"/>
          <w:color w:val="333333"/>
          <w:sz w:val="22"/>
          <w:szCs w:val="22"/>
        </w:rPr>
        <w:t xml:space="preserve">Statement of Applicability (SoA) — up to date and reflecting actual controls in place.</w:t>
      </w:r>
    </w:p>
    <w:p>
      <w:pPr>
        <w:pStyle w:val="ListParagraph"/>
        <w:numPr>
          <w:ilvl w:val="0"/>
          <w:numId w:val="2"/>
        </w:numPr>
        <w:spacing w:after="40" w:before="40"/>
      </w:pPr>
      <w:r>
        <w:rPr>
          <w:rFonts w:ascii="Arial" w:cs="Arial" w:eastAsia="Arial" w:hAnsi="Arial"/>
          <w:color w:val="333333"/>
          <w:sz w:val="22"/>
          <w:szCs w:val="22"/>
        </w:rPr>
        <w:t xml:space="preserve">AI System lifecycle records — evidence that stage gates were followed.</w:t>
      </w:r>
    </w:p>
    <w:p>
      <w:pPr>
        <w:pStyle w:val="ListParagraph"/>
        <w:numPr>
          <w:ilvl w:val="0"/>
          <w:numId w:val="2"/>
        </w:numPr>
        <w:spacing w:after="40" w:before="40"/>
      </w:pPr>
      <w:r>
        <w:rPr>
          <w:rFonts w:ascii="Arial" w:cs="Arial" w:eastAsia="Arial" w:hAnsi="Arial"/>
          <w:color w:val="333333"/>
          <w:sz w:val="22"/>
          <w:szCs w:val="22"/>
        </w:rPr>
        <w:t xml:space="preserve">Internal audit reports and Management Review minutes from the past 12 months.</w:t>
      </w:r>
    </w:p>
    <w:p>
      <w:pPr>
        <w:pStyle w:val="ListParagraph"/>
        <w:numPr>
          <w:ilvl w:val="0"/>
          <w:numId w:val="2"/>
        </w:numPr>
        <w:spacing w:after="40" w:before="40"/>
      </w:pPr>
      <w:r>
        <w:rPr>
          <w:rFonts w:ascii="Arial" w:cs="Arial" w:eastAsia="Arial" w:hAnsi="Arial"/>
          <w:color w:val="333333"/>
          <w:sz w:val="22"/>
          <w:szCs w:val="22"/>
        </w:rPr>
        <w:t xml:space="preserve">Corrective Action Records (CARs) for any nonconformities, showing root cause analysis and closure.</w:t>
      </w:r>
    </w:p>
    <w:p>
      <w:pPr>
        <w:pStyle w:val="ListParagraph"/>
        <w:numPr>
          <w:ilvl w:val="0"/>
          <w:numId w:val="2"/>
        </w:numPr>
        <w:spacing w:after="40" w:before="40"/>
      </w:pPr>
      <w:r>
        <w:rPr>
          <w:rFonts w:ascii="Arial" w:cs="Arial" w:eastAsia="Arial" w:hAnsi="Arial"/>
          <w:color w:val="333333"/>
          <w:sz w:val="22"/>
          <w:szCs w:val="22"/>
        </w:rPr>
        <w:t xml:space="preserve">Training records showing staff with AI responsibilities have been trained.</w:t>
      </w:r>
    </w:p>
    <w:p>
      <w:pPr>
        <w:pBdr>
          <w:bottom w:val="single" w:color="D6E4F0" w:sz="6"/>
        </w:pBdr>
        <w:spacing w:after="120" w:before="120"/>
      </w:pPr>
      <w:r>
        <w:rPr>
          <w:rFonts w:ascii="Arial" w:cs="Arial" w:eastAsia="Arial" w:hAnsi="Arial"/>
          <w:color w:val="333333"/>
          <w:sz w:val="22"/>
          <w:szCs w:val="22"/>
        </w:rPr>
        <w:t xml:space="preserve"/>
      </w:r>
    </w:p>
    <w:p>
      <w:r>
        <w:br/>
      </w:r>
    </w:p>
    <w:p>
      <w:pPr>
        <w:pStyle w:val="Heading1"/>
        <w:pBdr>
          <w:bottom w:val="single" w:color="C8960C" w:sz="8"/>
        </w:pBdr>
        <w:shd w:fill="1B3A6B" w:val="clear"/>
        <w:spacing w:after="120" w:before="360"/>
        <w:ind w:left="180" w:right="180"/>
      </w:pPr>
      <w:r>
        <w:rPr>
          <w:rFonts w:ascii="Arial" w:cs="Arial" w:eastAsia="Arial" w:hAnsi="Arial"/>
          <w:b/>
          <w:bCs/>
          <w:color w:val="FFFFFF"/>
          <w:sz w:val="32"/>
          <w:szCs w:val="32"/>
        </w:rPr>
        <w:t xml:space="preserve">Framework 3: ISO/IEC 27001:2022 — Information Security Management System</w:t>
      </w:r>
    </w:p>
    <w:p>
      <w:pPr>
        <w:pStyle w:val="Heading2"/>
        <w:shd w:fill="2E6DA4" w:val="clear"/>
        <w:spacing w:after="80" w:before="240"/>
        <w:ind w:left="120"/>
      </w:pPr>
      <w:r>
        <w:rPr>
          <w:rFonts w:ascii="Arial" w:cs="Arial" w:eastAsia="Arial" w:hAnsi="Arial"/>
          <w:b/>
          <w:bCs/>
          <w:color w:val="FFFFFF"/>
          <w:sz w:val="26"/>
          <w:szCs w:val="26"/>
        </w:rPr>
        <w:t xml:space="preserve">What It Is and Why It Matters</w:t>
      </w:r>
    </w:p>
    <w:p>
      <w:pPr>
        <w:spacing w:after="60" w:before="60"/>
      </w:pPr>
      <w:r>
        <w:rPr>
          <w:rFonts w:ascii="Arial" w:cs="Arial" w:eastAsia="Arial" w:hAnsi="Arial"/>
          <w:color w:val="333333"/>
          <w:sz w:val="22"/>
          <w:szCs w:val="22"/>
        </w:rPr>
        <w:t xml:space="preserve">ISO/IEC 27001 is the international standard for an Information Security Management System (ISMS). Published originally in 2005 and substantially revised in 2022, it is the most widely adopted information security certification standard in the world, with over 70,000 certified organizations globally.</w:t>
      </w:r>
    </w:p>
    <w:p>
      <w:pPr>
        <w:spacing w:after="60" w:before="60"/>
      </w:pPr>
      <w:r>
        <w:rPr>
          <w:rFonts w:ascii="Arial" w:cs="Arial" w:eastAsia="Arial" w:hAnsi="Arial"/>
          <w:color w:val="333333"/>
          <w:sz w:val="22"/>
          <w:szCs w:val="22"/>
        </w:rPr>
        <w:t xml:space="preserve">In the context of AI governance, ISO 27001 is foundational — not optional. Every AI system relies on data, compute infrastructure, and software development processes that must be secured under ISO 27001 controls. If your AI system is breached, manipulated, or its training data is poisoned, those are ISO 27001 incidents. If your AI vendor has a security failure, that is your supply chain risk under ISO 27001 Annex A.</w:t>
      </w:r>
    </w:p>
    <w:tbl>
      <w:tblPr>
        <w:tblW w:type="dxa" w:w="9360"/>
        <w:tblBorders>
          <w:top w:val="single" w:color="C8960C" w:sz="8"/>
          <w:left w:val="single" w:color="C8960C" w:sz="8"/>
          <w:bottom w:val="single" w:color="C8960C" w:sz="8"/>
          <w:right w:val="single" w:color="C8960C" w:sz="8"/>
          <w:insideH w:val="single" w:color="auto" w:sz="4"/>
          <w:insideV w:val="single" w:color="auto" w:sz="4"/>
        </w:tblBorders>
      </w:tblPr>
      <w:tblGrid>
        <w:gridCol w:w="200"/>
        <w:gridCol w:w="9160"/>
      </w:tblGrid>
      <w:tr>
        <w:tc>
          <w:tcPr>
            <w:tcW w:type="dxa" w:w="200"/>
            <w:tcBorders>
              <w:top w:val="nil"/>
              <w:left w:val="nil"/>
              <w:bottom w:val="nil"/>
              <w:right w:val="nil"/>
            </w:tcBorders>
            <w:shd w:fill="C8960C"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D6E4F0" w:val="clear"/>
            <w:tcMar>
              <w:top w:type="dxa" w:w="80"/>
              <w:left w:type="dxa" w:w="160"/>
              <w:bottom w:type="dxa" w:w="80"/>
              <w:right w:type="dxa" w:w="120"/>
            </w:tcMar>
          </w:tcPr>
          <w:p>
            <w:pPr>
              <w:spacing w:after="0" w:before="0"/>
            </w:pPr>
            <w:r>
              <w:rPr>
                <w:rFonts w:ascii="Arial" w:cs="Arial" w:eastAsia="Arial" w:hAnsi="Arial"/>
                <w:b/>
                <w:bCs/>
                <w:color w:val="1B3A6B"/>
                <w:sz w:val="22"/>
                <w:szCs w:val="22"/>
              </w:rPr>
              <w:t xml:space="preserve">Why Both ISO 27001 and ISO 42001?: </w:t>
            </w:r>
            <w:r>
              <w:rPr>
                <w:rFonts w:ascii="Arial" w:cs="Arial" w:eastAsia="Arial" w:hAnsi="Arial"/>
                <w:color w:val="333333"/>
                <w:sz w:val="22"/>
                <w:szCs w:val="22"/>
              </w:rPr>
              <w:t xml:space="preserve">ISO 27001 secures your information assets. ISO 42001 governs how you design and deploy AI responsibly. You need both. A secure AI system can still be biased, opaque, or harmful. A fair AI system can still be breached or manipulated. The two standards are designed to work side by side.</w:t>
            </w:r>
          </w:p>
        </w:tc>
      </w:tr>
    </w:tbl>
    <w:p>
      <w:pPr>
        <w:pStyle w:val="Heading2"/>
        <w:shd w:fill="2E6DA4" w:val="clear"/>
        <w:spacing w:after="80" w:before="240"/>
        <w:ind w:left="120"/>
      </w:pPr>
      <w:r>
        <w:rPr>
          <w:rFonts w:ascii="Arial" w:cs="Arial" w:eastAsia="Arial" w:hAnsi="Arial"/>
          <w:b/>
          <w:bCs/>
          <w:color w:val="FFFFFF"/>
          <w:sz w:val="26"/>
          <w:szCs w:val="26"/>
        </w:rPr>
        <w:t xml:space="preserve">The Management System Structure</w:t>
      </w:r>
    </w:p>
    <w:p>
      <w:pPr>
        <w:spacing w:after="60" w:before="60"/>
      </w:pPr>
      <w:r>
        <w:rPr>
          <w:rFonts w:ascii="Arial" w:cs="Arial" w:eastAsia="Arial" w:hAnsi="Arial"/>
          <w:color w:val="333333"/>
          <w:sz w:val="22"/>
          <w:szCs w:val="22"/>
        </w:rPr>
        <w:t xml:space="preserve">ISO 27001 uses the same PDCA cycle and High-Level Structure (HLS/Annex SL) as ISO 42001. If you implement both, significant portions of your documentation, internal audit program, and management review process can be integrated.</w:t>
      </w:r>
    </w:p>
    <w:p>
      <w:pPr>
        <w:spacing w:after="60" w:before="60"/>
      </w:pPr>
      <w:r>
        <w:rPr>
          <w:rFonts w:ascii="Arial" w:cs="Arial" w:eastAsia="Arial" w:hAnsi="Arial"/>
          <w:color w:val="333333"/>
          <w:sz w:val="22"/>
          <w:szCs w:val="22"/>
        </w:rPr>
        <w:t xml:space="preserve">The 2022 revision reorganized Annex A from 114 controls in 14 domains to 93 controls in 4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Annex A Theme</w:t>
            </w:r>
          </w:p>
        </w:tc>
        <w:tc>
          <w:tcPr>
            <w:tcW w:type="dxa" w:w="1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Controls</w:t>
            </w:r>
          </w:p>
        </w:tc>
        <w:tc>
          <w:tcPr>
            <w:tcW w:type="dxa" w:w="5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Covers</w:t>
            </w:r>
          </w:p>
        </w:tc>
      </w:tr>
      <w:tr>
        <w:tc>
          <w:tcPr>
            <w:tcW w:type="dxa" w:w="2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Organizational Controls</w:t>
            </w:r>
          </w:p>
        </w:tc>
        <w:tc>
          <w:tcPr>
            <w:tcW w:type="dxa" w:w="12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37</w:t>
            </w:r>
          </w:p>
        </w:tc>
        <w:tc>
          <w:tcPr>
            <w:tcW w:type="dxa" w:w="57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Policies, risk management, supplier relationships, incident management, business continuity, legal compliance.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People Controls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8</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Screening, terms of employment, awareness and training, disciplinary process, remote work, confidentiality.</w:t>
            </w:r>
          </w:p>
        </w:tc>
      </w:tr>
      <w:tr>
        <w:tc>
          <w:tcPr>
            <w:tcW w:type="dxa" w:w="2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Physical Controls</w:t>
            </w:r>
          </w:p>
        </w:tc>
        <w:tc>
          <w:tcPr>
            <w:tcW w:type="dxa" w:w="12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14</w:t>
            </w:r>
          </w:p>
        </w:tc>
        <w:tc>
          <w:tcPr>
            <w:tcW w:type="dxa" w:w="57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Physical perimeters, clear desk/clear screen, physical media, equipment security, secure areas.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Technological Controls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34</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Access control, cryptography, secure development, vulnerability management, logging, network security, data masking, DLP, monitoring.</w:t>
            </w:r>
          </w:p>
        </w:tc>
      </w:tr>
    </w:tbl>
    <w:p>
      <w:pPr>
        <w:spacing w:after="0" w:before="240"/>
      </w:pPr>
      <w:r>
        <w:rPr>
          <w:rFonts w:ascii="Arial" w:cs="Arial" w:eastAsia="Arial" w:hAnsi="Arial"/>
          <w:color w:val="333333"/>
          <w:sz w:val="22"/>
          <w:szCs w:val="22"/>
        </w:rPr>
        <w:t xml:space="preserve"/>
      </w:r>
    </w:p>
    <w:p>
      <w:pPr>
        <w:pStyle w:val="Heading2"/>
        <w:shd w:fill="2E6DA4" w:val="clear"/>
        <w:spacing w:after="80" w:before="240"/>
        <w:ind w:left="120"/>
      </w:pPr>
      <w:r>
        <w:rPr>
          <w:rFonts w:ascii="Arial" w:cs="Arial" w:eastAsia="Arial" w:hAnsi="Arial"/>
          <w:b/>
          <w:bCs/>
          <w:color w:val="FFFFFF"/>
          <w:sz w:val="26"/>
          <w:szCs w:val="26"/>
        </w:rPr>
        <w:t xml:space="preserve">AI-Relevant Control Areas in ISO 27001</w:t>
      </w:r>
    </w:p>
    <w:p>
      <w:pPr>
        <w:spacing w:after="60" w:before="60"/>
      </w:pPr>
      <w:r>
        <w:rPr>
          <w:rFonts w:ascii="Arial" w:cs="Arial" w:eastAsia="Arial" w:hAnsi="Arial"/>
          <w:color w:val="333333"/>
          <w:sz w:val="22"/>
          <w:szCs w:val="22"/>
        </w:rPr>
        <w:t xml:space="preserve">While ISO 27001 covers the full spectrum of information security, the following controls are especially critical when AI systems are in scope:</w:t>
      </w:r>
    </w:p>
    <w:p>
      <w:pPr>
        <w:pStyle w:val="ListParagraph"/>
        <w:numPr>
          <w:ilvl w:val="0"/>
          <w:numId w:val="2"/>
        </w:numPr>
        <w:spacing w:after="40" w:before="40"/>
      </w:pPr>
      <w:r>
        <w:rPr>
          <w:rFonts w:ascii="Arial" w:cs="Arial" w:eastAsia="Arial" w:hAnsi="Arial"/>
          <w:color w:val="333333"/>
          <w:sz w:val="22"/>
          <w:szCs w:val="22"/>
        </w:rPr>
        <w:t xml:space="preserve">A.5.23 — Information Security for Use of Cloud Services: Most AI systems rely on cloud infrastructure. This control requires formal policies for cloud security, covering AI platforms like Azure OpenAI, AWS Bedrock, and Google Vertex AI.</w:t>
      </w:r>
    </w:p>
    <w:p>
      <w:pPr>
        <w:pStyle w:val="ListParagraph"/>
        <w:numPr>
          <w:ilvl w:val="0"/>
          <w:numId w:val="2"/>
        </w:numPr>
        <w:spacing w:after="40" w:before="40"/>
      </w:pPr>
      <w:r>
        <w:rPr>
          <w:rFonts w:ascii="Arial" w:cs="Arial" w:eastAsia="Arial" w:hAnsi="Arial"/>
          <w:color w:val="333333"/>
          <w:sz w:val="22"/>
          <w:szCs w:val="22"/>
        </w:rPr>
        <w:t xml:space="preserve">A.5.30 — ICT Readiness for Business Continuity: AI systems used in critical operations must have continuity controls — model failure is a business disruption event.</w:t>
      </w:r>
    </w:p>
    <w:p>
      <w:pPr>
        <w:pStyle w:val="ListParagraph"/>
        <w:numPr>
          <w:ilvl w:val="0"/>
          <w:numId w:val="2"/>
        </w:numPr>
        <w:spacing w:after="40" w:before="40"/>
      </w:pPr>
      <w:r>
        <w:rPr>
          <w:rFonts w:ascii="Arial" w:cs="Arial" w:eastAsia="Arial" w:hAnsi="Arial"/>
          <w:color w:val="333333"/>
          <w:sz w:val="22"/>
          <w:szCs w:val="22"/>
        </w:rPr>
        <w:t xml:space="preserve">A.8.25 — Secure Development Lifecycle: AI model development is a software development process and must follow secure development practices, including code review, dependency management, and environment separation.</w:t>
      </w:r>
    </w:p>
    <w:p>
      <w:pPr>
        <w:pStyle w:val="ListParagraph"/>
        <w:numPr>
          <w:ilvl w:val="0"/>
          <w:numId w:val="2"/>
        </w:numPr>
        <w:spacing w:after="40" w:before="40"/>
      </w:pPr>
      <w:r>
        <w:rPr>
          <w:rFonts w:ascii="Arial" w:cs="Arial" w:eastAsia="Arial" w:hAnsi="Arial"/>
          <w:color w:val="333333"/>
          <w:sz w:val="22"/>
          <w:szCs w:val="22"/>
        </w:rPr>
        <w:t xml:space="preserve">A.8.8 — Management of Technical Vulnerabilities: AI models and their serving infrastructure have vulnerabilities — prompt injection, model inversion, and adversarial inputs. Patch and vulnerability management must cover AI components.</w:t>
      </w:r>
    </w:p>
    <w:p>
      <w:pPr>
        <w:pStyle w:val="ListParagraph"/>
        <w:numPr>
          <w:ilvl w:val="0"/>
          <w:numId w:val="2"/>
        </w:numPr>
        <w:spacing w:after="40" w:before="40"/>
      </w:pPr>
      <w:r>
        <w:rPr>
          <w:rFonts w:ascii="Arial" w:cs="Arial" w:eastAsia="Arial" w:hAnsi="Arial"/>
          <w:color w:val="333333"/>
          <w:sz w:val="22"/>
          <w:szCs w:val="22"/>
        </w:rPr>
        <w:t xml:space="preserve">A.8.10 — Information Deletion: Training data that includes personal data must be deletable. This directly supports GDPR's right to erasure.</w:t>
      </w:r>
    </w:p>
    <w:p>
      <w:pPr>
        <w:pStyle w:val="ListParagraph"/>
        <w:numPr>
          <w:ilvl w:val="0"/>
          <w:numId w:val="2"/>
        </w:numPr>
        <w:spacing w:after="40" w:before="40"/>
      </w:pPr>
      <w:r>
        <w:rPr>
          <w:rFonts w:ascii="Arial" w:cs="Arial" w:eastAsia="Arial" w:hAnsi="Arial"/>
          <w:color w:val="333333"/>
          <w:sz w:val="22"/>
          <w:szCs w:val="22"/>
        </w:rPr>
        <w:t xml:space="preserve">A.8.11 — Data Masking: Personal data used in AI training and testing must be masked or anonymized where possible.</w:t>
      </w:r>
    </w:p>
    <w:p>
      <w:pPr>
        <w:pStyle w:val="ListParagraph"/>
        <w:numPr>
          <w:ilvl w:val="0"/>
          <w:numId w:val="2"/>
        </w:numPr>
        <w:spacing w:after="40" w:before="40"/>
      </w:pPr>
      <w:r>
        <w:rPr>
          <w:rFonts w:ascii="Arial" w:cs="Arial" w:eastAsia="Arial" w:hAnsi="Arial"/>
          <w:color w:val="333333"/>
          <w:sz w:val="22"/>
          <w:szCs w:val="22"/>
        </w:rPr>
        <w:t xml:space="preserve">A.5.19–5.22 — Supplier Security: AI vendors and third-party model providers must be assessed and contracted under your supplier security framework.</w:t>
      </w:r>
    </w:p>
    <w:p>
      <w:pPr>
        <w:pStyle w:val="Heading2"/>
        <w:shd w:fill="2E6DA4" w:val="clear"/>
        <w:spacing w:after="80" w:before="240"/>
        <w:ind w:left="120"/>
      </w:pPr>
      <w:r>
        <w:rPr>
          <w:rFonts w:ascii="Arial" w:cs="Arial" w:eastAsia="Arial" w:hAnsi="Arial"/>
          <w:b/>
          <w:bCs/>
          <w:color w:val="FFFFFF"/>
          <w:sz w:val="26"/>
          <w:szCs w:val="26"/>
        </w:rPr>
        <w:t xml:space="preserve">Key Controls and Processes</w:t>
      </w:r>
    </w:p>
    <w:p>
      <w:pPr>
        <w:pStyle w:val="Heading3"/>
        <w:pBdr>
          <w:bottom w:val="single" w:color="D6E4F0" w:sz="6"/>
        </w:pBdr>
        <w:spacing w:after="60" w:before="180"/>
      </w:pPr>
      <w:r>
        <w:rPr>
          <w:rFonts w:ascii="Arial" w:cs="Arial" w:eastAsia="Arial" w:hAnsi="Arial"/>
          <w:b/>
          <w:bCs/>
          <w:color w:val="1B3A6B"/>
          <w:sz w:val="24"/>
          <w:szCs w:val="24"/>
        </w:rPr>
        <w:t xml:space="preserve">Core ISMS Documentation</w:t>
      </w:r>
    </w:p>
    <w:p>
      <w:pPr>
        <w:pStyle w:val="ListParagraph"/>
        <w:numPr>
          <w:ilvl w:val="0"/>
          <w:numId w:val="2"/>
        </w:numPr>
        <w:spacing w:after="40" w:before="40"/>
      </w:pPr>
      <w:r>
        <w:rPr>
          <w:rFonts w:ascii="Arial" w:cs="Arial" w:eastAsia="Arial" w:hAnsi="Arial"/>
          <w:color w:val="333333"/>
          <w:sz w:val="22"/>
          <w:szCs w:val="22"/>
        </w:rPr>
        <w:t xml:space="preserve">Information Security Policy — top management approved, defines commitments and direction for the ISMS.</w:t>
      </w:r>
    </w:p>
    <w:p>
      <w:pPr>
        <w:pStyle w:val="ListParagraph"/>
        <w:numPr>
          <w:ilvl w:val="0"/>
          <w:numId w:val="2"/>
        </w:numPr>
        <w:spacing w:after="40" w:before="40"/>
      </w:pPr>
      <w:r>
        <w:rPr>
          <w:rFonts w:ascii="Arial" w:cs="Arial" w:eastAsia="Arial" w:hAnsi="Arial"/>
          <w:color w:val="333333"/>
          <w:sz w:val="22"/>
          <w:szCs w:val="22"/>
        </w:rPr>
        <w:t xml:space="preserve">Scope Statement — defines what systems, locations, and processes are within the ISMS boundary. Your AI systems must be explicitly included.</w:t>
      </w:r>
    </w:p>
    <w:p>
      <w:pPr>
        <w:pStyle w:val="ListParagraph"/>
        <w:numPr>
          <w:ilvl w:val="0"/>
          <w:numId w:val="2"/>
        </w:numPr>
        <w:spacing w:after="40" w:before="40"/>
      </w:pPr>
      <w:r>
        <w:rPr>
          <w:rFonts w:ascii="Arial" w:cs="Arial" w:eastAsia="Arial" w:hAnsi="Arial"/>
          <w:color w:val="333333"/>
          <w:sz w:val="22"/>
          <w:szCs w:val="22"/>
        </w:rPr>
        <w:t xml:space="preserve">Statement of Applicability (SoA) — documents which of the 93 Annex A controls apply, which are excluded, and why. This is your compliance bible.</w:t>
      </w:r>
    </w:p>
    <w:p>
      <w:pPr>
        <w:pStyle w:val="ListParagraph"/>
        <w:numPr>
          <w:ilvl w:val="0"/>
          <w:numId w:val="2"/>
        </w:numPr>
        <w:spacing w:after="40" w:before="40"/>
      </w:pPr>
      <w:r>
        <w:rPr>
          <w:rFonts w:ascii="Arial" w:cs="Arial" w:eastAsia="Arial" w:hAnsi="Arial"/>
          <w:color w:val="333333"/>
          <w:sz w:val="22"/>
          <w:szCs w:val="22"/>
        </w:rPr>
        <w:t xml:space="preserve">Risk Assessment and Risk Treatment Plan — annual or event-driven. Must cover AI-specific risks: adversarial attacks, model bias leading to regulatory violation, training data breaches.</w:t>
      </w:r>
    </w:p>
    <w:p>
      <w:pPr>
        <w:pStyle w:val="Heading3"/>
        <w:pBdr>
          <w:bottom w:val="single" w:color="D6E4F0" w:sz="6"/>
        </w:pBdr>
        <w:spacing w:after="60" w:before="180"/>
      </w:pPr>
      <w:r>
        <w:rPr>
          <w:rFonts w:ascii="Arial" w:cs="Arial" w:eastAsia="Arial" w:hAnsi="Arial"/>
          <w:b/>
          <w:bCs/>
          <w:color w:val="1B3A6B"/>
          <w:sz w:val="24"/>
          <w:szCs w:val="24"/>
        </w:rPr>
        <w:t xml:space="preserve">Operational Controls</w:t>
      </w:r>
    </w:p>
    <w:p>
      <w:pPr>
        <w:pStyle w:val="ListParagraph"/>
        <w:numPr>
          <w:ilvl w:val="0"/>
          <w:numId w:val="2"/>
        </w:numPr>
        <w:spacing w:after="40" w:before="40"/>
      </w:pPr>
      <w:r>
        <w:rPr>
          <w:rFonts w:ascii="Arial" w:cs="Arial" w:eastAsia="Arial" w:hAnsi="Arial"/>
          <w:color w:val="333333"/>
          <w:sz w:val="22"/>
          <w:szCs w:val="22"/>
        </w:rPr>
        <w:t xml:space="preserve">Access Control — implement least-privilege access to AI training data, model repositories, inference APIs, and MLOps pipelines.</w:t>
      </w:r>
    </w:p>
    <w:p>
      <w:pPr>
        <w:pStyle w:val="ListParagraph"/>
        <w:numPr>
          <w:ilvl w:val="0"/>
          <w:numId w:val="2"/>
        </w:numPr>
        <w:spacing w:after="40" w:before="40"/>
      </w:pPr>
      <w:r>
        <w:rPr>
          <w:rFonts w:ascii="Arial" w:cs="Arial" w:eastAsia="Arial" w:hAnsi="Arial"/>
          <w:color w:val="333333"/>
          <w:sz w:val="22"/>
          <w:szCs w:val="22"/>
        </w:rPr>
        <w:t xml:space="preserve">Cryptography — encrypt AI training datasets at rest and in transit. Protect model weights for proprietary systems.</w:t>
      </w:r>
    </w:p>
    <w:p>
      <w:pPr>
        <w:pStyle w:val="ListParagraph"/>
        <w:numPr>
          <w:ilvl w:val="0"/>
          <w:numId w:val="2"/>
        </w:numPr>
        <w:spacing w:after="40" w:before="40"/>
      </w:pPr>
      <w:r>
        <w:rPr>
          <w:rFonts w:ascii="Arial" w:cs="Arial" w:eastAsia="Arial" w:hAnsi="Arial"/>
          <w:color w:val="333333"/>
          <w:sz w:val="22"/>
          <w:szCs w:val="22"/>
        </w:rPr>
        <w:t xml:space="preserve">Change Management — all changes to AI models in production (retraining, fine-tuning, prompt updates) must go through a formal change control process.</w:t>
      </w:r>
    </w:p>
    <w:p>
      <w:pPr>
        <w:pStyle w:val="ListParagraph"/>
        <w:numPr>
          <w:ilvl w:val="0"/>
          <w:numId w:val="2"/>
        </w:numPr>
        <w:spacing w:after="40" w:before="40"/>
      </w:pPr>
      <w:r>
        <w:rPr>
          <w:rFonts w:ascii="Arial" w:cs="Arial" w:eastAsia="Arial" w:hAnsi="Arial"/>
          <w:color w:val="333333"/>
          <w:sz w:val="22"/>
          <w:szCs w:val="22"/>
        </w:rPr>
        <w:t xml:space="preserve">Logging and Monitoring — AI inference logs (inputs, outputs, timestamps) must be captured, retained, and monitored for anomalies.</w:t>
      </w:r>
    </w:p>
    <w:p>
      <w:pPr>
        <w:pStyle w:val="ListParagraph"/>
        <w:numPr>
          <w:ilvl w:val="0"/>
          <w:numId w:val="2"/>
        </w:numPr>
        <w:spacing w:after="40" w:before="40"/>
      </w:pPr>
      <w:r>
        <w:rPr>
          <w:rFonts w:ascii="Arial" w:cs="Arial" w:eastAsia="Arial" w:hAnsi="Arial"/>
          <w:color w:val="333333"/>
          <w:sz w:val="22"/>
          <w:szCs w:val="22"/>
        </w:rPr>
        <w:t xml:space="preserve">Incident Management — establish and test an AI-inclusive incident response procedure. Unauthorized data exfiltration through an LLM is a security incident.</w:t>
      </w:r>
    </w:p>
    <w:p>
      <w:pPr>
        <w:pStyle w:val="ListParagraph"/>
        <w:numPr>
          <w:ilvl w:val="0"/>
          <w:numId w:val="2"/>
        </w:numPr>
        <w:spacing w:after="40" w:before="40"/>
      </w:pPr>
      <w:r>
        <w:rPr>
          <w:rFonts w:ascii="Arial" w:cs="Arial" w:eastAsia="Arial" w:hAnsi="Arial"/>
          <w:color w:val="333333"/>
          <w:sz w:val="22"/>
          <w:szCs w:val="22"/>
        </w:rPr>
        <w:t xml:space="preserve">Business Continuity — define and test RTO/RPO for critical AI systems.</w:t>
      </w:r>
    </w:p>
    <w:p>
      <w:pPr>
        <w:pStyle w:val="ListParagraph"/>
        <w:numPr>
          <w:ilvl w:val="0"/>
          <w:numId w:val="2"/>
        </w:numPr>
        <w:spacing w:after="40" w:before="40"/>
      </w:pPr>
      <w:r>
        <w:rPr>
          <w:rFonts w:ascii="Arial" w:cs="Arial" w:eastAsia="Arial" w:hAnsi="Arial"/>
          <w:color w:val="333333"/>
          <w:sz w:val="22"/>
          <w:szCs w:val="22"/>
        </w:rPr>
        <w:t xml:space="preserve">Supplier Management — maintain a register of AI vendors, conduct annual security assessments, and review contractual security obligations.</w:t>
      </w:r>
    </w:p>
    <w:p>
      <w:pPr>
        <w:pStyle w:val="Heading3"/>
        <w:pBdr>
          <w:bottom w:val="single" w:color="D6E4F0" w:sz="6"/>
        </w:pBdr>
        <w:spacing w:after="60" w:before="180"/>
      </w:pPr>
      <w:r>
        <w:rPr>
          <w:rFonts w:ascii="Arial" w:cs="Arial" w:eastAsia="Arial" w:hAnsi="Arial"/>
          <w:b/>
          <w:bCs/>
          <w:color w:val="1B3A6B"/>
          <w:sz w:val="24"/>
          <w:szCs w:val="24"/>
        </w:rPr>
        <w:t xml:space="preserve">Internal Audit and Continuous Improvement</w:t>
      </w:r>
    </w:p>
    <w:p>
      <w:pPr>
        <w:pStyle w:val="ListParagraph"/>
        <w:numPr>
          <w:ilvl w:val="0"/>
          <w:numId w:val="2"/>
        </w:numPr>
        <w:spacing w:after="40" w:before="40"/>
      </w:pPr>
      <w:r>
        <w:rPr>
          <w:rFonts w:ascii="Arial" w:cs="Arial" w:eastAsia="Arial" w:hAnsi="Arial"/>
          <w:color w:val="333333"/>
          <w:sz w:val="22"/>
          <w:szCs w:val="22"/>
        </w:rPr>
        <w:t xml:space="preserve">Run annual internal audits of the ISMS against all applicable controls.</w:t>
      </w:r>
    </w:p>
    <w:p>
      <w:pPr>
        <w:pStyle w:val="ListParagraph"/>
        <w:numPr>
          <w:ilvl w:val="0"/>
          <w:numId w:val="2"/>
        </w:numPr>
        <w:spacing w:after="40" w:before="40"/>
      </w:pPr>
      <w:r>
        <w:rPr>
          <w:rFonts w:ascii="Arial" w:cs="Arial" w:eastAsia="Arial" w:hAnsi="Arial"/>
          <w:color w:val="333333"/>
          <w:sz w:val="22"/>
          <w:szCs w:val="22"/>
        </w:rPr>
        <w:t xml:space="preserve">Track nonconformities and corrective actions in a formal register.</w:t>
      </w:r>
    </w:p>
    <w:p>
      <w:pPr>
        <w:pStyle w:val="ListParagraph"/>
        <w:numPr>
          <w:ilvl w:val="0"/>
          <w:numId w:val="2"/>
        </w:numPr>
        <w:spacing w:after="40" w:before="40"/>
      </w:pPr>
      <w:r>
        <w:rPr>
          <w:rFonts w:ascii="Arial" w:cs="Arial" w:eastAsia="Arial" w:hAnsi="Arial"/>
          <w:color w:val="333333"/>
          <w:sz w:val="22"/>
          <w:szCs w:val="22"/>
        </w:rPr>
        <w:t xml:space="preserve">Conduct annual Management Reviews with top management participation.</w:t>
      </w:r>
    </w:p>
    <w:p>
      <w:pPr>
        <w:pStyle w:val="Heading2"/>
        <w:shd w:fill="2E6DA4" w:val="clear"/>
        <w:spacing w:after="80" w:before="240"/>
        <w:ind w:left="120"/>
      </w:pPr>
      <w:r>
        <w:rPr>
          <w:rFonts w:ascii="Arial" w:cs="Arial" w:eastAsia="Arial" w:hAnsi="Arial"/>
          <w:b/>
          <w:bCs/>
          <w:color w:val="FFFFFF"/>
          <w:sz w:val="26"/>
          <w:szCs w:val="26"/>
        </w:rPr>
        <w:t xml:space="preserve">What Auditors Look For</w:t>
      </w:r>
    </w:p>
    <w:tbl>
      <w:tblPr>
        <w:tblW w:type="dxa" w:w="9360"/>
        <w:tblBorders>
          <w:top w:val="single" w:color="C8960C" w:sz="8"/>
          <w:left w:val="single" w:color="C8960C" w:sz="8"/>
          <w:bottom w:val="single" w:color="C8960C" w:sz="8"/>
          <w:right w:val="single" w:color="C8960C" w:sz="8"/>
          <w:insideH w:val="single" w:color="auto" w:sz="4"/>
          <w:insideV w:val="single" w:color="auto" w:sz="4"/>
        </w:tblBorders>
      </w:tblPr>
      <w:tblGrid>
        <w:gridCol w:w="200"/>
        <w:gridCol w:w="9160"/>
      </w:tblGrid>
      <w:tr>
        <w:tc>
          <w:tcPr>
            <w:tcW w:type="dxa" w:w="200"/>
            <w:tcBorders>
              <w:top w:val="nil"/>
              <w:left w:val="nil"/>
              <w:bottom w:val="nil"/>
              <w:right w:val="nil"/>
            </w:tcBorders>
            <w:shd w:fill="C8960C"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D6E4F0" w:val="clear"/>
            <w:tcMar>
              <w:top w:type="dxa" w:w="80"/>
              <w:left w:type="dxa" w:w="160"/>
              <w:bottom w:type="dxa" w:w="80"/>
              <w:right w:type="dxa" w:w="120"/>
            </w:tcMar>
          </w:tcPr>
          <w:p>
            <w:pPr>
              <w:spacing w:after="0" w:before="0"/>
            </w:pPr>
            <w:r>
              <w:rPr>
                <w:rFonts w:ascii="Arial" w:cs="Arial" w:eastAsia="Arial" w:hAnsi="Arial"/>
                <w:b/>
                <w:bCs/>
                <w:color w:val="1B3A6B"/>
                <w:sz w:val="22"/>
                <w:szCs w:val="22"/>
              </w:rPr>
              <w:t xml:space="preserve">Audit Focus: </w:t>
            </w:r>
            <w:r>
              <w:rPr>
                <w:rFonts w:ascii="Arial" w:cs="Arial" w:eastAsia="Arial" w:hAnsi="Arial"/>
                <w:color w:val="333333"/>
                <w:sz w:val="22"/>
                <w:szCs w:val="22"/>
              </w:rPr>
              <w:t xml:space="preserve">ISO 27001 external auditors (from certification bodies like BSI, Bureau Veritas, or SGS) follow a two-stage audit: Stage 1 reviews documentation readiness; Stage 2 verifies implementation. Surveillance audits occur annually. Recertification every 3 years.</w:t>
            </w:r>
          </w:p>
        </w:tc>
      </w:tr>
    </w:tbl>
    <w:p>
      <w:pPr>
        <w:pStyle w:val="ListParagraph"/>
        <w:numPr>
          <w:ilvl w:val="0"/>
          <w:numId w:val="2"/>
        </w:numPr>
        <w:spacing w:after="40" w:before="40"/>
      </w:pPr>
      <w:r>
        <w:rPr>
          <w:rFonts w:ascii="Arial" w:cs="Arial" w:eastAsia="Arial" w:hAnsi="Arial"/>
          <w:color w:val="333333"/>
          <w:sz w:val="22"/>
          <w:szCs w:val="22"/>
        </w:rPr>
        <w:t xml:space="preserve">ISMS Policy — current, approved, communicated.</w:t>
      </w:r>
    </w:p>
    <w:p>
      <w:pPr>
        <w:pStyle w:val="ListParagraph"/>
        <w:numPr>
          <w:ilvl w:val="0"/>
          <w:numId w:val="2"/>
        </w:numPr>
        <w:spacing w:after="40" w:before="40"/>
      </w:pPr>
      <w:r>
        <w:rPr>
          <w:rFonts w:ascii="Arial" w:cs="Arial" w:eastAsia="Arial" w:hAnsi="Arial"/>
          <w:color w:val="333333"/>
          <w:sz w:val="22"/>
          <w:szCs w:val="22"/>
        </w:rPr>
        <w:t xml:space="preserve">Risk Assessment methodology and most recent Risk Assessment results.</w:t>
      </w:r>
    </w:p>
    <w:p>
      <w:pPr>
        <w:pStyle w:val="ListParagraph"/>
        <w:numPr>
          <w:ilvl w:val="0"/>
          <w:numId w:val="2"/>
        </w:numPr>
        <w:spacing w:after="40" w:before="40"/>
      </w:pPr>
      <w:r>
        <w:rPr>
          <w:rFonts w:ascii="Arial" w:cs="Arial" w:eastAsia="Arial" w:hAnsi="Arial"/>
          <w:color w:val="333333"/>
          <w:sz w:val="22"/>
          <w:szCs w:val="22"/>
        </w:rPr>
        <w:t xml:space="preserve">Statement of Applicability — complete, current, tied to risk treatment decisions.</w:t>
      </w:r>
    </w:p>
    <w:p>
      <w:pPr>
        <w:pStyle w:val="ListParagraph"/>
        <w:numPr>
          <w:ilvl w:val="0"/>
          <w:numId w:val="2"/>
        </w:numPr>
        <w:spacing w:after="40" w:before="40"/>
      </w:pPr>
      <w:r>
        <w:rPr>
          <w:rFonts w:ascii="Arial" w:cs="Arial" w:eastAsia="Arial" w:hAnsi="Arial"/>
          <w:color w:val="333333"/>
          <w:sz w:val="22"/>
          <w:szCs w:val="22"/>
        </w:rPr>
        <w:t xml:space="preserve">Annex A control evidence — auditors will sample specific controls. Be ready to demonstrate access control logs, vulnerability scan results, training records, and change management records.</w:t>
      </w:r>
    </w:p>
    <w:p>
      <w:pPr>
        <w:pStyle w:val="ListParagraph"/>
        <w:numPr>
          <w:ilvl w:val="0"/>
          <w:numId w:val="2"/>
        </w:numPr>
        <w:spacing w:after="40" w:before="40"/>
      </w:pPr>
      <w:r>
        <w:rPr>
          <w:rFonts w:ascii="Arial" w:cs="Arial" w:eastAsia="Arial" w:hAnsi="Arial"/>
          <w:color w:val="333333"/>
          <w:sz w:val="22"/>
          <w:szCs w:val="22"/>
        </w:rPr>
        <w:t xml:space="preserve">Internal audit reports and evidence of corrective actions.</w:t>
      </w:r>
    </w:p>
    <w:p>
      <w:pPr>
        <w:pStyle w:val="ListParagraph"/>
        <w:numPr>
          <w:ilvl w:val="0"/>
          <w:numId w:val="2"/>
        </w:numPr>
        <w:spacing w:after="40" w:before="40"/>
      </w:pPr>
      <w:r>
        <w:rPr>
          <w:rFonts w:ascii="Arial" w:cs="Arial" w:eastAsia="Arial" w:hAnsi="Arial"/>
          <w:color w:val="333333"/>
          <w:sz w:val="22"/>
          <w:szCs w:val="22"/>
        </w:rPr>
        <w:t xml:space="preserve">Management Review minutes — evidence top management is actively engaged.</w:t>
      </w:r>
    </w:p>
    <w:p>
      <w:pPr>
        <w:pStyle w:val="ListParagraph"/>
        <w:numPr>
          <w:ilvl w:val="0"/>
          <w:numId w:val="2"/>
        </w:numPr>
        <w:spacing w:after="40" w:before="40"/>
      </w:pPr>
      <w:r>
        <w:rPr>
          <w:rFonts w:ascii="Arial" w:cs="Arial" w:eastAsia="Arial" w:hAnsi="Arial"/>
          <w:color w:val="333333"/>
          <w:sz w:val="22"/>
          <w:szCs w:val="22"/>
        </w:rPr>
        <w:t xml:space="preserve">Incident register — showing all incidents were logged, investigated, and closed.</w:t>
      </w:r>
    </w:p>
    <w:p>
      <w:pPr>
        <w:pStyle w:val="ListParagraph"/>
        <w:numPr>
          <w:ilvl w:val="0"/>
          <w:numId w:val="2"/>
        </w:numPr>
        <w:spacing w:after="40" w:before="40"/>
      </w:pPr>
      <w:r>
        <w:rPr>
          <w:rFonts w:ascii="Arial" w:cs="Arial" w:eastAsia="Arial" w:hAnsi="Arial"/>
          <w:color w:val="333333"/>
          <w:sz w:val="22"/>
          <w:szCs w:val="22"/>
        </w:rPr>
        <w:t xml:space="preserve">Supplier assessment records — including AI vendor assessments.</w:t>
      </w:r>
    </w:p>
    <w:p>
      <w:pPr>
        <w:pBdr>
          <w:bottom w:val="single" w:color="D6E4F0" w:sz="6"/>
        </w:pBdr>
        <w:spacing w:after="120" w:before="120"/>
      </w:pPr>
      <w:r>
        <w:rPr>
          <w:rFonts w:ascii="Arial" w:cs="Arial" w:eastAsia="Arial" w:hAnsi="Arial"/>
          <w:color w:val="333333"/>
          <w:sz w:val="22"/>
          <w:szCs w:val="22"/>
        </w:rPr>
        <w:t xml:space="preserve"/>
      </w:r>
    </w:p>
    <w:p>
      <w:r>
        <w:br/>
      </w:r>
    </w:p>
    <w:p>
      <w:pPr>
        <w:pStyle w:val="Heading1"/>
        <w:pBdr>
          <w:bottom w:val="single" w:color="C8960C" w:sz="8"/>
        </w:pBdr>
        <w:shd w:fill="1B3A6B" w:val="clear"/>
        <w:spacing w:after="120" w:before="360"/>
        <w:ind w:left="180" w:right="180"/>
      </w:pPr>
      <w:r>
        <w:rPr>
          <w:rFonts w:ascii="Arial" w:cs="Arial" w:eastAsia="Arial" w:hAnsi="Arial"/>
          <w:b/>
          <w:bCs/>
          <w:color w:val="FFFFFF"/>
          <w:sz w:val="32"/>
          <w:szCs w:val="32"/>
        </w:rPr>
        <w:t xml:space="preserve">Framework 4: EU AI Act</w:t>
      </w:r>
    </w:p>
    <w:p>
      <w:pPr>
        <w:pStyle w:val="Heading2"/>
        <w:shd w:fill="2E6DA4" w:val="clear"/>
        <w:spacing w:after="80" w:before="240"/>
        <w:ind w:left="120"/>
      </w:pPr>
      <w:r>
        <w:rPr>
          <w:rFonts w:ascii="Arial" w:cs="Arial" w:eastAsia="Arial" w:hAnsi="Arial"/>
          <w:b/>
          <w:bCs/>
          <w:color w:val="FFFFFF"/>
          <w:sz w:val="26"/>
          <w:szCs w:val="26"/>
        </w:rPr>
        <w:t xml:space="preserve">What It Is and Why It Matters</w:t>
      </w:r>
    </w:p>
    <w:p>
      <w:pPr>
        <w:spacing w:after="60" w:before="60"/>
      </w:pPr>
      <w:r>
        <w:rPr>
          <w:rFonts w:ascii="Arial" w:cs="Arial" w:eastAsia="Arial" w:hAnsi="Arial"/>
          <w:color w:val="333333"/>
          <w:sz w:val="22"/>
          <w:szCs w:val="22"/>
        </w:rPr>
        <w:t xml:space="preserve">The EU AI Act is the world's first comprehensive binding law specifically regulating artificial intelligence. It entered into force on August 1, 2024, with provisions rolling out on a staggered timeline through August 2026 and beyond. It is a regulation — meaning it is directly enforceable across all EU member states without requiring local legislation.</w:t>
      </w:r>
    </w:p>
    <w:p>
      <w:pPr>
        <w:spacing w:after="60" w:before="60"/>
      </w:pPr>
      <w:r>
        <w:rPr>
          <w:rFonts w:ascii="Arial" w:cs="Arial" w:eastAsia="Arial" w:hAnsi="Arial"/>
          <w:color w:val="333333"/>
          <w:sz w:val="22"/>
          <w:szCs w:val="22"/>
        </w:rPr>
        <w:t xml:space="preserve">Even if your organization is headquartered outside the EU, the EU AI Act applies to you if your AI systems are used in the EU or affect EU residents. This is the same extraterritorial reach as GDPR. US federal agencies and contractors serving EU-based users or operating in EU jurisdictions are not exempt.</w:t>
      </w:r>
    </w:p>
    <w:tbl>
      <w:tblPr>
        <w:tblW w:type="dxa" w:w="9360"/>
        <w:tblBorders>
          <w:top w:val="single" w:color="C8960C" w:sz="8"/>
          <w:left w:val="single" w:color="C8960C" w:sz="8"/>
          <w:bottom w:val="single" w:color="C8960C" w:sz="8"/>
          <w:right w:val="single" w:color="C8960C" w:sz="8"/>
          <w:insideH w:val="single" w:color="auto" w:sz="4"/>
          <w:insideV w:val="single" w:color="auto" w:sz="4"/>
        </w:tblBorders>
      </w:tblPr>
      <w:tblGrid>
        <w:gridCol w:w="200"/>
        <w:gridCol w:w="9160"/>
      </w:tblGrid>
      <w:tr>
        <w:tc>
          <w:tcPr>
            <w:tcW w:type="dxa" w:w="200"/>
            <w:tcBorders>
              <w:top w:val="nil"/>
              <w:left w:val="nil"/>
              <w:bottom w:val="nil"/>
              <w:right w:val="nil"/>
            </w:tcBorders>
            <w:shd w:fill="C8960C"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D6E4F0" w:val="clear"/>
            <w:tcMar>
              <w:top w:type="dxa" w:w="80"/>
              <w:left w:type="dxa" w:w="160"/>
              <w:bottom w:type="dxa" w:w="80"/>
              <w:right w:type="dxa" w:w="120"/>
            </w:tcMar>
          </w:tcPr>
          <w:p>
            <w:pPr>
              <w:spacing w:after="0" w:before="0"/>
            </w:pPr>
            <w:r>
              <w:rPr>
                <w:rFonts w:ascii="Arial" w:cs="Arial" w:eastAsia="Arial" w:hAnsi="Arial"/>
                <w:b/>
                <w:bCs/>
                <w:color w:val="1B3A6B"/>
                <w:sz w:val="22"/>
                <w:szCs w:val="22"/>
              </w:rPr>
              <w:t xml:space="preserve">Enforcement Timeline: </w:t>
            </w:r>
            <w:r>
              <w:rPr>
                <w:rFonts w:ascii="Arial" w:cs="Arial" w:eastAsia="Arial" w:hAnsi="Arial"/>
                <w:color w:val="333333"/>
                <w:sz w:val="22"/>
                <w:szCs w:val="22"/>
              </w:rPr>
              <w:t xml:space="preserve">Prohibited AI provisions enforced: February 2, 2025. GPAI (General Purpose AI) model obligations: August 2, 2025. High-risk AI system obligations (Annex I &amp; III): August 2, 2026. This is not future-state — the Act is actively enforced now.</w:t>
            </w:r>
          </w:p>
        </w:tc>
      </w:tr>
    </w:tbl>
    <w:p>
      <w:pPr>
        <w:pStyle w:val="Heading2"/>
        <w:shd w:fill="2E6DA4" w:val="clear"/>
        <w:spacing w:after="80" w:before="240"/>
        <w:ind w:left="120"/>
      </w:pPr>
      <w:r>
        <w:rPr>
          <w:rFonts w:ascii="Arial" w:cs="Arial" w:eastAsia="Arial" w:hAnsi="Arial"/>
          <w:b/>
          <w:bCs/>
          <w:color w:val="FFFFFF"/>
          <w:sz w:val="26"/>
          <w:szCs w:val="26"/>
        </w:rPr>
        <w:t xml:space="preserve">The Risk Classification System</w:t>
      </w:r>
    </w:p>
    <w:p>
      <w:pPr>
        <w:spacing w:after="60" w:before="60"/>
      </w:pPr>
      <w:r>
        <w:rPr>
          <w:rFonts w:ascii="Arial" w:cs="Arial" w:eastAsia="Arial" w:hAnsi="Arial"/>
          <w:color w:val="333333"/>
          <w:sz w:val="22"/>
          <w:szCs w:val="22"/>
        </w:rPr>
        <w:t xml:space="preserve">The EU AI Act uses a four-tier risk pyramid. Your compliance obligations — and the penalties you face — are determined entirely by which tier your AI system falls 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560"/>
        <w:gridCol w:w="2000"/>
      </w:tblGrid>
      <w:tr>
        <w:trPr>
          <w:tblHeader/>
        </w:trPr>
        <w:tc>
          <w:tcPr>
            <w:tcW w:type="dxa" w:w="1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Risk Tier</w:t>
            </w:r>
          </w:p>
        </w:tc>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Examples</w:t>
            </w:r>
          </w:p>
        </w:tc>
        <w:tc>
          <w:tcPr>
            <w:tcW w:type="dxa" w:w="2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Obligations</w:t>
            </w:r>
          </w:p>
        </w:tc>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Penalties</w:t>
            </w:r>
          </w:p>
        </w:tc>
      </w:tr>
      <w:tr>
        <w:tc>
          <w:tcPr>
            <w:tcW w:type="dxa" w:w="1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Unacceptable Risk (PROHIBITED)</w:t>
            </w:r>
          </w:p>
        </w:tc>
        <w:tc>
          <w:tcPr>
            <w:tcW w:type="dxa" w:w="3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Social scoring, subliminal manipulation, real-time biometric surveillance in public spaces, emotion recognition in workplaces/schools.</w:t>
            </w:r>
          </w:p>
        </w:tc>
        <w:tc>
          <w:tcPr>
            <w:tcW w:type="dxa" w:w="25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Complete ban. Cannot be placed on market or used in EU.</w:t>
            </w:r>
          </w:p>
        </w:tc>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Up to €35M or 7% global annual turnover.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High Risk</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AI in hiring, credit scoring, medical devices, critical infrastructure, law enforcement, border control, education admissions, benefits eligibility.</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Full compliance regime: conformity assessment, registration, ongoing monitoring, human oversight, documentation, transparency.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Up to €15M or 3% global annual turnover.</w:t>
            </w:r>
          </w:p>
        </w:tc>
      </w:tr>
      <w:tr>
        <w:tc>
          <w:tcPr>
            <w:tcW w:type="dxa" w:w="1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Limited Risk</w:t>
            </w:r>
          </w:p>
        </w:tc>
        <w:tc>
          <w:tcPr>
            <w:tcW w:type="dxa" w:w="3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Chatbots, deepfakes, AI-generated content.</w:t>
            </w:r>
          </w:p>
        </w:tc>
        <w:tc>
          <w:tcPr>
            <w:tcW w:type="dxa" w:w="25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Transparency obligations only. Must disclose AI interaction to users.</w:t>
            </w:r>
          </w:p>
        </w:tc>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Up to €7.5M or 1.5% global annual turnover.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Minimal Risk</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Spam filters, AI in video games, most recommendation engines.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No mandatory requirements. Voluntary codes of conduct encouraged.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No mandatory penalties.</w:t>
            </w:r>
          </w:p>
        </w:tc>
      </w:tr>
    </w:tbl>
    <w:p>
      <w:pPr>
        <w:spacing w:after="0" w:before="240"/>
      </w:pPr>
      <w:r>
        <w:rPr>
          <w:rFonts w:ascii="Arial" w:cs="Arial" w:eastAsia="Arial" w:hAnsi="Arial"/>
          <w:color w:val="333333"/>
          <w:sz w:val="22"/>
          <w:szCs w:val="22"/>
        </w:rPr>
        <w:t xml:space="preserve"/>
      </w:r>
    </w:p>
    <w:p>
      <w:pPr>
        <w:pStyle w:val="Heading2"/>
        <w:shd w:fill="2E6DA4" w:val="clear"/>
        <w:spacing w:after="80" w:before="240"/>
        <w:ind w:left="120"/>
      </w:pPr>
      <w:r>
        <w:rPr>
          <w:rFonts w:ascii="Arial" w:cs="Arial" w:eastAsia="Arial" w:hAnsi="Arial"/>
          <w:b/>
          <w:bCs/>
          <w:color w:val="FFFFFF"/>
          <w:sz w:val="26"/>
          <w:szCs w:val="26"/>
        </w:rPr>
        <w:t xml:space="preserve">High-Risk AI: The Core Compliance Regime</w:t>
      </w:r>
    </w:p>
    <w:p>
      <w:pPr>
        <w:spacing w:after="60" w:before="60"/>
      </w:pPr>
      <w:r>
        <w:rPr>
          <w:rFonts w:ascii="Arial" w:cs="Arial" w:eastAsia="Arial" w:hAnsi="Arial"/>
          <w:color w:val="333333"/>
          <w:sz w:val="22"/>
          <w:szCs w:val="22"/>
        </w:rPr>
        <w:t xml:space="preserve">If your AI system is classified as High-Risk, you face the most demanding compliance obligations in the Act. Here is what that means operationally:</w:t>
      </w:r>
    </w:p>
    <w:p>
      <w:pPr>
        <w:pStyle w:val="Heading3"/>
        <w:pBdr>
          <w:bottom w:val="single" w:color="D6E4F0" w:sz="6"/>
        </w:pBdr>
        <w:spacing w:after="60" w:before="180"/>
      </w:pPr>
      <w:r>
        <w:rPr>
          <w:rFonts w:ascii="Arial" w:cs="Arial" w:eastAsia="Arial" w:hAnsi="Arial"/>
          <w:b/>
          <w:bCs/>
          <w:color w:val="1B3A6B"/>
          <w:sz w:val="24"/>
          <w:szCs w:val="24"/>
        </w:rPr>
        <w:t xml:space="preserve">1. Risk Management System (Article 9)</w:t>
      </w:r>
    </w:p>
    <w:p>
      <w:pPr>
        <w:pStyle w:val="ListParagraph"/>
        <w:numPr>
          <w:ilvl w:val="0"/>
          <w:numId w:val="2"/>
        </w:numPr>
        <w:spacing w:after="40" w:before="40"/>
      </w:pPr>
      <w:r>
        <w:rPr>
          <w:rFonts w:ascii="Arial" w:cs="Arial" w:eastAsia="Arial" w:hAnsi="Arial"/>
          <w:color w:val="333333"/>
          <w:sz w:val="22"/>
          <w:szCs w:val="22"/>
        </w:rPr>
        <w:t xml:space="preserve">Implement a documented, continuous risk management system for the AI system's full lifecycle.</w:t>
      </w:r>
    </w:p>
    <w:p>
      <w:pPr>
        <w:pStyle w:val="ListParagraph"/>
        <w:numPr>
          <w:ilvl w:val="0"/>
          <w:numId w:val="2"/>
        </w:numPr>
        <w:spacing w:after="40" w:before="40"/>
      </w:pPr>
      <w:r>
        <w:rPr>
          <w:rFonts w:ascii="Arial" w:cs="Arial" w:eastAsia="Arial" w:hAnsi="Arial"/>
          <w:color w:val="333333"/>
          <w:sz w:val="22"/>
          <w:szCs w:val="22"/>
        </w:rPr>
        <w:t xml:space="preserve">Identify and analyze known and foreseeable risks. Consider risks arising from reasonably foreseeable misuse.</w:t>
      </w:r>
    </w:p>
    <w:p>
      <w:pPr>
        <w:pStyle w:val="ListParagraph"/>
        <w:numPr>
          <w:ilvl w:val="0"/>
          <w:numId w:val="2"/>
        </w:numPr>
        <w:spacing w:after="40" w:before="40"/>
      </w:pPr>
      <w:r>
        <w:rPr>
          <w:rFonts w:ascii="Arial" w:cs="Arial" w:eastAsia="Arial" w:hAnsi="Arial"/>
          <w:color w:val="333333"/>
          <w:sz w:val="22"/>
          <w:szCs w:val="22"/>
        </w:rPr>
        <w:t xml:space="preserve">Evaluate residual risks and determine whether they are acceptable.</w:t>
      </w:r>
    </w:p>
    <w:p>
      <w:pPr>
        <w:pStyle w:val="ListParagraph"/>
        <w:numPr>
          <w:ilvl w:val="0"/>
          <w:numId w:val="2"/>
        </w:numPr>
        <w:spacing w:after="40" w:before="40"/>
      </w:pPr>
      <w:r>
        <w:rPr>
          <w:rFonts w:ascii="Arial" w:cs="Arial" w:eastAsia="Arial" w:hAnsi="Arial"/>
          <w:color w:val="333333"/>
          <w:sz w:val="22"/>
          <w:szCs w:val="22"/>
        </w:rPr>
        <w:t xml:space="preserve">Test risk management effectiveness. Document results.</w:t>
      </w:r>
    </w:p>
    <w:p>
      <w:pPr>
        <w:pStyle w:val="Heading3"/>
        <w:pBdr>
          <w:bottom w:val="single" w:color="D6E4F0" w:sz="6"/>
        </w:pBdr>
        <w:spacing w:after="60" w:before="180"/>
      </w:pPr>
      <w:r>
        <w:rPr>
          <w:rFonts w:ascii="Arial" w:cs="Arial" w:eastAsia="Arial" w:hAnsi="Arial"/>
          <w:b/>
          <w:bCs/>
          <w:color w:val="1B3A6B"/>
          <w:sz w:val="24"/>
          <w:szCs w:val="24"/>
        </w:rPr>
        <w:t xml:space="preserve">2. Data Governance (Article 10)</w:t>
      </w:r>
    </w:p>
    <w:p>
      <w:pPr>
        <w:pStyle w:val="ListParagraph"/>
        <w:numPr>
          <w:ilvl w:val="0"/>
          <w:numId w:val="2"/>
        </w:numPr>
        <w:spacing w:after="40" w:before="40"/>
      </w:pPr>
      <w:r>
        <w:rPr>
          <w:rFonts w:ascii="Arial" w:cs="Arial" w:eastAsia="Arial" w:hAnsi="Arial"/>
          <w:color w:val="333333"/>
          <w:sz w:val="22"/>
          <w:szCs w:val="22"/>
        </w:rPr>
        <w:t xml:space="preserve">Training, validation, and testing data must meet quality standards — relevant, representative, sufficiently complete, and free from errors.</w:t>
      </w:r>
    </w:p>
    <w:p>
      <w:pPr>
        <w:pStyle w:val="ListParagraph"/>
        <w:numPr>
          <w:ilvl w:val="0"/>
          <w:numId w:val="2"/>
        </w:numPr>
        <w:spacing w:after="40" w:before="40"/>
      </w:pPr>
      <w:r>
        <w:rPr>
          <w:rFonts w:ascii="Arial" w:cs="Arial" w:eastAsia="Arial" w:hAnsi="Arial"/>
          <w:color w:val="333333"/>
          <w:sz w:val="22"/>
          <w:szCs w:val="22"/>
        </w:rPr>
        <w:t xml:space="preserve">Address data biases that may affect EU fundamental rights.</w:t>
      </w:r>
    </w:p>
    <w:p>
      <w:pPr>
        <w:pStyle w:val="ListParagraph"/>
        <w:numPr>
          <w:ilvl w:val="0"/>
          <w:numId w:val="2"/>
        </w:numPr>
        <w:spacing w:after="40" w:before="40"/>
      </w:pPr>
      <w:r>
        <w:rPr>
          <w:rFonts w:ascii="Arial" w:cs="Arial" w:eastAsia="Arial" w:hAnsi="Arial"/>
          <w:color w:val="333333"/>
          <w:sz w:val="22"/>
          <w:szCs w:val="22"/>
        </w:rPr>
        <w:t xml:space="preserve">Document data sources, data collection methods, data labeling procedures, and data governance practices.</w:t>
      </w:r>
    </w:p>
    <w:p>
      <w:pPr>
        <w:pStyle w:val="Heading3"/>
        <w:pBdr>
          <w:bottom w:val="single" w:color="D6E4F0" w:sz="6"/>
        </w:pBdr>
        <w:spacing w:after="60" w:before="180"/>
      </w:pPr>
      <w:r>
        <w:rPr>
          <w:rFonts w:ascii="Arial" w:cs="Arial" w:eastAsia="Arial" w:hAnsi="Arial"/>
          <w:b/>
          <w:bCs/>
          <w:color w:val="1B3A6B"/>
          <w:sz w:val="24"/>
          <w:szCs w:val="24"/>
        </w:rPr>
        <w:t xml:space="preserve">3. Technical Documentation (Article 11)</w:t>
      </w:r>
    </w:p>
    <w:p>
      <w:pPr>
        <w:pStyle w:val="ListParagraph"/>
        <w:numPr>
          <w:ilvl w:val="0"/>
          <w:numId w:val="2"/>
        </w:numPr>
        <w:spacing w:after="40" w:before="40"/>
      </w:pPr>
      <w:r>
        <w:rPr>
          <w:rFonts w:ascii="Arial" w:cs="Arial" w:eastAsia="Arial" w:hAnsi="Arial"/>
          <w:color w:val="333333"/>
          <w:sz w:val="22"/>
          <w:szCs w:val="22"/>
        </w:rPr>
        <w:t xml:space="preserve">Maintain comprehensive technical documentation before placing the AI system on the market.</w:t>
      </w:r>
    </w:p>
    <w:p>
      <w:pPr>
        <w:pStyle w:val="ListParagraph"/>
        <w:numPr>
          <w:ilvl w:val="0"/>
          <w:numId w:val="2"/>
        </w:numPr>
        <w:spacing w:after="40" w:before="40"/>
      </w:pPr>
      <w:r>
        <w:rPr>
          <w:rFonts w:ascii="Arial" w:cs="Arial" w:eastAsia="Arial" w:hAnsi="Arial"/>
          <w:color w:val="333333"/>
          <w:sz w:val="22"/>
          <w:szCs w:val="22"/>
        </w:rPr>
        <w:t xml:space="preserve">Documentation must cover: general system description, design specifications, training data details, risk management outcomes, performance metrics, monitoring and control measures.</w:t>
      </w:r>
    </w:p>
    <w:p>
      <w:pPr>
        <w:pStyle w:val="ListParagraph"/>
        <w:numPr>
          <w:ilvl w:val="0"/>
          <w:numId w:val="2"/>
        </w:numPr>
        <w:spacing w:after="40" w:before="40"/>
      </w:pPr>
      <w:r>
        <w:rPr>
          <w:rFonts w:ascii="Arial" w:cs="Arial" w:eastAsia="Arial" w:hAnsi="Arial"/>
          <w:color w:val="333333"/>
          <w:sz w:val="22"/>
          <w:szCs w:val="22"/>
        </w:rPr>
        <w:t xml:space="preserve">Documentation must be kept for 10 years after the AI system is withdrawn from the market.</w:t>
      </w:r>
    </w:p>
    <w:p>
      <w:pPr>
        <w:pStyle w:val="Heading3"/>
        <w:pBdr>
          <w:bottom w:val="single" w:color="D6E4F0" w:sz="6"/>
        </w:pBdr>
        <w:spacing w:after="60" w:before="180"/>
      </w:pPr>
      <w:r>
        <w:rPr>
          <w:rFonts w:ascii="Arial" w:cs="Arial" w:eastAsia="Arial" w:hAnsi="Arial"/>
          <w:b/>
          <w:bCs/>
          <w:color w:val="1B3A6B"/>
          <w:sz w:val="24"/>
          <w:szCs w:val="24"/>
        </w:rPr>
        <w:t xml:space="preserve">4. Logging and Record-Keeping (Article 12)</w:t>
      </w:r>
    </w:p>
    <w:p>
      <w:pPr>
        <w:pStyle w:val="ListParagraph"/>
        <w:numPr>
          <w:ilvl w:val="0"/>
          <w:numId w:val="2"/>
        </w:numPr>
        <w:spacing w:after="40" w:before="40"/>
      </w:pPr>
      <w:r>
        <w:rPr>
          <w:rFonts w:ascii="Arial" w:cs="Arial" w:eastAsia="Arial" w:hAnsi="Arial"/>
          <w:color w:val="333333"/>
          <w:sz w:val="22"/>
          <w:szCs w:val="22"/>
        </w:rPr>
        <w:t xml:space="preserve">High-risk AI systems must automatically generate logs capturing events throughout the operational lifetime.</w:t>
      </w:r>
    </w:p>
    <w:p>
      <w:pPr>
        <w:pStyle w:val="ListParagraph"/>
        <w:numPr>
          <w:ilvl w:val="0"/>
          <w:numId w:val="2"/>
        </w:numPr>
        <w:spacing w:after="40" w:before="40"/>
      </w:pPr>
      <w:r>
        <w:rPr>
          <w:rFonts w:ascii="Arial" w:cs="Arial" w:eastAsia="Arial" w:hAnsi="Arial"/>
          <w:color w:val="333333"/>
          <w:sz w:val="22"/>
          <w:szCs w:val="22"/>
        </w:rPr>
        <w:t xml:space="preserve">Logs must support post-hoc auditability — you must be able to reconstruct what the system did and when.</w:t>
      </w:r>
    </w:p>
    <w:p>
      <w:pPr>
        <w:pStyle w:val="ListParagraph"/>
        <w:numPr>
          <w:ilvl w:val="0"/>
          <w:numId w:val="2"/>
        </w:numPr>
        <w:spacing w:after="40" w:before="40"/>
      </w:pPr>
      <w:r>
        <w:rPr>
          <w:rFonts w:ascii="Arial" w:cs="Arial" w:eastAsia="Arial" w:hAnsi="Arial"/>
          <w:color w:val="333333"/>
          <w:sz w:val="22"/>
          <w:szCs w:val="22"/>
        </w:rPr>
        <w:t xml:space="preserve">Deployers must retain logs for at least 6 months (providers may have longer obligations).</w:t>
      </w:r>
    </w:p>
    <w:p>
      <w:pPr>
        <w:pStyle w:val="Heading3"/>
        <w:pBdr>
          <w:bottom w:val="single" w:color="D6E4F0" w:sz="6"/>
        </w:pBdr>
        <w:spacing w:after="60" w:before="180"/>
      </w:pPr>
      <w:r>
        <w:rPr>
          <w:rFonts w:ascii="Arial" w:cs="Arial" w:eastAsia="Arial" w:hAnsi="Arial"/>
          <w:b/>
          <w:bCs/>
          <w:color w:val="1B3A6B"/>
          <w:sz w:val="24"/>
          <w:szCs w:val="24"/>
        </w:rPr>
        <w:t xml:space="preserve">5. Transparency and Information Provision (Article 13)</w:t>
      </w:r>
    </w:p>
    <w:p>
      <w:pPr>
        <w:pStyle w:val="ListParagraph"/>
        <w:numPr>
          <w:ilvl w:val="0"/>
          <w:numId w:val="2"/>
        </w:numPr>
        <w:spacing w:after="40" w:before="40"/>
      </w:pPr>
      <w:r>
        <w:rPr>
          <w:rFonts w:ascii="Arial" w:cs="Arial" w:eastAsia="Arial" w:hAnsi="Arial"/>
          <w:color w:val="333333"/>
          <w:sz w:val="22"/>
          <w:szCs w:val="22"/>
        </w:rPr>
        <w:t xml:space="preserve">Provide deployers with clear, complete instructions for use — purpose, capabilities, known limitations, performance expectations across demographic groups, human oversight measures.</w:t>
      </w:r>
    </w:p>
    <w:p>
      <w:pPr>
        <w:pStyle w:val="Heading3"/>
        <w:pBdr>
          <w:bottom w:val="single" w:color="D6E4F0" w:sz="6"/>
        </w:pBdr>
        <w:spacing w:after="60" w:before="180"/>
      </w:pPr>
      <w:r>
        <w:rPr>
          <w:rFonts w:ascii="Arial" w:cs="Arial" w:eastAsia="Arial" w:hAnsi="Arial"/>
          <w:b/>
          <w:bCs/>
          <w:color w:val="1B3A6B"/>
          <w:sz w:val="24"/>
          <w:szCs w:val="24"/>
        </w:rPr>
        <w:t xml:space="preserve">6. Human Oversight (Article 14)</w:t>
      </w:r>
    </w:p>
    <w:p>
      <w:pPr>
        <w:pStyle w:val="ListParagraph"/>
        <w:numPr>
          <w:ilvl w:val="0"/>
          <w:numId w:val="2"/>
        </w:numPr>
        <w:spacing w:after="40" w:before="40"/>
      </w:pPr>
      <w:r>
        <w:rPr>
          <w:rFonts w:ascii="Arial" w:cs="Arial" w:eastAsia="Arial" w:hAnsi="Arial"/>
          <w:color w:val="333333"/>
          <w:sz w:val="22"/>
          <w:szCs w:val="22"/>
        </w:rPr>
        <w:t xml:space="preserve">Design must enable human operators to understand and oversee the AI system's operations.</w:t>
      </w:r>
    </w:p>
    <w:p>
      <w:pPr>
        <w:pStyle w:val="ListParagraph"/>
        <w:numPr>
          <w:ilvl w:val="0"/>
          <w:numId w:val="2"/>
        </w:numPr>
        <w:spacing w:after="40" w:before="40"/>
      </w:pPr>
      <w:r>
        <w:rPr>
          <w:rFonts w:ascii="Arial" w:cs="Arial" w:eastAsia="Arial" w:hAnsi="Arial"/>
          <w:color w:val="333333"/>
          <w:sz w:val="22"/>
          <w:szCs w:val="22"/>
        </w:rPr>
        <w:t xml:space="preserve">Operators must be able to intervene, override, or stop the system.</w:t>
      </w:r>
    </w:p>
    <w:p>
      <w:pPr>
        <w:pStyle w:val="ListParagraph"/>
        <w:numPr>
          <w:ilvl w:val="0"/>
          <w:numId w:val="2"/>
        </w:numPr>
        <w:spacing w:after="40" w:before="40"/>
      </w:pPr>
      <w:r>
        <w:rPr>
          <w:rFonts w:ascii="Arial" w:cs="Arial" w:eastAsia="Arial" w:hAnsi="Arial"/>
          <w:color w:val="333333"/>
          <w:sz w:val="22"/>
          <w:szCs w:val="22"/>
        </w:rPr>
        <w:t xml:space="preserve">The system must not override a human decision without explicit authorization.</w:t>
      </w:r>
    </w:p>
    <w:p>
      <w:pPr>
        <w:pStyle w:val="ListParagraph"/>
        <w:numPr>
          <w:ilvl w:val="0"/>
          <w:numId w:val="2"/>
        </w:numPr>
        <w:spacing w:after="40" w:before="40"/>
      </w:pPr>
      <w:r>
        <w:rPr>
          <w:rFonts w:ascii="Arial" w:cs="Arial" w:eastAsia="Arial" w:hAnsi="Arial"/>
          <w:color w:val="333333"/>
          <w:sz w:val="22"/>
          <w:szCs w:val="22"/>
        </w:rPr>
        <w:t xml:space="preserve">Operators must be trained to interpret AI outputs and recognize when to disregard them.</w:t>
      </w:r>
    </w:p>
    <w:p>
      <w:pPr>
        <w:pStyle w:val="Heading3"/>
        <w:pBdr>
          <w:bottom w:val="single" w:color="D6E4F0" w:sz="6"/>
        </w:pBdr>
        <w:spacing w:after="60" w:before="180"/>
      </w:pPr>
      <w:r>
        <w:rPr>
          <w:rFonts w:ascii="Arial" w:cs="Arial" w:eastAsia="Arial" w:hAnsi="Arial"/>
          <w:b/>
          <w:bCs/>
          <w:color w:val="1B3A6B"/>
          <w:sz w:val="24"/>
          <w:szCs w:val="24"/>
        </w:rPr>
        <w:t xml:space="preserve">7. Accuracy, Robustness, and Cybersecurity (Article 15)</w:t>
      </w:r>
    </w:p>
    <w:p>
      <w:pPr>
        <w:pStyle w:val="ListParagraph"/>
        <w:numPr>
          <w:ilvl w:val="0"/>
          <w:numId w:val="2"/>
        </w:numPr>
        <w:spacing w:after="40" w:before="40"/>
      </w:pPr>
      <w:r>
        <w:rPr>
          <w:rFonts w:ascii="Arial" w:cs="Arial" w:eastAsia="Arial" w:hAnsi="Arial"/>
          <w:color w:val="333333"/>
          <w:sz w:val="22"/>
          <w:szCs w:val="22"/>
        </w:rPr>
        <w:t xml:space="preserve">High-risk AI must achieve appropriate levels of accuracy, documented by metrics.</w:t>
      </w:r>
    </w:p>
    <w:p>
      <w:pPr>
        <w:pStyle w:val="ListParagraph"/>
        <w:numPr>
          <w:ilvl w:val="0"/>
          <w:numId w:val="2"/>
        </w:numPr>
        <w:spacing w:after="40" w:before="40"/>
      </w:pPr>
      <w:r>
        <w:rPr>
          <w:rFonts w:ascii="Arial" w:cs="Arial" w:eastAsia="Arial" w:hAnsi="Arial"/>
          <w:color w:val="333333"/>
          <w:sz w:val="22"/>
          <w:szCs w:val="22"/>
        </w:rPr>
        <w:t xml:space="preserve">Systems must be resilient to errors, faults, and adversarial inputs.</w:t>
      </w:r>
    </w:p>
    <w:p>
      <w:pPr>
        <w:pStyle w:val="ListParagraph"/>
        <w:numPr>
          <w:ilvl w:val="0"/>
          <w:numId w:val="2"/>
        </w:numPr>
        <w:spacing w:after="40" w:before="40"/>
      </w:pPr>
      <w:r>
        <w:rPr>
          <w:rFonts w:ascii="Arial" w:cs="Arial" w:eastAsia="Arial" w:hAnsi="Arial"/>
          <w:color w:val="333333"/>
          <w:sz w:val="22"/>
          <w:szCs w:val="22"/>
        </w:rPr>
        <w:t xml:space="preserve">Cybersecurity measures must protect against model manipulation, data poisoning, and unauthorized access.</w:t>
      </w:r>
    </w:p>
    <w:p>
      <w:pPr>
        <w:pStyle w:val="Heading3"/>
        <w:pBdr>
          <w:bottom w:val="single" w:color="D6E4F0" w:sz="6"/>
        </w:pBdr>
        <w:spacing w:after="60" w:before="180"/>
      </w:pPr>
      <w:r>
        <w:rPr>
          <w:rFonts w:ascii="Arial" w:cs="Arial" w:eastAsia="Arial" w:hAnsi="Arial"/>
          <w:b/>
          <w:bCs/>
          <w:color w:val="1B3A6B"/>
          <w:sz w:val="24"/>
          <w:szCs w:val="24"/>
        </w:rPr>
        <w:t xml:space="preserve">8. Conformity Assessment and Registration</w:t>
      </w:r>
    </w:p>
    <w:p>
      <w:pPr>
        <w:pStyle w:val="ListParagraph"/>
        <w:numPr>
          <w:ilvl w:val="0"/>
          <w:numId w:val="2"/>
        </w:numPr>
        <w:spacing w:after="40" w:before="40"/>
      </w:pPr>
      <w:r>
        <w:rPr>
          <w:rFonts w:ascii="Arial" w:cs="Arial" w:eastAsia="Arial" w:hAnsi="Arial"/>
          <w:color w:val="333333"/>
          <w:sz w:val="22"/>
          <w:szCs w:val="22"/>
        </w:rPr>
        <w:t xml:space="preserve">Most high-risk AI systems require a self-assessed conformity assessment before deployment.</w:t>
      </w:r>
    </w:p>
    <w:p>
      <w:pPr>
        <w:pStyle w:val="ListParagraph"/>
        <w:numPr>
          <w:ilvl w:val="0"/>
          <w:numId w:val="2"/>
        </w:numPr>
        <w:spacing w:after="40" w:before="40"/>
      </w:pPr>
      <w:r>
        <w:rPr>
          <w:rFonts w:ascii="Arial" w:cs="Arial" w:eastAsia="Arial" w:hAnsi="Arial"/>
          <w:color w:val="333333"/>
          <w:sz w:val="22"/>
          <w:szCs w:val="22"/>
        </w:rPr>
        <w:t xml:space="preserve">Some categories (biometric systems, law enforcement AI) require third-party assessment by a Notified Body.</w:t>
      </w:r>
    </w:p>
    <w:p>
      <w:pPr>
        <w:pStyle w:val="ListParagraph"/>
        <w:numPr>
          <w:ilvl w:val="0"/>
          <w:numId w:val="2"/>
        </w:numPr>
        <w:spacing w:after="40" w:before="40"/>
      </w:pPr>
      <w:r>
        <w:rPr>
          <w:rFonts w:ascii="Arial" w:cs="Arial" w:eastAsia="Arial" w:hAnsi="Arial"/>
          <w:color w:val="333333"/>
          <w:sz w:val="22"/>
          <w:szCs w:val="22"/>
        </w:rPr>
        <w:t xml:space="preserve">Providers must register high-risk AI systems in the EU AI database maintained by the European Commission.</w:t>
      </w:r>
    </w:p>
    <w:p>
      <w:pPr>
        <w:pStyle w:val="ListParagraph"/>
        <w:numPr>
          <w:ilvl w:val="0"/>
          <w:numId w:val="2"/>
        </w:numPr>
        <w:spacing w:after="40" w:before="40"/>
      </w:pPr>
      <w:r>
        <w:rPr>
          <w:rFonts w:ascii="Arial" w:cs="Arial" w:eastAsia="Arial" w:hAnsi="Arial"/>
          <w:color w:val="333333"/>
          <w:sz w:val="22"/>
          <w:szCs w:val="22"/>
        </w:rPr>
        <w:t xml:space="preserve">Affix a CE marking to indicate conformity.</w:t>
      </w:r>
    </w:p>
    <w:p>
      <w:pPr>
        <w:pStyle w:val="Heading2"/>
        <w:shd w:fill="2E6DA4" w:val="clear"/>
        <w:spacing w:after="80" w:before="240"/>
        <w:ind w:left="120"/>
      </w:pPr>
      <w:r>
        <w:rPr>
          <w:rFonts w:ascii="Arial" w:cs="Arial" w:eastAsia="Arial" w:hAnsi="Arial"/>
          <w:b/>
          <w:bCs/>
          <w:color w:val="FFFFFF"/>
          <w:sz w:val="26"/>
          <w:szCs w:val="26"/>
        </w:rPr>
        <w:t xml:space="preserve">General Purpose AI (GPAI) Models</w:t>
      </w:r>
    </w:p>
    <w:p>
      <w:pPr>
        <w:spacing w:after="60" w:before="60"/>
      </w:pPr>
      <w:r>
        <w:rPr>
          <w:rFonts w:ascii="Arial" w:cs="Arial" w:eastAsia="Arial" w:hAnsi="Arial"/>
          <w:color w:val="333333"/>
          <w:sz w:val="22"/>
          <w:szCs w:val="22"/>
        </w:rPr>
        <w:t xml:space="preserve">The EU AI Act introduces specific obligations for providers of General Purpose AI models — large-scale foundation models like GPT-4, Claude, Llama, or Gemini. If your organization develops or fine-tunes foundation models, these obligations apply:</w:t>
      </w:r>
    </w:p>
    <w:p>
      <w:pPr>
        <w:pStyle w:val="ListParagraph"/>
        <w:numPr>
          <w:ilvl w:val="0"/>
          <w:numId w:val="2"/>
        </w:numPr>
        <w:spacing w:after="40" w:before="40"/>
      </w:pPr>
      <w:r>
        <w:rPr>
          <w:rFonts w:ascii="Arial" w:cs="Arial" w:eastAsia="Arial" w:hAnsi="Arial"/>
          <w:color w:val="333333"/>
          <w:sz w:val="22"/>
          <w:szCs w:val="22"/>
        </w:rPr>
        <w:t xml:space="preserve">Maintain technical documentation about training, capabilities, and limitations.</w:t>
      </w:r>
    </w:p>
    <w:p>
      <w:pPr>
        <w:pStyle w:val="ListParagraph"/>
        <w:numPr>
          <w:ilvl w:val="0"/>
          <w:numId w:val="2"/>
        </w:numPr>
        <w:spacing w:after="40" w:before="40"/>
      </w:pPr>
      <w:r>
        <w:rPr>
          <w:rFonts w:ascii="Arial" w:cs="Arial" w:eastAsia="Arial" w:hAnsi="Arial"/>
          <w:color w:val="333333"/>
          <w:sz w:val="22"/>
          <w:szCs w:val="22"/>
        </w:rPr>
        <w:t xml:space="preserve">Publish a sufficiently detailed summary of training data used.</w:t>
      </w:r>
    </w:p>
    <w:p>
      <w:pPr>
        <w:pStyle w:val="ListParagraph"/>
        <w:numPr>
          <w:ilvl w:val="0"/>
          <w:numId w:val="2"/>
        </w:numPr>
        <w:spacing w:after="40" w:before="40"/>
      </w:pPr>
      <w:r>
        <w:rPr>
          <w:rFonts w:ascii="Arial" w:cs="Arial" w:eastAsia="Arial" w:hAnsi="Arial"/>
          <w:color w:val="333333"/>
          <w:sz w:val="22"/>
          <w:szCs w:val="22"/>
        </w:rPr>
        <w:t xml:space="preserve">Comply with EU copyright law and maintain a policy for copyright compliance.</w:t>
      </w:r>
    </w:p>
    <w:p>
      <w:pPr>
        <w:pStyle w:val="ListParagraph"/>
        <w:numPr>
          <w:ilvl w:val="0"/>
          <w:numId w:val="2"/>
        </w:numPr>
        <w:spacing w:after="40" w:before="40"/>
      </w:pPr>
      <w:r>
        <w:rPr>
          <w:rFonts w:ascii="Arial" w:cs="Arial" w:eastAsia="Arial" w:hAnsi="Arial"/>
          <w:color w:val="333333"/>
          <w:sz w:val="22"/>
          <w:szCs w:val="22"/>
        </w:rPr>
        <w:t xml:space="preserve">GPAI models with systemic risk (trained on compute &gt; 10^25 FLOPs) face additional obligations including adversarial testing and incident reporting to the European AI Office.</w:t>
      </w:r>
    </w:p>
    <w:p>
      <w:pPr>
        <w:pStyle w:val="Heading2"/>
        <w:shd w:fill="2E6DA4" w:val="clear"/>
        <w:spacing w:after="80" w:before="240"/>
        <w:ind w:left="120"/>
      </w:pPr>
      <w:r>
        <w:rPr>
          <w:rFonts w:ascii="Arial" w:cs="Arial" w:eastAsia="Arial" w:hAnsi="Arial"/>
          <w:b/>
          <w:bCs/>
          <w:color w:val="FFFFFF"/>
          <w:sz w:val="26"/>
          <w:szCs w:val="26"/>
        </w:rPr>
        <w:t xml:space="preserve">What Auditors Look For</w:t>
      </w:r>
    </w:p>
    <w:tbl>
      <w:tblPr>
        <w:tblW w:type="dxa" w:w="9360"/>
        <w:tblBorders>
          <w:top w:val="single" w:color="C8960C" w:sz="8"/>
          <w:left w:val="single" w:color="C8960C" w:sz="8"/>
          <w:bottom w:val="single" w:color="C8960C" w:sz="8"/>
          <w:right w:val="single" w:color="C8960C" w:sz="8"/>
          <w:insideH w:val="single" w:color="auto" w:sz="4"/>
          <w:insideV w:val="single" w:color="auto" w:sz="4"/>
        </w:tblBorders>
      </w:tblPr>
      <w:tblGrid>
        <w:gridCol w:w="200"/>
        <w:gridCol w:w="9160"/>
      </w:tblGrid>
      <w:tr>
        <w:tc>
          <w:tcPr>
            <w:tcW w:type="dxa" w:w="200"/>
            <w:tcBorders>
              <w:top w:val="nil"/>
              <w:left w:val="nil"/>
              <w:bottom w:val="nil"/>
              <w:right w:val="nil"/>
            </w:tcBorders>
            <w:shd w:fill="C8960C"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D6E4F0" w:val="clear"/>
            <w:tcMar>
              <w:top w:type="dxa" w:w="80"/>
              <w:left w:type="dxa" w:w="160"/>
              <w:bottom w:type="dxa" w:w="80"/>
              <w:right w:type="dxa" w:w="120"/>
            </w:tcMar>
          </w:tcPr>
          <w:p>
            <w:pPr>
              <w:spacing w:after="0" w:before="0"/>
            </w:pPr>
            <w:r>
              <w:rPr>
                <w:rFonts w:ascii="Arial" w:cs="Arial" w:eastAsia="Arial" w:hAnsi="Arial"/>
                <w:b/>
                <w:bCs/>
                <w:color w:val="1B3A6B"/>
                <w:sz w:val="22"/>
                <w:szCs w:val="22"/>
              </w:rPr>
              <w:t xml:space="preserve">Audit Focus: </w:t>
            </w:r>
            <w:r>
              <w:rPr>
                <w:rFonts w:ascii="Arial" w:cs="Arial" w:eastAsia="Arial" w:hAnsi="Arial"/>
                <w:color w:val="333333"/>
                <w:sz w:val="22"/>
                <w:szCs w:val="22"/>
              </w:rPr>
              <w:t xml:space="preserve">EU AI Act audits involve national market surveillance authorities in each member state, plus the European AI Office for GPAI. Penalties are severe and public. Your first defense is an airtight risk classification decision with documented justification.</w:t>
            </w:r>
          </w:p>
        </w:tc>
      </w:tr>
    </w:tbl>
    <w:p>
      <w:pPr>
        <w:pStyle w:val="ListParagraph"/>
        <w:numPr>
          <w:ilvl w:val="0"/>
          <w:numId w:val="2"/>
        </w:numPr>
        <w:spacing w:after="40" w:before="40"/>
      </w:pPr>
      <w:r>
        <w:rPr>
          <w:rFonts w:ascii="Arial" w:cs="Arial" w:eastAsia="Arial" w:hAnsi="Arial"/>
          <w:color w:val="333333"/>
          <w:sz w:val="22"/>
          <w:szCs w:val="22"/>
        </w:rPr>
        <w:t xml:space="preserve">AI System Risk Classification Register — documented classification for every AI system, with justification.</w:t>
      </w:r>
    </w:p>
    <w:p>
      <w:pPr>
        <w:pStyle w:val="ListParagraph"/>
        <w:numPr>
          <w:ilvl w:val="0"/>
          <w:numId w:val="2"/>
        </w:numPr>
        <w:spacing w:after="40" w:before="40"/>
      </w:pPr>
      <w:r>
        <w:rPr>
          <w:rFonts w:ascii="Arial" w:cs="Arial" w:eastAsia="Arial" w:hAnsi="Arial"/>
          <w:color w:val="333333"/>
          <w:sz w:val="22"/>
          <w:szCs w:val="22"/>
        </w:rPr>
        <w:t xml:space="preserve">Technical Documentation package — complete, current, stored for the required retention period.</w:t>
      </w:r>
    </w:p>
    <w:p>
      <w:pPr>
        <w:pStyle w:val="ListParagraph"/>
        <w:numPr>
          <w:ilvl w:val="0"/>
          <w:numId w:val="2"/>
        </w:numPr>
        <w:spacing w:after="40" w:before="40"/>
      </w:pPr>
      <w:r>
        <w:rPr>
          <w:rFonts w:ascii="Arial" w:cs="Arial" w:eastAsia="Arial" w:hAnsi="Arial"/>
          <w:color w:val="333333"/>
          <w:sz w:val="22"/>
          <w:szCs w:val="22"/>
        </w:rPr>
        <w:t xml:space="preserve">Risk Management System documentation — evidence of ongoing risk identification, evaluation, and treatment.</w:t>
      </w:r>
    </w:p>
    <w:p>
      <w:pPr>
        <w:pStyle w:val="ListParagraph"/>
        <w:numPr>
          <w:ilvl w:val="0"/>
          <w:numId w:val="2"/>
        </w:numPr>
        <w:spacing w:after="40" w:before="40"/>
      </w:pPr>
      <w:r>
        <w:rPr>
          <w:rFonts w:ascii="Arial" w:cs="Arial" w:eastAsia="Arial" w:hAnsi="Arial"/>
          <w:color w:val="333333"/>
          <w:sz w:val="22"/>
          <w:szCs w:val="22"/>
        </w:rPr>
        <w:t xml:space="preserve">Data Governance records — training data documentation, bias assessments, data quality evidence.</w:t>
      </w:r>
    </w:p>
    <w:p>
      <w:pPr>
        <w:pStyle w:val="ListParagraph"/>
        <w:numPr>
          <w:ilvl w:val="0"/>
          <w:numId w:val="2"/>
        </w:numPr>
        <w:spacing w:after="40" w:before="40"/>
      </w:pPr>
      <w:r>
        <w:rPr>
          <w:rFonts w:ascii="Arial" w:cs="Arial" w:eastAsia="Arial" w:hAnsi="Arial"/>
          <w:color w:val="333333"/>
          <w:sz w:val="22"/>
          <w:szCs w:val="22"/>
        </w:rPr>
        <w:t xml:space="preserve">Logging configuration and log samples — demonstrating automated event capture is active.</w:t>
      </w:r>
    </w:p>
    <w:p>
      <w:pPr>
        <w:pStyle w:val="ListParagraph"/>
        <w:numPr>
          <w:ilvl w:val="0"/>
          <w:numId w:val="2"/>
        </w:numPr>
        <w:spacing w:after="40" w:before="40"/>
      </w:pPr>
      <w:r>
        <w:rPr>
          <w:rFonts w:ascii="Arial" w:cs="Arial" w:eastAsia="Arial" w:hAnsi="Arial"/>
          <w:color w:val="333333"/>
          <w:sz w:val="22"/>
          <w:szCs w:val="22"/>
        </w:rPr>
        <w:t xml:space="preserve">Human Oversight procedures — documented, trained on, and tested.</w:t>
      </w:r>
    </w:p>
    <w:p>
      <w:pPr>
        <w:pStyle w:val="ListParagraph"/>
        <w:numPr>
          <w:ilvl w:val="0"/>
          <w:numId w:val="2"/>
        </w:numPr>
        <w:spacing w:after="40" w:before="40"/>
      </w:pPr>
      <w:r>
        <w:rPr>
          <w:rFonts w:ascii="Arial" w:cs="Arial" w:eastAsia="Arial" w:hAnsi="Arial"/>
          <w:color w:val="333333"/>
          <w:sz w:val="22"/>
          <w:szCs w:val="22"/>
        </w:rPr>
        <w:t xml:space="preserve">Conformity Assessment records and EU database registration confirmation.</w:t>
      </w:r>
    </w:p>
    <w:p>
      <w:pPr>
        <w:pStyle w:val="ListParagraph"/>
        <w:numPr>
          <w:ilvl w:val="0"/>
          <w:numId w:val="2"/>
        </w:numPr>
        <w:spacing w:after="40" w:before="40"/>
      </w:pPr>
      <w:r>
        <w:rPr>
          <w:rFonts w:ascii="Arial" w:cs="Arial" w:eastAsia="Arial" w:hAnsi="Arial"/>
          <w:color w:val="333333"/>
          <w:sz w:val="22"/>
          <w:szCs w:val="22"/>
        </w:rPr>
        <w:t xml:space="preserve">Incident reports — any serious incidents or malfunctions must be reported to national authorities within 15 days (calendar days, not business days).</w:t>
      </w:r>
    </w:p>
    <w:p>
      <w:pPr>
        <w:pBdr>
          <w:bottom w:val="single" w:color="D6E4F0" w:sz="6"/>
        </w:pBdr>
        <w:spacing w:after="120" w:before="120"/>
      </w:pPr>
      <w:r>
        <w:rPr>
          <w:rFonts w:ascii="Arial" w:cs="Arial" w:eastAsia="Arial" w:hAnsi="Arial"/>
          <w:color w:val="333333"/>
          <w:sz w:val="22"/>
          <w:szCs w:val="22"/>
        </w:rPr>
        <w:t xml:space="preserve"/>
      </w:r>
    </w:p>
    <w:p>
      <w:r>
        <w:br/>
      </w:r>
    </w:p>
    <w:p>
      <w:pPr>
        <w:pStyle w:val="Heading1"/>
        <w:pBdr>
          <w:bottom w:val="single" w:color="C8960C" w:sz="8"/>
        </w:pBdr>
        <w:shd w:fill="1B3A6B" w:val="clear"/>
        <w:spacing w:after="120" w:before="360"/>
        <w:ind w:left="180" w:right="180"/>
      </w:pPr>
      <w:r>
        <w:rPr>
          <w:rFonts w:ascii="Arial" w:cs="Arial" w:eastAsia="Arial" w:hAnsi="Arial"/>
          <w:b/>
          <w:bCs/>
          <w:color w:val="FFFFFF"/>
          <w:sz w:val="32"/>
          <w:szCs w:val="32"/>
        </w:rPr>
        <w:t xml:space="preserve">Framework 5: General Data Protection Regulation (GDPR)</w:t>
      </w:r>
    </w:p>
    <w:p>
      <w:pPr>
        <w:pStyle w:val="Heading2"/>
        <w:shd w:fill="2E6DA4" w:val="clear"/>
        <w:spacing w:after="80" w:before="240"/>
        <w:ind w:left="120"/>
      </w:pPr>
      <w:r>
        <w:rPr>
          <w:rFonts w:ascii="Arial" w:cs="Arial" w:eastAsia="Arial" w:hAnsi="Arial"/>
          <w:b/>
          <w:bCs/>
          <w:color w:val="FFFFFF"/>
          <w:sz w:val="26"/>
          <w:szCs w:val="26"/>
        </w:rPr>
        <w:t xml:space="preserve">What It Is and Why It Matters</w:t>
      </w:r>
    </w:p>
    <w:p>
      <w:pPr>
        <w:spacing w:after="60" w:before="60"/>
      </w:pPr>
      <w:r>
        <w:rPr>
          <w:rFonts w:ascii="Arial" w:cs="Arial" w:eastAsia="Arial" w:hAnsi="Arial"/>
          <w:color w:val="333333"/>
          <w:sz w:val="22"/>
          <w:szCs w:val="22"/>
        </w:rPr>
        <w:t xml:space="preserve">The General Data Protection Regulation (EU) 2016/679 has been in force since May 25, 2018. It is the gold standard for data privacy law globally — influencing CCPA, Virginia CDPA, Brazil's LGPD, and dozens of other national privacy laws. For AI governance practitioners, GDPR is not background noise — it is a direct constraint on how AI systems can be trained, deployed, and used.</w:t>
      </w:r>
    </w:p>
    <w:p>
      <w:pPr>
        <w:spacing w:after="60" w:before="60"/>
      </w:pPr>
      <w:r>
        <w:rPr>
          <w:rFonts w:ascii="Arial" w:cs="Arial" w:eastAsia="Arial" w:hAnsi="Arial"/>
          <w:color w:val="333333"/>
          <w:sz w:val="22"/>
          <w:szCs w:val="22"/>
        </w:rPr>
        <w:t xml:space="preserve">AI systems are voracious data consumers. They are trained on datasets that often contain personal data. They make inferences about individuals. They generate outputs that can reveal sensitive information. Every one of those activities intersects with GDPR. Getting this wrong is not a technical violation — it is a fundamental rights violation, and the penalties reflect that.</w:t>
      </w:r>
    </w:p>
    <w:tbl>
      <w:tblPr>
        <w:tblW w:type="dxa" w:w="9360"/>
        <w:tblBorders>
          <w:top w:val="single" w:color="C8960C" w:sz="8"/>
          <w:left w:val="single" w:color="C8960C" w:sz="8"/>
          <w:bottom w:val="single" w:color="C8960C" w:sz="8"/>
          <w:right w:val="single" w:color="C8960C" w:sz="8"/>
          <w:insideH w:val="single" w:color="auto" w:sz="4"/>
          <w:insideV w:val="single" w:color="auto" w:sz="4"/>
        </w:tblBorders>
      </w:tblPr>
      <w:tblGrid>
        <w:gridCol w:w="200"/>
        <w:gridCol w:w="9160"/>
      </w:tblGrid>
      <w:tr>
        <w:tc>
          <w:tcPr>
            <w:tcW w:type="dxa" w:w="200"/>
            <w:tcBorders>
              <w:top w:val="nil"/>
              <w:left w:val="nil"/>
              <w:bottom w:val="nil"/>
              <w:right w:val="nil"/>
            </w:tcBorders>
            <w:shd w:fill="C8960C"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D6E4F0" w:val="clear"/>
            <w:tcMar>
              <w:top w:type="dxa" w:w="80"/>
              <w:left w:type="dxa" w:w="160"/>
              <w:bottom w:type="dxa" w:w="80"/>
              <w:right w:type="dxa" w:w="120"/>
            </w:tcMar>
          </w:tcPr>
          <w:p>
            <w:pPr>
              <w:spacing w:after="0" w:before="0"/>
            </w:pPr>
            <w:r>
              <w:rPr>
                <w:rFonts w:ascii="Arial" w:cs="Arial" w:eastAsia="Arial" w:hAnsi="Arial"/>
                <w:b/>
                <w:bCs/>
                <w:color w:val="1B3A6B"/>
                <w:sz w:val="22"/>
                <w:szCs w:val="22"/>
              </w:rPr>
              <w:t xml:space="preserve">Penalty Structure: </w:t>
            </w:r>
            <w:r>
              <w:rPr>
                <w:rFonts w:ascii="Arial" w:cs="Arial" w:eastAsia="Arial" w:hAnsi="Arial"/>
                <w:color w:val="333333"/>
                <w:sz w:val="22"/>
                <w:szCs w:val="22"/>
              </w:rPr>
              <w:t xml:space="preserve">GDPR penalties tier at €10M / 2% of global annual turnover (lower tier: organizational failures) and €20M / 4% of global annual turnover (upper tier: violations of core rights and principles). Actual fines have exceeded €1.2 billion against individual organizations.</w:t>
            </w:r>
          </w:p>
        </w:tc>
      </w:tr>
    </w:tbl>
    <w:p>
      <w:pPr>
        <w:pStyle w:val="Heading2"/>
        <w:shd w:fill="2E6DA4" w:val="clear"/>
        <w:spacing w:after="80" w:before="240"/>
        <w:ind w:left="120"/>
      </w:pPr>
      <w:r>
        <w:rPr>
          <w:rFonts w:ascii="Arial" w:cs="Arial" w:eastAsia="Arial" w:hAnsi="Arial"/>
          <w:b/>
          <w:bCs/>
          <w:color w:val="FFFFFF"/>
          <w:sz w:val="26"/>
          <w:szCs w:val="26"/>
        </w:rPr>
        <w:t xml:space="preserve">The Six Lawful Bases for Processing</w:t>
      </w:r>
    </w:p>
    <w:p>
      <w:pPr>
        <w:spacing w:after="60" w:before="60"/>
      </w:pPr>
      <w:r>
        <w:rPr>
          <w:rFonts w:ascii="Arial" w:cs="Arial" w:eastAsia="Arial" w:hAnsi="Arial"/>
          <w:color w:val="333333"/>
          <w:sz w:val="22"/>
          <w:szCs w:val="22"/>
        </w:rPr>
        <w:t xml:space="preserve">Every personal data processing activity — including AI training and inference — must rest on one of six lawful bases under Article 6. This is your legal foundation. If you cannot name the lawful basis for your AI system's data processing, you have a compliance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tblHeader/>
        </w:trP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Lawful Basis</w:t>
            </w:r>
          </w:p>
        </w:tc>
        <w:tc>
          <w:tcPr>
            <w:tcW w:type="dxa" w:w="34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When It Applies</w:t>
            </w:r>
          </w:p>
        </w:tc>
        <w:tc>
          <w:tcPr>
            <w:tcW w:type="dxa" w:w="38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AI Use Case Relevance</w:t>
            </w:r>
          </w:p>
        </w:tc>
      </w:tr>
      <w:tr>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Consent</w:t>
            </w:r>
          </w:p>
        </w:tc>
        <w:tc>
          <w:tcPr>
            <w:tcW w:type="dxa" w:w="34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Data subject freely given, specific, informed, unambiguous consent.</w:t>
            </w:r>
          </w:p>
        </w:tc>
        <w:tc>
          <w:tcPr>
            <w:tcW w:type="dxa" w:w="38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Rare for AI training. Hard to maintain and revocable. Not suitable for large-scale training datasets.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Contract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Processing necessary to perform a contract with the data subject.</w:t>
            </w:r>
          </w:p>
        </w:tc>
        <w:tc>
          <w:tcPr>
            <w:tcW w:type="dxa" w:w="3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AI systems delivering contracted services (e.g., personalized recommendations in a subscription service).</w:t>
            </w:r>
          </w:p>
        </w:tc>
      </w:tr>
      <w:tr>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Legal Obligation</w:t>
            </w:r>
          </w:p>
        </w:tc>
        <w:tc>
          <w:tcPr>
            <w:tcW w:type="dxa" w:w="34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Processing required to comply with a legal requirement.</w:t>
            </w:r>
          </w:p>
        </w:tc>
        <w:tc>
          <w:tcPr>
            <w:tcW w:type="dxa" w:w="38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AI used in mandatory fraud detection, sanctions screening, or regulatory reporting.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Vital Interests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Processing necessary to protect life.</w:t>
            </w:r>
          </w:p>
        </w:tc>
        <w:tc>
          <w:tcPr>
            <w:tcW w:type="dxa" w:w="3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Emergency medical AI — limited and narrow application.</w:t>
            </w:r>
          </w:p>
        </w:tc>
      </w:tr>
      <w:tr>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Public Task</w:t>
            </w:r>
          </w:p>
        </w:tc>
        <w:tc>
          <w:tcPr>
            <w:tcW w:type="dxa" w:w="34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Processing by public authorities for official functions.</w:t>
            </w:r>
          </w:p>
        </w:tc>
        <w:tc>
          <w:tcPr>
            <w:tcW w:type="dxa" w:w="38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Federal agency AI (VA, DoD, etc.) processing data in the exercise of official authority.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Legitimate Interests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Necessary for legitimate interests of the controller or third party, not overridden by data subject rights.</w:t>
            </w:r>
          </w:p>
        </w:tc>
        <w:tc>
          <w:tcPr>
            <w:tcW w:type="dxa" w:w="3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Most common for commercial AI. Requires a Legitimate Interests Assessment (LIA). Balancing test required.</w:t>
            </w:r>
          </w:p>
        </w:tc>
      </w:tr>
    </w:tbl>
    <w:p>
      <w:pPr>
        <w:spacing w:after="0" w:before="240"/>
      </w:pPr>
      <w:r>
        <w:rPr>
          <w:rFonts w:ascii="Arial" w:cs="Arial" w:eastAsia="Arial" w:hAnsi="Arial"/>
          <w:color w:val="333333"/>
          <w:sz w:val="22"/>
          <w:szCs w:val="22"/>
        </w:rPr>
        <w:t xml:space="preserve"/>
      </w:r>
    </w:p>
    <w:p>
      <w:pPr>
        <w:pStyle w:val="Heading2"/>
        <w:shd w:fill="2E6DA4" w:val="clear"/>
        <w:spacing w:after="80" w:before="240"/>
        <w:ind w:left="120"/>
      </w:pPr>
      <w:r>
        <w:rPr>
          <w:rFonts w:ascii="Arial" w:cs="Arial" w:eastAsia="Arial" w:hAnsi="Arial"/>
          <w:b/>
          <w:bCs/>
          <w:color w:val="FFFFFF"/>
          <w:sz w:val="26"/>
          <w:szCs w:val="26"/>
        </w:rPr>
        <w:t xml:space="preserve">The Eight Core Data Subject Rights</w:t>
      </w:r>
    </w:p>
    <w:p>
      <w:pPr>
        <w:spacing w:after="60" w:before="60"/>
      </w:pPr>
      <w:r>
        <w:rPr>
          <w:rFonts w:ascii="Arial" w:cs="Arial" w:eastAsia="Arial" w:hAnsi="Arial"/>
          <w:color w:val="333333"/>
          <w:sz w:val="22"/>
          <w:szCs w:val="22"/>
        </w:rPr>
        <w:t xml:space="preserve">GDPR grants individuals eight core rights over their personal data. AI systems must be designed to support all of them — they cannot be an afterthought. All eight are listed below, with specific notes on those that are especially challenging for AI implementations:</w:t>
      </w:r>
    </w:p>
    <w:p>
      <w:pPr>
        <w:pStyle w:val="ListParagraph"/>
        <w:numPr>
          <w:ilvl w:val="0"/>
          <w:numId w:val="2"/>
        </w:numPr>
        <w:spacing w:after="40" w:before="40"/>
      </w:pPr>
      <w:r>
        <w:rPr>
          <w:rFonts w:ascii="Arial" w:cs="Arial" w:eastAsia="Arial" w:hAnsi="Arial"/>
          <w:color w:val="333333"/>
          <w:sz w:val="22"/>
          <w:szCs w:val="22"/>
        </w:rPr>
        <w:t xml:space="preserve">Right of Access (Article 15) — individuals can request what data you hold about them and how it is being used. If their data is in your training dataset, you must be able to respond.</w:t>
      </w:r>
    </w:p>
    <w:p>
      <w:pPr>
        <w:pStyle w:val="ListParagraph"/>
        <w:numPr>
          <w:ilvl w:val="0"/>
          <w:numId w:val="2"/>
        </w:numPr>
        <w:spacing w:after="40" w:before="40"/>
      </w:pPr>
      <w:r>
        <w:rPr>
          <w:rFonts w:ascii="Arial" w:cs="Arial" w:eastAsia="Arial" w:hAnsi="Arial"/>
          <w:color w:val="333333"/>
          <w:sz w:val="22"/>
          <w:szCs w:val="22"/>
        </w:rPr>
        <w:t xml:space="preserve">Right to Erasure / 'Right to be Forgotten' (Article 17) — individuals can request deletion of their data. For AI, this raises complex questions: can you delete data from a trained model? Machine unlearning is an emerging technical field addressing this.</w:t>
      </w:r>
    </w:p>
    <w:p>
      <w:pPr>
        <w:pStyle w:val="ListParagraph"/>
        <w:numPr>
          <w:ilvl w:val="0"/>
          <w:numId w:val="2"/>
        </w:numPr>
        <w:spacing w:after="40" w:before="40"/>
      </w:pPr>
      <w:r>
        <w:rPr>
          <w:rFonts w:ascii="Arial" w:cs="Arial" w:eastAsia="Arial" w:hAnsi="Arial"/>
          <w:color w:val="333333"/>
          <w:sz w:val="22"/>
          <w:szCs w:val="22"/>
        </w:rPr>
        <w:t xml:space="preserve">Right to Rectification (Article 16) — if data is inaccurate, individuals can request correction. AI systems trained on inaccurate data may need retraining.</w:t>
      </w:r>
    </w:p>
    <w:p>
      <w:pPr>
        <w:pStyle w:val="ListParagraph"/>
        <w:numPr>
          <w:ilvl w:val="0"/>
          <w:numId w:val="2"/>
        </w:numPr>
        <w:spacing w:after="40" w:before="40"/>
      </w:pPr>
      <w:r>
        <w:rPr>
          <w:rFonts w:ascii="Arial" w:cs="Arial" w:eastAsia="Arial" w:hAnsi="Arial"/>
          <w:color w:val="333333"/>
          <w:sz w:val="22"/>
          <w:szCs w:val="22"/>
        </w:rPr>
        <w:t xml:space="preserve">Right to Object (Article 21) — individuals can object to processing based on legitimate interests, including profiling.</w:t>
      </w:r>
    </w:p>
    <w:p>
      <w:pPr>
        <w:pStyle w:val="ListParagraph"/>
        <w:numPr>
          <w:ilvl w:val="0"/>
          <w:numId w:val="2"/>
        </w:numPr>
        <w:spacing w:after="40" w:before="40"/>
      </w:pPr>
      <w:r>
        <w:rPr>
          <w:rFonts w:ascii="Arial" w:cs="Arial" w:eastAsia="Arial" w:hAnsi="Arial"/>
          <w:color w:val="333333"/>
          <w:sz w:val="22"/>
          <w:szCs w:val="22"/>
        </w:rPr>
        <w:t xml:space="preserve">Rights Related to Automated Decision-Making (Article 22) — individuals have the right not to be subject to decisions based solely on automated processing that produce significant effects. This is the GDPR provision most directly targeting AI decision-making.</w:t>
      </w:r>
    </w:p>
    <w:p>
      <w:pPr>
        <w:pStyle w:val="ListParagraph"/>
        <w:numPr>
          <w:ilvl w:val="0"/>
          <w:numId w:val="2"/>
        </w:numPr>
        <w:spacing w:after="40" w:before="40"/>
      </w:pPr>
      <w:r>
        <w:rPr>
          <w:rFonts w:ascii="Arial" w:cs="Arial" w:eastAsia="Arial" w:hAnsi="Arial"/>
          <w:color w:val="333333"/>
          <w:sz w:val="22"/>
          <w:szCs w:val="22"/>
        </w:rPr>
        <w:t xml:space="preserve">Right to be Informed (Articles 13–14) — individuals must be told, at the point of data collection, what data is being collected, the lawful basis, the purposes of processing, retention periods, and their rights. For AI systems, this means privacy notices must explicitly disclose AI-based processing, automated decision-making, and profiling. This is the right most commonly violated by opaque AI deployments.</w:t>
      </w:r>
    </w:p>
    <w:p>
      <w:pPr>
        <w:pStyle w:val="ListParagraph"/>
        <w:numPr>
          <w:ilvl w:val="0"/>
          <w:numId w:val="2"/>
        </w:numPr>
        <w:spacing w:after="40" w:before="40"/>
      </w:pPr>
      <w:r>
        <w:rPr>
          <w:rFonts w:ascii="Arial" w:cs="Arial" w:eastAsia="Arial" w:hAnsi="Arial"/>
          <w:color w:val="333333"/>
          <w:sz w:val="22"/>
          <w:szCs w:val="22"/>
        </w:rPr>
        <w:t xml:space="preserve">Right to Restriction of Processing (Article 18) — individuals can request that processing be temporarily halted while a dispute about accuracy or lawful basis is resolved. For AI systems using disputed data, this creates an operational hold obligation that must be technically enforceable.</w:t>
      </w:r>
    </w:p>
    <w:p>
      <w:pPr>
        <w:pStyle w:val="ListParagraph"/>
        <w:numPr>
          <w:ilvl w:val="0"/>
          <w:numId w:val="2"/>
        </w:numPr>
        <w:spacing w:after="40" w:before="40"/>
      </w:pPr>
      <w:r>
        <w:rPr>
          <w:rFonts w:ascii="Arial" w:cs="Arial" w:eastAsia="Arial" w:hAnsi="Arial"/>
          <w:color w:val="333333"/>
          <w:sz w:val="22"/>
          <w:szCs w:val="22"/>
        </w:rPr>
        <w:t xml:space="preserve">Right to Data Portability (Article 20) — individuals can request their personal data in a structured, commonly used, machine-readable format, and can transmit it to another controller. This applies where processing is based on consent or contract and is carried out by automated means. AI systems that store user-provided data or generate user-specific outputs must be able to export that data portably.</w:t>
      </w:r>
    </w:p>
    <w:p>
      <w:pPr>
        <w:pStyle w:val="Heading2"/>
        <w:shd w:fill="2E6DA4" w:val="clear"/>
        <w:spacing w:after="80" w:before="240"/>
        <w:ind w:left="120"/>
      </w:pPr>
      <w:r>
        <w:rPr>
          <w:rFonts w:ascii="Arial" w:cs="Arial" w:eastAsia="Arial" w:hAnsi="Arial"/>
          <w:b/>
          <w:bCs/>
          <w:color w:val="FFFFFF"/>
          <w:sz w:val="26"/>
          <w:szCs w:val="26"/>
        </w:rPr>
        <w:t xml:space="preserve">Article 22 — Automated Decision-Making: The AI Provision</w:t>
      </w:r>
    </w:p>
    <w:p>
      <w:pPr>
        <w:spacing w:after="60" w:before="60"/>
      </w:pPr>
      <w:r>
        <w:rPr>
          <w:rFonts w:ascii="Arial" w:cs="Arial" w:eastAsia="Arial" w:hAnsi="Arial"/>
          <w:color w:val="333333"/>
          <w:sz w:val="22"/>
          <w:szCs w:val="22"/>
        </w:rPr>
        <w:t xml:space="preserve">Article 22 is the provision every AI governance professional must understand cold. It restricts automated decision-making that produces 'legal or similarly significant effects' on individuals. The restriction covers:</w:t>
      </w:r>
    </w:p>
    <w:p>
      <w:pPr>
        <w:pStyle w:val="ListParagraph"/>
        <w:numPr>
          <w:ilvl w:val="0"/>
          <w:numId w:val="2"/>
        </w:numPr>
        <w:spacing w:after="40" w:before="40"/>
      </w:pPr>
      <w:r>
        <w:rPr>
          <w:rFonts w:ascii="Arial" w:cs="Arial" w:eastAsia="Arial" w:hAnsi="Arial"/>
          <w:color w:val="333333"/>
          <w:sz w:val="22"/>
          <w:szCs w:val="22"/>
        </w:rPr>
        <w:t xml:space="preserve">Decisions made without any human involvement (fully automated).</w:t>
      </w:r>
    </w:p>
    <w:p>
      <w:pPr>
        <w:pStyle w:val="ListParagraph"/>
        <w:numPr>
          <w:ilvl w:val="0"/>
          <w:numId w:val="2"/>
        </w:numPr>
        <w:spacing w:after="40" w:before="40"/>
      </w:pPr>
      <w:r>
        <w:rPr>
          <w:rFonts w:ascii="Arial" w:cs="Arial" w:eastAsia="Arial" w:hAnsi="Arial"/>
          <w:color w:val="333333"/>
          <w:sz w:val="22"/>
          <w:szCs w:val="22"/>
        </w:rPr>
        <w:t xml:space="preserve">Decisions based on profiling — building a profile of an individual to make predictions about them.</w:t>
      </w:r>
    </w:p>
    <w:p>
      <w:pPr>
        <w:pStyle w:val="ListParagraph"/>
        <w:numPr>
          <w:ilvl w:val="0"/>
          <w:numId w:val="2"/>
        </w:numPr>
        <w:spacing w:after="40" w:before="40"/>
      </w:pPr>
      <w:r>
        <w:rPr>
          <w:rFonts w:ascii="Arial" w:cs="Arial" w:eastAsia="Arial" w:hAnsi="Arial"/>
          <w:color w:val="333333"/>
          <w:sz w:val="22"/>
          <w:szCs w:val="22"/>
        </w:rPr>
        <w:t xml:space="preserve">Decisions that produce legal effects (denial of benefits, criminal proceedings) or similarly significant effects (creditworthiness, employment, access to services).</w:t>
      </w:r>
    </w:p>
    <w:p>
      <w:pPr>
        <w:spacing w:after="60" w:before="60"/>
      </w:pPr>
      <w:r>
        <w:rPr>
          <w:rFonts w:ascii="Arial" w:cs="Arial" w:eastAsia="Arial" w:hAnsi="Arial"/>
          <w:color w:val="333333"/>
          <w:sz w:val="22"/>
          <w:szCs w:val="22"/>
        </w:rPr>
        <w:t xml:space="preserve">Where Article 22 applies, you must either: (a) obtain explicit consent, (b) establish that the decision is necessary for a contract, or (c) authorize the decision through Union or Member State law. In all cases, you must provide the individual with the right to obtain human review of the decision, to express their point of view, and to contest the decision.</w:t>
      </w:r>
    </w:p>
    <w:p>
      <w:pPr>
        <w:pStyle w:val="Heading2"/>
        <w:shd w:fill="2E6DA4" w:val="clear"/>
        <w:spacing w:after="80" w:before="240"/>
        <w:ind w:left="120"/>
      </w:pPr>
      <w:r>
        <w:rPr>
          <w:rFonts w:ascii="Arial" w:cs="Arial" w:eastAsia="Arial" w:hAnsi="Arial"/>
          <w:b/>
          <w:bCs/>
          <w:color w:val="FFFFFF"/>
          <w:sz w:val="26"/>
          <w:szCs w:val="26"/>
        </w:rPr>
        <w:t xml:space="preserve">Privacy by Design and by Default</w:t>
      </w:r>
    </w:p>
    <w:p>
      <w:pPr>
        <w:spacing w:after="60" w:before="60"/>
      </w:pPr>
      <w:r>
        <w:rPr>
          <w:rFonts w:ascii="Arial" w:cs="Arial" w:eastAsia="Arial" w:hAnsi="Arial"/>
          <w:color w:val="333333"/>
          <w:sz w:val="22"/>
          <w:szCs w:val="22"/>
        </w:rPr>
        <w:t xml:space="preserve">Article 25 requires that privacy protections be built into AI systems from the design stage — not bolted on afterward. This means:</w:t>
      </w:r>
    </w:p>
    <w:p>
      <w:pPr>
        <w:pStyle w:val="ListParagraph"/>
        <w:numPr>
          <w:ilvl w:val="0"/>
          <w:numId w:val="2"/>
        </w:numPr>
        <w:spacing w:after="40" w:before="40"/>
      </w:pPr>
      <w:r>
        <w:rPr>
          <w:rFonts w:ascii="Arial" w:cs="Arial" w:eastAsia="Arial" w:hAnsi="Arial"/>
          <w:color w:val="333333"/>
          <w:sz w:val="22"/>
          <w:szCs w:val="22"/>
        </w:rPr>
        <w:t xml:space="preserve">Data Minimization — collect and use only the personal data actually necessary for the AI's purpose. Do not vacuum up data 'in case it is useful.'</w:t>
      </w:r>
    </w:p>
    <w:p>
      <w:pPr>
        <w:pStyle w:val="ListParagraph"/>
        <w:numPr>
          <w:ilvl w:val="0"/>
          <w:numId w:val="2"/>
        </w:numPr>
        <w:spacing w:after="40" w:before="40"/>
      </w:pPr>
      <w:r>
        <w:rPr>
          <w:rFonts w:ascii="Arial" w:cs="Arial" w:eastAsia="Arial" w:hAnsi="Arial"/>
          <w:color w:val="333333"/>
          <w:sz w:val="22"/>
          <w:szCs w:val="22"/>
        </w:rPr>
        <w:t xml:space="preserve">Purpose Limitation — data collected for one purpose cannot be repurposed for AI training without re-establishing a lawful basis.</w:t>
      </w:r>
    </w:p>
    <w:p>
      <w:pPr>
        <w:pStyle w:val="ListParagraph"/>
        <w:numPr>
          <w:ilvl w:val="0"/>
          <w:numId w:val="2"/>
        </w:numPr>
        <w:spacing w:after="40" w:before="40"/>
      </w:pPr>
      <w:r>
        <w:rPr>
          <w:rFonts w:ascii="Arial" w:cs="Arial" w:eastAsia="Arial" w:hAnsi="Arial"/>
          <w:color w:val="333333"/>
          <w:sz w:val="22"/>
          <w:szCs w:val="22"/>
        </w:rPr>
        <w:t xml:space="preserve">Storage Limitation — personal data in AI training sets and inference logs must have defined retention periods. Audit logs must not retain personal data indefinitely.</w:t>
      </w:r>
    </w:p>
    <w:p>
      <w:pPr>
        <w:pStyle w:val="ListParagraph"/>
        <w:numPr>
          <w:ilvl w:val="0"/>
          <w:numId w:val="2"/>
        </w:numPr>
        <w:spacing w:after="40" w:before="40"/>
      </w:pPr>
      <w:r>
        <w:rPr>
          <w:rFonts w:ascii="Arial" w:cs="Arial" w:eastAsia="Arial" w:hAnsi="Arial"/>
          <w:color w:val="333333"/>
          <w:sz w:val="22"/>
          <w:szCs w:val="22"/>
        </w:rPr>
        <w:t xml:space="preserve">Technical and Organizational Measures (TOMs) — implement pseudonymization, encryption, access controls, and audit logging as baseline privacy protections.</w:t>
      </w:r>
    </w:p>
    <w:p>
      <w:pPr>
        <w:pStyle w:val="Heading2"/>
        <w:shd w:fill="2E6DA4" w:val="clear"/>
        <w:spacing w:after="80" w:before="240"/>
        <w:ind w:left="120"/>
      </w:pPr>
      <w:r>
        <w:rPr>
          <w:rFonts w:ascii="Arial" w:cs="Arial" w:eastAsia="Arial" w:hAnsi="Arial"/>
          <w:b/>
          <w:bCs/>
          <w:color w:val="FFFFFF"/>
          <w:sz w:val="26"/>
          <w:szCs w:val="26"/>
        </w:rPr>
        <w:t xml:space="preserve">Data Protection Impact Assessment (DPIA)</w:t>
      </w:r>
    </w:p>
    <w:p>
      <w:pPr>
        <w:spacing w:after="60" w:before="60"/>
      </w:pPr>
      <w:r>
        <w:rPr>
          <w:rFonts w:ascii="Arial" w:cs="Arial" w:eastAsia="Arial" w:hAnsi="Arial"/>
          <w:color w:val="333333"/>
          <w:sz w:val="22"/>
          <w:szCs w:val="22"/>
        </w:rPr>
        <w:t xml:space="preserve">Article 35 requires a DPIA before any high-risk data processing activity. For AI systems, a DPIA is almost always required. Triggers include:</w:t>
      </w:r>
    </w:p>
    <w:p>
      <w:pPr>
        <w:pStyle w:val="ListParagraph"/>
        <w:numPr>
          <w:ilvl w:val="0"/>
          <w:numId w:val="2"/>
        </w:numPr>
        <w:spacing w:after="40" w:before="40"/>
      </w:pPr>
      <w:r>
        <w:rPr>
          <w:rFonts w:ascii="Arial" w:cs="Arial" w:eastAsia="Arial" w:hAnsi="Arial"/>
          <w:color w:val="333333"/>
          <w:sz w:val="22"/>
          <w:szCs w:val="22"/>
        </w:rPr>
        <w:t xml:space="preserve">Systematic and extensive profiling with significant effects.</w:t>
      </w:r>
    </w:p>
    <w:p>
      <w:pPr>
        <w:pStyle w:val="ListParagraph"/>
        <w:numPr>
          <w:ilvl w:val="0"/>
          <w:numId w:val="2"/>
        </w:numPr>
        <w:spacing w:after="40" w:before="40"/>
      </w:pPr>
      <w:r>
        <w:rPr>
          <w:rFonts w:ascii="Arial" w:cs="Arial" w:eastAsia="Arial" w:hAnsi="Arial"/>
          <w:color w:val="333333"/>
          <w:sz w:val="22"/>
          <w:szCs w:val="22"/>
        </w:rPr>
        <w:t xml:space="preserve">Large-scale processing of special category data (health, biometric, racial, political, religious data).</w:t>
      </w:r>
    </w:p>
    <w:p>
      <w:pPr>
        <w:pStyle w:val="ListParagraph"/>
        <w:numPr>
          <w:ilvl w:val="0"/>
          <w:numId w:val="2"/>
        </w:numPr>
        <w:spacing w:after="40" w:before="40"/>
      </w:pPr>
      <w:r>
        <w:rPr>
          <w:rFonts w:ascii="Arial" w:cs="Arial" w:eastAsia="Arial" w:hAnsi="Arial"/>
          <w:color w:val="333333"/>
          <w:sz w:val="22"/>
          <w:szCs w:val="22"/>
        </w:rPr>
        <w:t xml:space="preserve">Systematic monitoring of publicly accessible areas.</w:t>
      </w:r>
    </w:p>
    <w:p>
      <w:pPr>
        <w:spacing w:after="60" w:before="60"/>
      </w:pPr>
      <w:r>
        <w:rPr>
          <w:rFonts w:ascii="Arial" w:cs="Arial" w:eastAsia="Arial" w:hAnsi="Arial"/>
          <w:color w:val="333333"/>
          <w:sz w:val="22"/>
          <w:szCs w:val="22"/>
        </w:rPr>
        <w:t xml:space="preserve">A DPIA must: describe the processing and its purposes; assess necessity and proportionality; identify and assess risks; and identify measures to address those risks. DPIAs must be conducted before processing begins — not after.</w:t>
      </w:r>
    </w:p>
    <w:p>
      <w:pPr>
        <w:pStyle w:val="Heading2"/>
        <w:shd w:fill="2E6DA4" w:val="clear"/>
        <w:spacing w:after="80" w:before="240"/>
        <w:ind w:left="120"/>
      </w:pPr>
      <w:r>
        <w:rPr>
          <w:rFonts w:ascii="Arial" w:cs="Arial" w:eastAsia="Arial" w:hAnsi="Arial"/>
          <w:b/>
          <w:bCs/>
          <w:color w:val="FFFFFF"/>
          <w:sz w:val="26"/>
          <w:szCs w:val="26"/>
        </w:rPr>
        <w:t xml:space="preserve">Key Controls and Processes</w:t>
      </w:r>
    </w:p>
    <w:p>
      <w:pPr>
        <w:pStyle w:val="Heading3"/>
        <w:pBdr>
          <w:bottom w:val="single" w:color="D6E4F0" w:sz="6"/>
        </w:pBdr>
        <w:spacing w:after="60" w:before="180"/>
      </w:pPr>
      <w:r>
        <w:rPr>
          <w:rFonts w:ascii="Arial" w:cs="Arial" w:eastAsia="Arial" w:hAnsi="Arial"/>
          <w:b/>
          <w:bCs/>
          <w:color w:val="1B3A6B"/>
          <w:sz w:val="24"/>
          <w:szCs w:val="24"/>
        </w:rPr>
        <w:t xml:space="preserve">Documentation and Records</w:t>
      </w:r>
    </w:p>
    <w:p>
      <w:pPr>
        <w:pStyle w:val="ListParagraph"/>
        <w:numPr>
          <w:ilvl w:val="0"/>
          <w:numId w:val="2"/>
        </w:numPr>
        <w:spacing w:after="40" w:before="40"/>
      </w:pPr>
      <w:r>
        <w:rPr>
          <w:rFonts w:ascii="Arial" w:cs="Arial" w:eastAsia="Arial" w:hAnsi="Arial"/>
          <w:color w:val="333333"/>
          <w:sz w:val="22"/>
          <w:szCs w:val="22"/>
        </w:rPr>
        <w:t xml:space="preserve">Maintain a Record of Processing Activities (RoPA) under Article 30 — a living inventory of every processing activity including AI systems, covering: purposes, lawful bases, data categories, data sources, data recipients, international transfers, and retention periods.</w:t>
      </w:r>
    </w:p>
    <w:p>
      <w:pPr>
        <w:pStyle w:val="ListParagraph"/>
        <w:numPr>
          <w:ilvl w:val="0"/>
          <w:numId w:val="2"/>
        </w:numPr>
        <w:spacing w:after="40" w:before="40"/>
      </w:pPr>
      <w:r>
        <w:rPr>
          <w:rFonts w:ascii="Arial" w:cs="Arial" w:eastAsia="Arial" w:hAnsi="Arial"/>
          <w:color w:val="333333"/>
          <w:sz w:val="22"/>
          <w:szCs w:val="22"/>
        </w:rPr>
        <w:t xml:space="preserve">Document the lawful basis for every AI processing activity.</w:t>
      </w:r>
    </w:p>
    <w:p>
      <w:pPr>
        <w:pStyle w:val="ListParagraph"/>
        <w:numPr>
          <w:ilvl w:val="0"/>
          <w:numId w:val="2"/>
        </w:numPr>
        <w:spacing w:after="40" w:before="40"/>
      </w:pPr>
      <w:r>
        <w:rPr>
          <w:rFonts w:ascii="Arial" w:cs="Arial" w:eastAsia="Arial" w:hAnsi="Arial"/>
          <w:color w:val="333333"/>
          <w:sz w:val="22"/>
          <w:szCs w:val="22"/>
        </w:rPr>
        <w:t xml:space="preserve">Conduct and document DPIAs for high-risk AI processing.</w:t>
      </w:r>
    </w:p>
    <w:p>
      <w:pPr>
        <w:pStyle w:val="ListParagraph"/>
        <w:numPr>
          <w:ilvl w:val="0"/>
          <w:numId w:val="2"/>
        </w:numPr>
        <w:spacing w:after="40" w:before="40"/>
      </w:pPr>
      <w:r>
        <w:rPr>
          <w:rFonts w:ascii="Arial" w:cs="Arial" w:eastAsia="Arial" w:hAnsi="Arial"/>
          <w:color w:val="333333"/>
          <w:sz w:val="22"/>
          <w:szCs w:val="22"/>
        </w:rPr>
        <w:t xml:space="preserve">Maintain Legitimate Interests Assessments (LIAs) where legitimate interests is the chosen lawful basis.</w:t>
      </w:r>
    </w:p>
    <w:p>
      <w:pPr>
        <w:pStyle w:val="Heading3"/>
        <w:pBdr>
          <w:bottom w:val="single" w:color="D6E4F0" w:sz="6"/>
        </w:pBdr>
        <w:spacing w:after="60" w:before="180"/>
      </w:pPr>
      <w:r>
        <w:rPr>
          <w:rFonts w:ascii="Arial" w:cs="Arial" w:eastAsia="Arial" w:hAnsi="Arial"/>
          <w:b/>
          <w:bCs/>
          <w:color w:val="1B3A6B"/>
          <w:sz w:val="24"/>
          <w:szCs w:val="24"/>
        </w:rPr>
        <w:t xml:space="preserve">Technical Controls</w:t>
      </w:r>
    </w:p>
    <w:p>
      <w:pPr>
        <w:pStyle w:val="ListParagraph"/>
        <w:numPr>
          <w:ilvl w:val="0"/>
          <w:numId w:val="2"/>
        </w:numPr>
        <w:spacing w:after="40" w:before="40"/>
      </w:pPr>
      <w:r>
        <w:rPr>
          <w:rFonts w:ascii="Arial" w:cs="Arial" w:eastAsia="Arial" w:hAnsi="Arial"/>
          <w:color w:val="333333"/>
          <w:sz w:val="22"/>
          <w:szCs w:val="22"/>
        </w:rPr>
        <w:t xml:space="preserve">Implement pseudonymization and encryption for training datasets containing personal data.</w:t>
      </w:r>
    </w:p>
    <w:p>
      <w:pPr>
        <w:pStyle w:val="ListParagraph"/>
        <w:numPr>
          <w:ilvl w:val="0"/>
          <w:numId w:val="2"/>
        </w:numPr>
        <w:spacing w:after="40" w:before="40"/>
      </w:pPr>
      <w:r>
        <w:rPr>
          <w:rFonts w:ascii="Arial" w:cs="Arial" w:eastAsia="Arial" w:hAnsi="Arial"/>
          <w:color w:val="333333"/>
          <w:sz w:val="22"/>
          <w:szCs w:val="22"/>
        </w:rPr>
        <w:t xml:space="preserve">Deploy role-based access controls — only authorized personnel access personal training data.</w:t>
      </w:r>
    </w:p>
    <w:p>
      <w:pPr>
        <w:pStyle w:val="ListParagraph"/>
        <w:numPr>
          <w:ilvl w:val="0"/>
          <w:numId w:val="2"/>
        </w:numPr>
        <w:spacing w:after="40" w:before="40"/>
      </w:pPr>
      <w:r>
        <w:rPr>
          <w:rFonts w:ascii="Arial" w:cs="Arial" w:eastAsia="Arial" w:hAnsi="Arial"/>
          <w:color w:val="333333"/>
          <w:sz w:val="22"/>
          <w:szCs w:val="22"/>
        </w:rPr>
        <w:t xml:space="preserve">Establish data retention schedules and automated deletion processes for AI training data and inference logs.</w:t>
      </w:r>
    </w:p>
    <w:p>
      <w:pPr>
        <w:pStyle w:val="ListParagraph"/>
        <w:numPr>
          <w:ilvl w:val="0"/>
          <w:numId w:val="2"/>
        </w:numPr>
        <w:spacing w:after="40" w:before="40"/>
      </w:pPr>
      <w:r>
        <w:rPr>
          <w:rFonts w:ascii="Arial" w:cs="Arial" w:eastAsia="Arial" w:hAnsi="Arial"/>
          <w:color w:val="333333"/>
          <w:sz w:val="22"/>
          <w:szCs w:val="22"/>
        </w:rPr>
        <w:t xml:space="preserve">Implement data subject request workflows — with defined response timelines (one month standard, extendable to three months for complex requests).</w:t>
      </w:r>
    </w:p>
    <w:p>
      <w:pPr>
        <w:pStyle w:val="ListParagraph"/>
        <w:numPr>
          <w:ilvl w:val="0"/>
          <w:numId w:val="2"/>
        </w:numPr>
        <w:spacing w:after="40" w:before="40"/>
      </w:pPr>
      <w:r>
        <w:rPr>
          <w:rFonts w:ascii="Arial" w:cs="Arial" w:eastAsia="Arial" w:hAnsi="Arial"/>
          <w:color w:val="333333"/>
          <w:sz w:val="22"/>
          <w:szCs w:val="22"/>
        </w:rPr>
        <w:t xml:space="preserve">Configure logging to capture data access, processing activities, and system events while respecting data minimization for the log data itself.</w:t>
      </w:r>
    </w:p>
    <w:p>
      <w:pPr>
        <w:pStyle w:val="Heading3"/>
        <w:pBdr>
          <w:bottom w:val="single" w:color="D6E4F0" w:sz="6"/>
        </w:pBdr>
        <w:spacing w:after="60" w:before="180"/>
      </w:pPr>
      <w:r>
        <w:rPr>
          <w:rFonts w:ascii="Arial" w:cs="Arial" w:eastAsia="Arial" w:hAnsi="Arial"/>
          <w:b/>
          <w:bCs/>
          <w:color w:val="1B3A6B"/>
          <w:sz w:val="24"/>
          <w:szCs w:val="24"/>
        </w:rPr>
        <w:t xml:space="preserve">Governance Controls</w:t>
      </w:r>
    </w:p>
    <w:p>
      <w:pPr>
        <w:pStyle w:val="ListParagraph"/>
        <w:numPr>
          <w:ilvl w:val="0"/>
          <w:numId w:val="2"/>
        </w:numPr>
        <w:spacing w:after="40" w:before="40"/>
      </w:pPr>
      <w:r>
        <w:rPr>
          <w:rFonts w:ascii="Arial" w:cs="Arial" w:eastAsia="Arial" w:hAnsi="Arial"/>
          <w:color w:val="333333"/>
          <w:sz w:val="22"/>
          <w:szCs w:val="22"/>
        </w:rPr>
        <w:t xml:space="preserve">Appoint a Data Protection Officer (DPO) if required — mandatory for public authorities, organizations conducting large-scale systematic monitoring, or large-scale special category processing.</w:t>
      </w:r>
    </w:p>
    <w:p>
      <w:pPr>
        <w:pStyle w:val="ListParagraph"/>
        <w:numPr>
          <w:ilvl w:val="0"/>
          <w:numId w:val="2"/>
        </w:numPr>
        <w:spacing w:after="40" w:before="40"/>
      </w:pPr>
      <w:r>
        <w:rPr>
          <w:rFonts w:ascii="Arial" w:cs="Arial" w:eastAsia="Arial" w:hAnsi="Arial"/>
          <w:color w:val="333333"/>
          <w:sz w:val="22"/>
          <w:szCs w:val="22"/>
        </w:rPr>
        <w:t xml:space="preserve">Establish a Data Breach Notification process — breaches must be reported to the supervisory authority within 72 hours of becoming aware.</w:t>
      </w:r>
    </w:p>
    <w:p>
      <w:pPr>
        <w:pStyle w:val="ListParagraph"/>
        <w:numPr>
          <w:ilvl w:val="0"/>
          <w:numId w:val="2"/>
        </w:numPr>
        <w:spacing w:after="40" w:before="40"/>
      </w:pPr>
      <w:r>
        <w:rPr>
          <w:rFonts w:ascii="Arial" w:cs="Arial" w:eastAsia="Arial" w:hAnsi="Arial"/>
          <w:color w:val="333333"/>
          <w:sz w:val="22"/>
          <w:szCs w:val="22"/>
        </w:rPr>
        <w:t xml:space="preserve">Review and update all data processor agreements with AI vendors — ensure they meet Article 28 requirements (processing only on documented instructions, implementing appropriate security, supporting data subject rights).</w:t>
      </w:r>
    </w:p>
    <w:p>
      <w:pPr>
        <w:pStyle w:val="ListParagraph"/>
        <w:numPr>
          <w:ilvl w:val="0"/>
          <w:numId w:val="2"/>
        </w:numPr>
        <w:spacing w:after="40" w:before="40"/>
      </w:pPr>
      <w:r>
        <w:rPr>
          <w:rFonts w:ascii="Arial" w:cs="Arial" w:eastAsia="Arial" w:hAnsi="Arial"/>
          <w:color w:val="333333"/>
          <w:sz w:val="22"/>
          <w:szCs w:val="22"/>
        </w:rPr>
        <w:t xml:space="preserve">Conduct annual training for all staff handling personal data, including in the context of AI systems.</w:t>
      </w:r>
    </w:p>
    <w:p>
      <w:pPr>
        <w:pStyle w:val="Heading2"/>
        <w:shd w:fill="2E6DA4" w:val="clear"/>
        <w:spacing w:after="80" w:before="240"/>
        <w:ind w:left="120"/>
      </w:pPr>
      <w:r>
        <w:rPr>
          <w:rFonts w:ascii="Arial" w:cs="Arial" w:eastAsia="Arial" w:hAnsi="Arial"/>
          <w:b/>
          <w:bCs/>
          <w:color w:val="FFFFFF"/>
          <w:sz w:val="26"/>
          <w:szCs w:val="26"/>
        </w:rPr>
        <w:t xml:space="preserve">What Auditors Look For</w:t>
      </w:r>
    </w:p>
    <w:tbl>
      <w:tblPr>
        <w:tblW w:type="dxa" w:w="9360"/>
        <w:tblBorders>
          <w:top w:val="single" w:color="C8960C" w:sz="8"/>
          <w:left w:val="single" w:color="C8960C" w:sz="8"/>
          <w:bottom w:val="single" w:color="C8960C" w:sz="8"/>
          <w:right w:val="single" w:color="C8960C" w:sz="8"/>
          <w:insideH w:val="single" w:color="auto" w:sz="4"/>
          <w:insideV w:val="single" w:color="auto" w:sz="4"/>
        </w:tblBorders>
      </w:tblPr>
      <w:tblGrid>
        <w:gridCol w:w="200"/>
        <w:gridCol w:w="9160"/>
      </w:tblGrid>
      <w:tr>
        <w:tc>
          <w:tcPr>
            <w:tcW w:type="dxa" w:w="200"/>
            <w:tcBorders>
              <w:top w:val="nil"/>
              <w:left w:val="nil"/>
              <w:bottom w:val="nil"/>
              <w:right w:val="nil"/>
            </w:tcBorders>
            <w:shd w:fill="C8960C"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D6E4F0" w:val="clear"/>
            <w:tcMar>
              <w:top w:type="dxa" w:w="80"/>
              <w:left w:type="dxa" w:w="160"/>
              <w:bottom w:type="dxa" w:w="80"/>
              <w:right w:type="dxa" w:w="120"/>
            </w:tcMar>
          </w:tcPr>
          <w:p>
            <w:pPr>
              <w:spacing w:after="0" w:before="0"/>
            </w:pPr>
            <w:r>
              <w:rPr>
                <w:rFonts w:ascii="Arial" w:cs="Arial" w:eastAsia="Arial" w:hAnsi="Arial"/>
                <w:b/>
                <w:bCs/>
                <w:color w:val="1B3A6B"/>
                <w:sz w:val="22"/>
                <w:szCs w:val="22"/>
              </w:rPr>
              <w:t xml:space="preserve">Audit Focus: </w:t>
            </w:r>
            <w:r>
              <w:rPr>
                <w:rFonts w:ascii="Arial" w:cs="Arial" w:eastAsia="Arial" w:hAnsi="Arial"/>
                <w:color w:val="333333"/>
                <w:sz w:val="22"/>
                <w:szCs w:val="22"/>
              </w:rPr>
              <w:t xml:space="preserve">GDPR supervisory authorities (Data Protection Authorities or DPAs) conduct investigations based on complaints or on their own initiative. They have broad investigative powers including access to premises, documentation, and staff interviews. Cooperation is mandatory.</w:t>
            </w:r>
          </w:p>
        </w:tc>
      </w:tr>
    </w:tbl>
    <w:p>
      <w:pPr>
        <w:pStyle w:val="ListParagraph"/>
        <w:numPr>
          <w:ilvl w:val="0"/>
          <w:numId w:val="2"/>
        </w:numPr>
        <w:spacing w:after="40" w:before="40"/>
      </w:pPr>
      <w:r>
        <w:rPr>
          <w:rFonts w:ascii="Arial" w:cs="Arial" w:eastAsia="Arial" w:hAnsi="Arial"/>
          <w:color w:val="333333"/>
          <w:sz w:val="22"/>
          <w:szCs w:val="22"/>
        </w:rPr>
        <w:t xml:space="preserve">Record of Processing Activities (RoPA) — complete, current, and covering all AI systems.</w:t>
      </w:r>
    </w:p>
    <w:p>
      <w:pPr>
        <w:pStyle w:val="ListParagraph"/>
        <w:numPr>
          <w:ilvl w:val="0"/>
          <w:numId w:val="2"/>
        </w:numPr>
        <w:spacing w:after="40" w:before="40"/>
      </w:pPr>
      <w:r>
        <w:rPr>
          <w:rFonts w:ascii="Arial" w:cs="Arial" w:eastAsia="Arial" w:hAnsi="Arial"/>
          <w:color w:val="333333"/>
          <w:sz w:val="22"/>
          <w:szCs w:val="22"/>
        </w:rPr>
        <w:t xml:space="preserve">Evidence of lawful basis for each AI processing activity — documented, not just asserted.</w:t>
      </w:r>
    </w:p>
    <w:p>
      <w:pPr>
        <w:pStyle w:val="ListParagraph"/>
        <w:numPr>
          <w:ilvl w:val="0"/>
          <w:numId w:val="2"/>
        </w:numPr>
        <w:spacing w:after="40" w:before="40"/>
      </w:pPr>
      <w:r>
        <w:rPr>
          <w:rFonts w:ascii="Arial" w:cs="Arial" w:eastAsia="Arial" w:hAnsi="Arial"/>
          <w:color w:val="333333"/>
          <w:sz w:val="22"/>
          <w:szCs w:val="22"/>
        </w:rPr>
        <w:t xml:space="preserve">DPIA documentation for high-risk AI processing — conducted before processing began.</w:t>
      </w:r>
    </w:p>
    <w:p>
      <w:pPr>
        <w:pStyle w:val="ListParagraph"/>
        <w:numPr>
          <w:ilvl w:val="0"/>
          <w:numId w:val="2"/>
        </w:numPr>
        <w:spacing w:after="40" w:before="40"/>
      </w:pPr>
      <w:r>
        <w:rPr>
          <w:rFonts w:ascii="Arial" w:cs="Arial" w:eastAsia="Arial" w:hAnsi="Arial"/>
          <w:color w:val="333333"/>
          <w:sz w:val="22"/>
          <w:szCs w:val="22"/>
        </w:rPr>
        <w:t xml:space="preserve">Data subject request logs — evidence you received, processed, and responded to requests within legal timeframes.</w:t>
      </w:r>
    </w:p>
    <w:p>
      <w:pPr>
        <w:pStyle w:val="ListParagraph"/>
        <w:numPr>
          <w:ilvl w:val="0"/>
          <w:numId w:val="2"/>
        </w:numPr>
        <w:spacing w:after="40" w:before="40"/>
      </w:pPr>
      <w:r>
        <w:rPr>
          <w:rFonts w:ascii="Arial" w:cs="Arial" w:eastAsia="Arial" w:hAnsi="Arial"/>
          <w:color w:val="333333"/>
          <w:sz w:val="22"/>
          <w:szCs w:val="22"/>
        </w:rPr>
        <w:t xml:space="preserve">Breach notification register — all breaches logged, with evidence of timely authority notification where required.</w:t>
      </w:r>
    </w:p>
    <w:p>
      <w:pPr>
        <w:pStyle w:val="ListParagraph"/>
        <w:numPr>
          <w:ilvl w:val="0"/>
          <w:numId w:val="2"/>
        </w:numPr>
        <w:spacing w:after="40" w:before="40"/>
      </w:pPr>
      <w:r>
        <w:rPr>
          <w:rFonts w:ascii="Arial" w:cs="Arial" w:eastAsia="Arial" w:hAnsi="Arial"/>
          <w:color w:val="333333"/>
          <w:sz w:val="22"/>
          <w:szCs w:val="22"/>
        </w:rPr>
        <w:t xml:space="preserve">Data processor agreements — in place with all AI vendors and third-party processors.</w:t>
      </w:r>
    </w:p>
    <w:p>
      <w:pPr>
        <w:pStyle w:val="ListParagraph"/>
        <w:numPr>
          <w:ilvl w:val="0"/>
          <w:numId w:val="2"/>
        </w:numPr>
        <w:spacing w:after="40" w:before="40"/>
      </w:pPr>
      <w:r>
        <w:rPr>
          <w:rFonts w:ascii="Arial" w:cs="Arial" w:eastAsia="Arial" w:hAnsi="Arial"/>
          <w:color w:val="333333"/>
          <w:sz w:val="22"/>
          <w:szCs w:val="22"/>
        </w:rPr>
        <w:t xml:space="preserve">Privacy notices — clear, accessible, and covering AI processing activities.</w:t>
      </w:r>
    </w:p>
    <w:p>
      <w:pPr>
        <w:pStyle w:val="ListParagraph"/>
        <w:numPr>
          <w:ilvl w:val="0"/>
          <w:numId w:val="2"/>
        </w:numPr>
        <w:spacing w:after="40" w:before="40"/>
      </w:pPr>
      <w:r>
        <w:rPr>
          <w:rFonts w:ascii="Arial" w:cs="Arial" w:eastAsia="Arial" w:hAnsi="Arial"/>
          <w:color w:val="333333"/>
          <w:sz w:val="22"/>
          <w:szCs w:val="22"/>
        </w:rPr>
        <w:t xml:space="preserve">Consent records (where consent is the lawful basis) — demonstrating consent was freely given, specific, informed, and unambiguous.</w:t>
      </w:r>
    </w:p>
    <w:p>
      <w:pPr>
        <w:pBdr>
          <w:bottom w:val="single" w:color="D6E4F0" w:sz="6"/>
        </w:pBdr>
        <w:spacing w:after="120" w:before="120"/>
      </w:pPr>
      <w:r>
        <w:rPr>
          <w:rFonts w:ascii="Arial" w:cs="Arial" w:eastAsia="Arial" w:hAnsi="Arial"/>
          <w:color w:val="333333"/>
          <w:sz w:val="22"/>
          <w:szCs w:val="22"/>
        </w:rPr>
        <w:t xml:space="preserve"/>
      </w:r>
    </w:p>
    <w:p>
      <w:r>
        <w:br/>
      </w:r>
    </w:p>
    <w:p>
      <w:pPr>
        <w:pStyle w:val="Heading1"/>
        <w:pBdr>
          <w:bottom w:val="single" w:color="C8960C" w:sz="8"/>
        </w:pBdr>
        <w:shd w:fill="1B3A6B" w:val="clear"/>
        <w:spacing w:after="120" w:before="360"/>
        <w:ind w:left="180" w:right="180"/>
      </w:pPr>
      <w:r>
        <w:rPr>
          <w:rFonts w:ascii="Arial" w:cs="Arial" w:eastAsia="Arial" w:hAnsi="Arial"/>
          <w:b/>
          <w:bCs/>
          <w:color w:val="FFFFFF"/>
          <w:sz w:val="32"/>
          <w:szCs w:val="32"/>
        </w:rPr>
        <w:t xml:space="preserve">Framework Crosswalk: How They Work Together</w:t>
      </w:r>
    </w:p>
    <w:p>
      <w:pPr>
        <w:spacing w:after="60" w:before="60"/>
      </w:pPr>
      <w:r>
        <w:rPr>
          <w:rFonts w:ascii="Arial" w:cs="Arial" w:eastAsia="Arial" w:hAnsi="Arial"/>
          <w:color w:val="333333"/>
          <w:sz w:val="22"/>
          <w:szCs w:val="22"/>
        </w:rPr>
        <w:t xml:space="preserve">In practice, these five frameworks are not independent compliance exercises. They overlap, reinforce each other, and in some areas create compounding obligations. The table below shows how key GRC activities map across all five frameworks — use this during audits to ensure a single process satisfies multiple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780"/>
        <w:gridCol w:w="1380"/>
      </w:tblGrid>
      <w:tr>
        <w:trPr>
          <w:tblHeader/>
        </w:trP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GRC Activity</w:t>
            </w:r>
          </w:p>
        </w:tc>
        <w:tc>
          <w:tcPr>
            <w:tcW w:type="dxa" w:w="1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NIST AI RMF</w:t>
            </w:r>
          </w:p>
        </w:tc>
        <w:tc>
          <w:tcPr>
            <w:tcW w:type="dxa" w:w="1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ISO 42001</w:t>
            </w:r>
          </w:p>
        </w:tc>
        <w:tc>
          <w:tcPr>
            <w:tcW w:type="dxa" w:w="1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ISO 27001</w:t>
            </w:r>
          </w:p>
        </w:tc>
        <w:tc>
          <w:tcPr>
            <w:tcW w:type="dxa" w:w="17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EU AI Act</w:t>
            </w:r>
          </w:p>
        </w:tc>
        <w:tc>
          <w:tcPr>
            <w:tcW w:type="dxa" w:w="13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GDPR</w:t>
            </w:r>
          </w:p>
        </w:tc>
      </w:tr>
      <w:tr>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AI Risk Assessment</w:t>
            </w:r>
          </w:p>
        </w:tc>
        <w:tc>
          <w:tcPr>
            <w:tcW w:type="dxa" w:w="1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MAP + MEASURE</w:t>
            </w:r>
          </w:p>
        </w:tc>
        <w:tc>
          <w:tcPr>
            <w:tcW w:type="dxa" w:w="1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Clause 6.1</w:t>
            </w:r>
          </w:p>
        </w:tc>
        <w:tc>
          <w:tcPr>
            <w:tcW w:type="dxa" w:w="1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Clause 6.1</w:t>
            </w:r>
          </w:p>
        </w:tc>
        <w:tc>
          <w:tcPr>
            <w:tcW w:type="dxa" w:w="17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Article 9</w:t>
            </w:r>
          </w:p>
        </w:tc>
        <w:tc>
          <w:tcPr>
            <w:tcW w:type="dxa" w:w="13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Article 35 (DPIA)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AI System Inventory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GOVERN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Annex 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Asset Register</w:t>
            </w:r>
          </w:p>
        </w:tc>
        <w:tc>
          <w:tcPr>
            <w:tcW w:type="dxa" w:w="1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Article 11 Tech Docs</w:t>
            </w:r>
          </w:p>
        </w:tc>
        <w:tc>
          <w:tcPr>
            <w:tcW w:type="dxa" w:w="1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RoPA (Art. 30)</w:t>
            </w:r>
          </w:p>
        </w:tc>
      </w:tr>
      <w:tr>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Bias &amp; Fairness Testing</w:t>
            </w:r>
          </w:p>
        </w:tc>
        <w:tc>
          <w:tcPr>
            <w:tcW w:type="dxa" w:w="1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MEASURE (TEVV)</w:t>
            </w:r>
          </w:p>
        </w:tc>
        <w:tc>
          <w:tcPr>
            <w:tcW w:type="dxa" w:w="1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Clause 8 + Annex A</w:t>
            </w:r>
          </w:p>
        </w:tc>
        <w:tc>
          <w:tcPr>
            <w:tcW w:type="dxa" w:w="1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w:t>
            </w:r>
          </w:p>
        </w:tc>
        <w:tc>
          <w:tcPr>
            <w:tcW w:type="dxa" w:w="17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Articles 9-10</w:t>
            </w:r>
          </w:p>
        </w:tc>
        <w:tc>
          <w:tcPr>
            <w:tcW w:type="dxa" w:w="13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Article 22 Safeguards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Data Governance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GOVERN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Clause 8.4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A.8.10-8.11</w:t>
            </w:r>
          </w:p>
        </w:tc>
        <w:tc>
          <w:tcPr>
            <w:tcW w:type="dxa" w:w="1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Article 10</w:t>
            </w:r>
          </w:p>
        </w:tc>
        <w:tc>
          <w:tcPr>
            <w:tcW w:type="dxa" w:w="1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Articles 5-6, 13-14</w:t>
            </w:r>
          </w:p>
        </w:tc>
      </w:tr>
      <w:tr>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Incident Response</w:t>
            </w:r>
          </w:p>
        </w:tc>
        <w:tc>
          <w:tcPr>
            <w:tcW w:type="dxa" w:w="1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MANAGE</w:t>
            </w:r>
          </w:p>
        </w:tc>
        <w:tc>
          <w:tcPr>
            <w:tcW w:type="dxa" w:w="1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Clause 10</w:t>
            </w:r>
          </w:p>
        </w:tc>
        <w:tc>
          <w:tcPr>
            <w:tcW w:type="dxa" w:w="1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A.5.24-5.28</w:t>
            </w:r>
          </w:p>
        </w:tc>
        <w:tc>
          <w:tcPr>
            <w:tcW w:type="dxa" w:w="17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Articles 62 &amp; 73</w:t>
            </w:r>
          </w:p>
        </w:tc>
        <w:tc>
          <w:tcPr>
            <w:tcW w:type="dxa" w:w="13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Article 33 (72hr)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Vendor/Supplier Mgmt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GOVERN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Annex 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A.5.19-5.22</w:t>
            </w:r>
          </w:p>
        </w:tc>
        <w:tc>
          <w:tcPr>
            <w:tcW w:type="dxa" w:w="1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Article 28 obligations</w:t>
            </w:r>
          </w:p>
        </w:tc>
        <w:tc>
          <w:tcPr>
            <w:tcW w:type="dxa" w:w="1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Art. 28 (processor agreement)</w:t>
            </w:r>
          </w:p>
        </w:tc>
      </w:tr>
      <w:tr>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Human Oversight</w:t>
            </w:r>
          </w:p>
        </w:tc>
        <w:tc>
          <w:tcPr>
            <w:tcW w:type="dxa" w:w="1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MANAGE</w:t>
            </w:r>
          </w:p>
        </w:tc>
        <w:tc>
          <w:tcPr>
            <w:tcW w:type="dxa" w:w="1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Clause 8</w:t>
            </w:r>
          </w:p>
        </w:tc>
        <w:tc>
          <w:tcPr>
            <w:tcW w:type="dxa" w:w="1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w:t>
            </w:r>
          </w:p>
        </w:tc>
        <w:tc>
          <w:tcPr>
            <w:tcW w:type="dxa" w:w="17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Article 14</w:t>
            </w:r>
          </w:p>
        </w:tc>
        <w:tc>
          <w:tcPr>
            <w:tcW w:type="dxa" w:w="13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Article 22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Logging &amp; Monitoring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MEASURE + MANAGE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Clause 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A.8.15-8.16</w:t>
            </w:r>
          </w:p>
        </w:tc>
        <w:tc>
          <w:tcPr>
            <w:tcW w:type="dxa" w:w="1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Article 12</w:t>
            </w:r>
          </w:p>
        </w:tc>
        <w:tc>
          <w:tcPr>
            <w:tcW w:type="dxa" w:w="1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Data minimization limits</w:t>
            </w:r>
          </w:p>
        </w:tc>
      </w:tr>
      <w:tr>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Training &amp; Awareness</w:t>
            </w:r>
          </w:p>
        </w:tc>
        <w:tc>
          <w:tcPr>
            <w:tcW w:type="dxa" w:w="1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GOVERN</w:t>
            </w:r>
          </w:p>
        </w:tc>
        <w:tc>
          <w:tcPr>
            <w:tcW w:type="dxa" w:w="1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Clause 7.2-7.3</w:t>
            </w:r>
          </w:p>
        </w:tc>
        <w:tc>
          <w:tcPr>
            <w:tcW w:type="dxa" w:w="1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A.6.3</w:t>
            </w:r>
          </w:p>
        </w:tc>
        <w:tc>
          <w:tcPr>
            <w:tcW w:type="dxa" w:w="17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Provider obligations</w:t>
            </w:r>
          </w:p>
        </w:tc>
        <w:tc>
          <w:tcPr>
            <w:tcW w:type="dxa" w:w="13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Art. 5(2) / Art. 24 (accountability); Art. 39 where DPO required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Internal Audit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Clause 9.2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Clause 9.2</w:t>
            </w:r>
          </w:p>
        </w:tc>
        <w:tc>
          <w:tcPr>
            <w:tcW w:type="dxa" w:w="1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Conformity Assessment</w:t>
            </w:r>
          </w:p>
        </w:tc>
        <w:tc>
          <w:tcPr>
            <w:tcW w:type="dxa" w:w="1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DPA Accountability</w:t>
            </w:r>
          </w:p>
        </w:tc>
      </w:tr>
    </w:tbl>
    <w:p>
      <w:pPr>
        <w:spacing w:after="0" w:before="240"/>
      </w:pPr>
      <w:r>
        <w:rPr>
          <w:rFonts w:ascii="Arial" w:cs="Arial" w:eastAsia="Arial" w:hAnsi="Arial"/>
          <w:color w:val="333333"/>
          <w:sz w:val="22"/>
          <w:szCs w:val="22"/>
        </w:rPr>
        <w:t xml:space="preserve"/>
      </w:r>
    </w:p>
    <w:tbl>
      <w:tblPr>
        <w:tblW w:type="dxa" w:w="9360"/>
        <w:tblBorders>
          <w:top w:val="single" w:color="C8960C" w:sz="8"/>
          <w:left w:val="single" w:color="C8960C" w:sz="8"/>
          <w:bottom w:val="single" w:color="C8960C" w:sz="8"/>
          <w:right w:val="single" w:color="C8960C" w:sz="8"/>
          <w:insideH w:val="single" w:color="auto" w:sz="4"/>
          <w:insideV w:val="single" w:color="auto" w:sz="4"/>
        </w:tblBorders>
      </w:tblPr>
      <w:tblGrid>
        <w:gridCol w:w="200"/>
        <w:gridCol w:w="9160"/>
      </w:tblGrid>
      <w:tr>
        <w:tc>
          <w:tcPr>
            <w:tcW w:type="dxa" w:w="200"/>
            <w:tcBorders>
              <w:top w:val="nil"/>
              <w:left w:val="nil"/>
              <w:bottom w:val="nil"/>
              <w:right w:val="nil"/>
            </w:tcBorders>
            <w:shd w:fill="C8960C"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D6E4F0" w:val="clear"/>
            <w:tcMar>
              <w:top w:type="dxa" w:w="80"/>
              <w:left w:type="dxa" w:w="160"/>
              <w:bottom w:type="dxa" w:w="80"/>
              <w:right w:type="dxa" w:w="120"/>
            </w:tcMar>
          </w:tcPr>
          <w:p>
            <w:pPr>
              <w:spacing w:after="0" w:before="0"/>
            </w:pPr>
            <w:r>
              <w:rPr>
                <w:rFonts w:ascii="Arial" w:cs="Arial" w:eastAsia="Arial" w:hAnsi="Arial"/>
                <w:b/>
                <w:bCs/>
                <w:color w:val="1B3A6B"/>
                <w:sz w:val="22"/>
                <w:szCs w:val="22"/>
              </w:rPr>
              <w:t xml:space="preserve">Integration Strategy: </w:t>
            </w:r>
            <w:r>
              <w:rPr>
                <w:rFonts w:ascii="Arial" w:cs="Arial" w:eastAsia="Arial" w:hAnsi="Arial"/>
                <w:color w:val="333333"/>
                <w:sz w:val="22"/>
                <w:szCs w:val="22"/>
              </w:rPr>
              <w:t xml:space="preserve">Build your AI governance program once and map it to all five frameworks simultaneously. A single AI Risk Assessment, with the right structure, satisfies NIST AI RMF MAP/MEASURE, ISO 42001 Clause 6, ISO 27001 Clause 6, EU AI Act Article 9, and GDPR Article 35 (DPIA). Document once, map to many.</w:t>
            </w:r>
          </w:p>
        </w:tc>
      </w:tr>
    </w:tbl>
    <w:p>
      <w:pPr>
        <w:pBdr>
          <w:bottom w:val="single" w:color="D6E4F0" w:sz="6"/>
        </w:pBdr>
        <w:spacing w:after="120" w:before="120"/>
      </w:pPr>
      <w:r>
        <w:rPr>
          <w:rFonts w:ascii="Arial" w:cs="Arial" w:eastAsia="Arial" w:hAnsi="Arial"/>
          <w:color w:val="333333"/>
          <w:sz w:val="22"/>
          <w:szCs w:val="22"/>
        </w:rPr>
        <w:t xml:space="preserve"/>
      </w:r>
    </w:p>
    <w:p>
      <w:r>
        <w:br/>
      </w:r>
    </w:p>
    <w:p>
      <w:pPr>
        <w:pStyle w:val="Heading1"/>
        <w:pBdr>
          <w:bottom w:val="single" w:color="C8960C" w:sz="8"/>
        </w:pBdr>
        <w:shd w:fill="1B3A6B" w:val="clear"/>
        <w:spacing w:after="120" w:before="360"/>
        <w:ind w:left="180" w:right="180"/>
      </w:pPr>
      <w:r>
        <w:rPr>
          <w:rFonts w:ascii="Arial" w:cs="Arial" w:eastAsia="Arial" w:hAnsi="Arial"/>
          <w:b/>
          <w:bCs/>
          <w:color w:val="FFFFFF"/>
          <w:sz w:val="32"/>
          <w:szCs w:val="32"/>
        </w:rPr>
        <w:t xml:space="preserve">Quick-Reference Audit Checklist</w:t>
      </w:r>
    </w:p>
    <w:p>
      <w:pPr>
        <w:spacing w:after="60" w:before="60"/>
      </w:pPr>
      <w:r>
        <w:rPr>
          <w:rFonts w:ascii="Arial" w:cs="Arial" w:eastAsia="Arial" w:hAnsi="Arial"/>
          <w:color w:val="333333"/>
          <w:sz w:val="22"/>
          <w:szCs w:val="22"/>
        </w:rPr>
        <w:t xml:space="preserve">Use this checklist during pre-audit preparation or walkthrough reviews. A 'Yes' should be backed by a documented artifact you can produce on request.</w:t>
      </w:r>
    </w:p>
    <w:p>
      <w:pPr>
        <w:pStyle w:val="Heading2"/>
        <w:shd w:fill="2E6DA4" w:val="clear"/>
        <w:spacing w:after="80" w:before="240"/>
        <w:ind w:left="120"/>
      </w:pPr>
      <w:r>
        <w:rPr>
          <w:rFonts w:ascii="Arial" w:cs="Arial" w:eastAsia="Arial" w:hAnsi="Arial"/>
          <w:b/>
          <w:bCs/>
          <w:color w:val="FFFFFF"/>
          <w:sz w:val="26"/>
          <w:szCs w:val="26"/>
        </w:rPr>
        <w:t xml:space="preserve">NIST AI RMF</w:t>
      </w:r>
    </w:p>
    <w:p>
      <w:pPr>
        <w:pStyle w:val="ListParagraph"/>
        <w:numPr>
          <w:ilvl w:val="0"/>
          <w:numId w:val="2"/>
        </w:numPr>
        <w:spacing w:after="40" w:before="40"/>
      </w:pPr>
      <w:r>
        <w:rPr>
          <w:rFonts w:ascii="Arial" w:cs="Arial" w:eastAsia="Arial" w:hAnsi="Arial"/>
          <w:color w:val="333333"/>
          <w:sz w:val="22"/>
          <w:szCs w:val="22"/>
        </w:rPr>
        <w:t xml:space="preserve">AI System Inventory — complete, current, owner assigned to each system.</w:t>
      </w:r>
    </w:p>
    <w:p>
      <w:pPr>
        <w:pStyle w:val="ListParagraph"/>
        <w:numPr>
          <w:ilvl w:val="0"/>
          <w:numId w:val="2"/>
        </w:numPr>
        <w:spacing w:after="40" w:before="40"/>
      </w:pPr>
      <w:r>
        <w:rPr>
          <w:rFonts w:ascii="Arial" w:cs="Arial" w:eastAsia="Arial" w:hAnsi="Arial"/>
          <w:color w:val="333333"/>
          <w:sz w:val="22"/>
          <w:szCs w:val="22"/>
        </w:rPr>
        <w:t xml:space="preserve">AI Acceptable Use Policy — published, trained on, version-controlled.</w:t>
      </w:r>
    </w:p>
    <w:p>
      <w:pPr>
        <w:pStyle w:val="ListParagraph"/>
        <w:numPr>
          <w:ilvl w:val="0"/>
          <w:numId w:val="2"/>
        </w:numPr>
        <w:spacing w:after="40" w:before="40"/>
      </w:pPr>
      <w:r>
        <w:rPr>
          <w:rFonts w:ascii="Arial" w:cs="Arial" w:eastAsia="Arial" w:hAnsi="Arial"/>
          <w:color w:val="333333"/>
          <w:sz w:val="22"/>
          <w:szCs w:val="22"/>
        </w:rPr>
        <w:t xml:space="preserve">Risk Tolerance Statement — documented and approved by leadership.</w:t>
      </w:r>
    </w:p>
    <w:p>
      <w:pPr>
        <w:pStyle w:val="ListParagraph"/>
        <w:numPr>
          <w:ilvl w:val="0"/>
          <w:numId w:val="2"/>
        </w:numPr>
        <w:spacing w:after="40" w:before="40"/>
      </w:pPr>
      <w:r>
        <w:rPr>
          <w:rFonts w:ascii="Arial" w:cs="Arial" w:eastAsia="Arial" w:hAnsi="Arial"/>
          <w:color w:val="333333"/>
          <w:sz w:val="22"/>
          <w:szCs w:val="22"/>
        </w:rPr>
        <w:t xml:space="preserve">TEVV results for each AI system — pre-deployment and ongoing.</w:t>
      </w:r>
    </w:p>
    <w:p>
      <w:pPr>
        <w:pStyle w:val="ListParagraph"/>
        <w:numPr>
          <w:ilvl w:val="0"/>
          <w:numId w:val="2"/>
        </w:numPr>
        <w:spacing w:after="40" w:before="40"/>
      </w:pPr>
      <w:r>
        <w:rPr>
          <w:rFonts w:ascii="Arial" w:cs="Arial" w:eastAsia="Arial" w:hAnsi="Arial"/>
          <w:color w:val="333333"/>
          <w:sz w:val="22"/>
          <w:szCs w:val="22"/>
        </w:rPr>
        <w:t xml:space="preserve">Bias and fairness testing reports — with findings and remediation actions.</w:t>
      </w:r>
    </w:p>
    <w:p>
      <w:pPr>
        <w:pStyle w:val="ListParagraph"/>
        <w:numPr>
          <w:ilvl w:val="0"/>
          <w:numId w:val="2"/>
        </w:numPr>
        <w:spacing w:after="40" w:before="40"/>
      </w:pPr>
      <w:r>
        <w:rPr>
          <w:rFonts w:ascii="Arial" w:cs="Arial" w:eastAsia="Arial" w:hAnsi="Arial"/>
          <w:color w:val="333333"/>
          <w:sz w:val="22"/>
          <w:szCs w:val="22"/>
        </w:rPr>
        <w:t xml:space="preserve">AI Governance Committee meeting minutes — within the past 90 days.</w:t>
      </w:r>
    </w:p>
    <w:p>
      <w:pPr>
        <w:pStyle w:val="ListParagraph"/>
        <w:numPr>
          <w:ilvl w:val="0"/>
          <w:numId w:val="2"/>
        </w:numPr>
        <w:spacing w:after="40" w:before="40"/>
      </w:pPr>
      <w:r>
        <w:rPr>
          <w:rFonts w:ascii="Arial" w:cs="Arial" w:eastAsia="Arial" w:hAnsi="Arial"/>
          <w:color w:val="333333"/>
          <w:sz w:val="22"/>
          <w:szCs w:val="22"/>
        </w:rPr>
        <w:t xml:space="preserve">AI Incident Response Plan — tested within the past 12 months.</w:t>
      </w:r>
    </w:p>
    <w:p>
      <w:pPr>
        <w:pStyle w:val="ListParagraph"/>
        <w:numPr>
          <w:ilvl w:val="0"/>
          <w:numId w:val="2"/>
        </w:numPr>
        <w:spacing w:after="40" w:before="40"/>
      </w:pPr>
      <w:r>
        <w:rPr>
          <w:rFonts w:ascii="Arial" w:cs="Arial" w:eastAsia="Arial" w:hAnsi="Arial"/>
          <w:color w:val="333333"/>
          <w:sz w:val="22"/>
          <w:szCs w:val="22"/>
        </w:rPr>
        <w:t xml:space="preserve">Red Team exercise results — for high-risk AI systems.</w:t>
      </w:r>
    </w:p>
    <w:p>
      <w:pPr>
        <w:pStyle w:val="Heading2"/>
        <w:shd w:fill="2E6DA4" w:val="clear"/>
        <w:spacing w:after="80" w:before="240"/>
        <w:ind w:left="120"/>
      </w:pPr>
      <w:r>
        <w:rPr>
          <w:rFonts w:ascii="Arial" w:cs="Arial" w:eastAsia="Arial" w:hAnsi="Arial"/>
          <w:b/>
          <w:bCs/>
          <w:color w:val="FFFFFF"/>
          <w:sz w:val="26"/>
          <w:szCs w:val="26"/>
        </w:rPr>
        <w:t xml:space="preserve">ISO 42001</w:t>
      </w:r>
    </w:p>
    <w:p>
      <w:pPr>
        <w:pStyle w:val="ListParagraph"/>
        <w:numPr>
          <w:ilvl w:val="0"/>
          <w:numId w:val="2"/>
        </w:numPr>
        <w:spacing w:after="40" w:before="40"/>
      </w:pPr>
      <w:r>
        <w:rPr>
          <w:rFonts w:ascii="Arial" w:cs="Arial" w:eastAsia="Arial" w:hAnsi="Arial"/>
          <w:color w:val="333333"/>
          <w:sz w:val="22"/>
          <w:szCs w:val="22"/>
        </w:rPr>
        <w:t xml:space="preserve">AI Policy — signed by top management, communicated to staff.</w:t>
      </w:r>
    </w:p>
    <w:p>
      <w:pPr>
        <w:pStyle w:val="ListParagraph"/>
        <w:numPr>
          <w:ilvl w:val="0"/>
          <w:numId w:val="2"/>
        </w:numPr>
        <w:spacing w:after="40" w:before="40"/>
      </w:pPr>
      <w:r>
        <w:rPr>
          <w:rFonts w:ascii="Arial" w:cs="Arial" w:eastAsia="Arial" w:hAnsi="Arial"/>
          <w:color w:val="333333"/>
          <w:sz w:val="22"/>
          <w:szCs w:val="22"/>
        </w:rPr>
        <w:t xml:space="preserve">AIMS Scope Statement — defined and documented.</w:t>
      </w:r>
    </w:p>
    <w:p>
      <w:pPr>
        <w:pStyle w:val="ListParagraph"/>
        <w:numPr>
          <w:ilvl w:val="0"/>
          <w:numId w:val="2"/>
        </w:numPr>
        <w:spacing w:after="40" w:before="40"/>
      </w:pPr>
      <w:r>
        <w:rPr>
          <w:rFonts w:ascii="Arial" w:cs="Arial" w:eastAsia="Arial" w:hAnsi="Arial"/>
          <w:color w:val="333333"/>
          <w:sz w:val="22"/>
          <w:szCs w:val="22"/>
        </w:rPr>
        <w:t xml:space="preserve">Statement of Applicability (SoA) — current, linked to risk treatment.</w:t>
      </w:r>
    </w:p>
    <w:p>
      <w:pPr>
        <w:pStyle w:val="ListParagraph"/>
        <w:numPr>
          <w:ilvl w:val="0"/>
          <w:numId w:val="2"/>
        </w:numPr>
        <w:spacing w:after="40" w:before="40"/>
      </w:pPr>
      <w:r>
        <w:rPr>
          <w:rFonts w:ascii="Arial" w:cs="Arial" w:eastAsia="Arial" w:hAnsi="Arial"/>
          <w:color w:val="333333"/>
          <w:sz w:val="22"/>
          <w:szCs w:val="22"/>
        </w:rPr>
        <w:t xml:space="preserve">AI Risk Assessment — conducted within the past 12 months.</w:t>
      </w:r>
    </w:p>
    <w:p>
      <w:pPr>
        <w:pStyle w:val="ListParagraph"/>
        <w:numPr>
          <w:ilvl w:val="0"/>
          <w:numId w:val="2"/>
        </w:numPr>
        <w:spacing w:after="40" w:before="40"/>
      </w:pPr>
      <w:r>
        <w:rPr>
          <w:rFonts w:ascii="Arial" w:cs="Arial" w:eastAsia="Arial" w:hAnsi="Arial"/>
          <w:color w:val="333333"/>
          <w:sz w:val="22"/>
          <w:szCs w:val="22"/>
        </w:rPr>
        <w:t xml:space="preserve">AI System Impact Assessments — on file for each in-scope AI system.</w:t>
      </w:r>
    </w:p>
    <w:p>
      <w:pPr>
        <w:pStyle w:val="ListParagraph"/>
        <w:numPr>
          <w:ilvl w:val="0"/>
          <w:numId w:val="2"/>
        </w:numPr>
        <w:spacing w:after="40" w:before="40"/>
      </w:pPr>
      <w:r>
        <w:rPr>
          <w:rFonts w:ascii="Arial" w:cs="Arial" w:eastAsia="Arial" w:hAnsi="Arial"/>
          <w:color w:val="333333"/>
          <w:sz w:val="22"/>
          <w:szCs w:val="22"/>
        </w:rPr>
        <w:t xml:space="preserve">Internal audit report — from the past 12 months.</w:t>
      </w:r>
    </w:p>
    <w:p>
      <w:pPr>
        <w:pStyle w:val="ListParagraph"/>
        <w:numPr>
          <w:ilvl w:val="0"/>
          <w:numId w:val="2"/>
        </w:numPr>
        <w:spacing w:after="40" w:before="40"/>
      </w:pPr>
      <w:r>
        <w:rPr>
          <w:rFonts w:ascii="Arial" w:cs="Arial" w:eastAsia="Arial" w:hAnsi="Arial"/>
          <w:color w:val="333333"/>
          <w:sz w:val="22"/>
          <w:szCs w:val="22"/>
        </w:rPr>
        <w:t xml:space="preserve">Management Review minutes — from the past 12 months.</w:t>
      </w:r>
    </w:p>
    <w:p>
      <w:pPr>
        <w:pStyle w:val="ListParagraph"/>
        <w:numPr>
          <w:ilvl w:val="0"/>
          <w:numId w:val="2"/>
        </w:numPr>
        <w:spacing w:after="40" w:before="40"/>
      </w:pPr>
      <w:r>
        <w:rPr>
          <w:rFonts w:ascii="Arial" w:cs="Arial" w:eastAsia="Arial" w:hAnsi="Arial"/>
          <w:color w:val="333333"/>
          <w:sz w:val="22"/>
          <w:szCs w:val="22"/>
        </w:rPr>
        <w:t xml:space="preserve">Corrective Action Records — open and closed, with evidence.</w:t>
      </w:r>
    </w:p>
    <w:p>
      <w:pPr>
        <w:pStyle w:val="Heading2"/>
        <w:shd w:fill="2E6DA4" w:val="clear"/>
        <w:spacing w:after="80" w:before="240"/>
        <w:ind w:left="120"/>
      </w:pPr>
      <w:r>
        <w:rPr>
          <w:rFonts w:ascii="Arial" w:cs="Arial" w:eastAsia="Arial" w:hAnsi="Arial"/>
          <w:b/>
          <w:bCs/>
          <w:color w:val="FFFFFF"/>
          <w:sz w:val="26"/>
          <w:szCs w:val="26"/>
        </w:rPr>
        <w:t xml:space="preserve">ISO 27001</w:t>
      </w:r>
    </w:p>
    <w:p>
      <w:pPr>
        <w:pStyle w:val="ListParagraph"/>
        <w:numPr>
          <w:ilvl w:val="0"/>
          <w:numId w:val="2"/>
        </w:numPr>
        <w:spacing w:after="40" w:before="40"/>
      </w:pPr>
      <w:r>
        <w:rPr>
          <w:rFonts w:ascii="Arial" w:cs="Arial" w:eastAsia="Arial" w:hAnsi="Arial"/>
          <w:color w:val="333333"/>
          <w:sz w:val="22"/>
          <w:szCs w:val="22"/>
        </w:rPr>
        <w:t xml:space="preserve">ISMS Policy — current, approved, communicated.</w:t>
      </w:r>
    </w:p>
    <w:p>
      <w:pPr>
        <w:pStyle w:val="ListParagraph"/>
        <w:numPr>
          <w:ilvl w:val="0"/>
          <w:numId w:val="2"/>
        </w:numPr>
        <w:spacing w:after="40" w:before="40"/>
      </w:pPr>
      <w:r>
        <w:rPr>
          <w:rFonts w:ascii="Arial" w:cs="Arial" w:eastAsia="Arial" w:hAnsi="Arial"/>
          <w:color w:val="333333"/>
          <w:sz w:val="22"/>
          <w:szCs w:val="22"/>
        </w:rPr>
        <w:t xml:space="preserve">Statement of Applicability (SoA) — current, all 93 controls addressed.</w:t>
      </w:r>
    </w:p>
    <w:p>
      <w:pPr>
        <w:pStyle w:val="ListParagraph"/>
        <w:numPr>
          <w:ilvl w:val="0"/>
          <w:numId w:val="2"/>
        </w:numPr>
        <w:spacing w:after="40" w:before="40"/>
      </w:pPr>
      <w:r>
        <w:rPr>
          <w:rFonts w:ascii="Arial" w:cs="Arial" w:eastAsia="Arial" w:hAnsi="Arial"/>
          <w:color w:val="333333"/>
          <w:sz w:val="22"/>
          <w:szCs w:val="22"/>
        </w:rPr>
        <w:t xml:space="preserve">Risk Assessment and Risk Treatment Plan — current.</w:t>
      </w:r>
    </w:p>
    <w:p>
      <w:pPr>
        <w:pStyle w:val="ListParagraph"/>
        <w:numPr>
          <w:ilvl w:val="0"/>
          <w:numId w:val="2"/>
        </w:numPr>
        <w:spacing w:after="40" w:before="40"/>
      </w:pPr>
      <w:r>
        <w:rPr>
          <w:rFonts w:ascii="Arial" w:cs="Arial" w:eastAsia="Arial" w:hAnsi="Arial"/>
          <w:color w:val="333333"/>
          <w:sz w:val="22"/>
          <w:szCs w:val="22"/>
        </w:rPr>
        <w:t xml:space="preserve">Access control reviews — conducted within the past 6 months.</w:t>
      </w:r>
    </w:p>
    <w:p>
      <w:pPr>
        <w:pStyle w:val="ListParagraph"/>
        <w:numPr>
          <w:ilvl w:val="0"/>
          <w:numId w:val="2"/>
        </w:numPr>
        <w:spacing w:after="40" w:before="40"/>
      </w:pPr>
      <w:r>
        <w:rPr>
          <w:rFonts w:ascii="Arial" w:cs="Arial" w:eastAsia="Arial" w:hAnsi="Arial"/>
          <w:color w:val="333333"/>
          <w:sz w:val="22"/>
          <w:szCs w:val="22"/>
        </w:rPr>
        <w:t xml:space="preserve">Vulnerability scan results — current (within 90 days for high-risk systems).</w:t>
      </w:r>
    </w:p>
    <w:p>
      <w:pPr>
        <w:pStyle w:val="ListParagraph"/>
        <w:numPr>
          <w:ilvl w:val="0"/>
          <w:numId w:val="2"/>
        </w:numPr>
        <w:spacing w:after="40" w:before="40"/>
      </w:pPr>
      <w:r>
        <w:rPr>
          <w:rFonts w:ascii="Arial" w:cs="Arial" w:eastAsia="Arial" w:hAnsi="Arial"/>
          <w:color w:val="333333"/>
          <w:sz w:val="22"/>
          <w:szCs w:val="22"/>
        </w:rPr>
        <w:t xml:space="preserve">Security awareness training records — for all staff.</w:t>
      </w:r>
    </w:p>
    <w:p>
      <w:pPr>
        <w:pStyle w:val="ListParagraph"/>
        <w:numPr>
          <w:ilvl w:val="0"/>
          <w:numId w:val="2"/>
        </w:numPr>
        <w:spacing w:after="40" w:before="40"/>
      </w:pPr>
      <w:r>
        <w:rPr>
          <w:rFonts w:ascii="Arial" w:cs="Arial" w:eastAsia="Arial" w:hAnsi="Arial"/>
          <w:color w:val="333333"/>
          <w:sz w:val="22"/>
          <w:szCs w:val="22"/>
        </w:rPr>
        <w:t xml:space="preserve">Change management records — for AI system changes.</w:t>
      </w:r>
    </w:p>
    <w:p>
      <w:pPr>
        <w:pStyle w:val="ListParagraph"/>
        <w:numPr>
          <w:ilvl w:val="0"/>
          <w:numId w:val="2"/>
        </w:numPr>
        <w:spacing w:after="40" w:before="40"/>
      </w:pPr>
      <w:r>
        <w:rPr>
          <w:rFonts w:ascii="Arial" w:cs="Arial" w:eastAsia="Arial" w:hAnsi="Arial"/>
          <w:color w:val="333333"/>
          <w:sz w:val="22"/>
          <w:szCs w:val="22"/>
        </w:rPr>
        <w:t xml:space="preserve">Incident register — all incidents logged and closed or in remediation.</w:t>
      </w:r>
    </w:p>
    <w:p>
      <w:pPr>
        <w:pStyle w:val="ListParagraph"/>
        <w:numPr>
          <w:ilvl w:val="0"/>
          <w:numId w:val="2"/>
        </w:numPr>
        <w:spacing w:after="40" w:before="40"/>
      </w:pPr>
      <w:r>
        <w:rPr>
          <w:rFonts w:ascii="Arial" w:cs="Arial" w:eastAsia="Arial" w:hAnsi="Arial"/>
          <w:color w:val="333333"/>
          <w:sz w:val="22"/>
          <w:szCs w:val="22"/>
        </w:rPr>
        <w:t xml:space="preserve">Supplier assessment records — including AI vendors.</w:t>
      </w:r>
    </w:p>
    <w:p>
      <w:pPr>
        <w:pStyle w:val="Heading2"/>
        <w:shd w:fill="2E6DA4" w:val="clear"/>
        <w:spacing w:after="80" w:before="240"/>
        <w:ind w:left="120"/>
      </w:pPr>
      <w:r>
        <w:rPr>
          <w:rFonts w:ascii="Arial" w:cs="Arial" w:eastAsia="Arial" w:hAnsi="Arial"/>
          <w:b/>
          <w:bCs/>
          <w:color w:val="FFFFFF"/>
          <w:sz w:val="26"/>
          <w:szCs w:val="26"/>
        </w:rPr>
        <w:t xml:space="preserve">EU AI Act</w:t>
      </w:r>
    </w:p>
    <w:p>
      <w:pPr>
        <w:pStyle w:val="ListParagraph"/>
        <w:numPr>
          <w:ilvl w:val="0"/>
          <w:numId w:val="2"/>
        </w:numPr>
        <w:spacing w:after="40" w:before="40"/>
      </w:pPr>
      <w:r>
        <w:rPr>
          <w:rFonts w:ascii="Arial" w:cs="Arial" w:eastAsia="Arial" w:hAnsi="Arial"/>
          <w:color w:val="333333"/>
          <w:sz w:val="22"/>
          <w:szCs w:val="22"/>
        </w:rPr>
        <w:t xml:space="preserve">AI Risk Classification Register — every AI system classified with documented justification.</w:t>
      </w:r>
    </w:p>
    <w:p>
      <w:pPr>
        <w:pStyle w:val="ListParagraph"/>
        <w:numPr>
          <w:ilvl w:val="0"/>
          <w:numId w:val="2"/>
        </w:numPr>
        <w:spacing w:after="40" w:before="40"/>
      </w:pPr>
      <w:r>
        <w:rPr>
          <w:rFonts w:ascii="Arial" w:cs="Arial" w:eastAsia="Arial" w:hAnsi="Arial"/>
          <w:color w:val="333333"/>
          <w:sz w:val="22"/>
          <w:szCs w:val="22"/>
        </w:rPr>
        <w:t xml:space="preserve">Technical Documentation package — for all high-risk AI systems.</w:t>
      </w:r>
    </w:p>
    <w:p>
      <w:pPr>
        <w:pStyle w:val="ListParagraph"/>
        <w:numPr>
          <w:ilvl w:val="0"/>
          <w:numId w:val="2"/>
        </w:numPr>
        <w:spacing w:after="40" w:before="40"/>
      </w:pPr>
      <w:r>
        <w:rPr>
          <w:rFonts w:ascii="Arial" w:cs="Arial" w:eastAsia="Arial" w:hAnsi="Arial"/>
          <w:color w:val="333333"/>
          <w:sz w:val="22"/>
          <w:szCs w:val="22"/>
        </w:rPr>
        <w:t xml:space="preserve">Risk Management System documentation — ongoing, not point-in-time.</w:t>
      </w:r>
    </w:p>
    <w:p>
      <w:pPr>
        <w:pStyle w:val="ListParagraph"/>
        <w:numPr>
          <w:ilvl w:val="0"/>
          <w:numId w:val="2"/>
        </w:numPr>
        <w:spacing w:after="40" w:before="40"/>
      </w:pPr>
      <w:r>
        <w:rPr>
          <w:rFonts w:ascii="Arial" w:cs="Arial" w:eastAsia="Arial" w:hAnsi="Arial"/>
          <w:color w:val="333333"/>
          <w:sz w:val="22"/>
          <w:szCs w:val="22"/>
        </w:rPr>
        <w:t xml:space="preserve">Data Governance documentation — for high-risk AI training data.</w:t>
      </w:r>
    </w:p>
    <w:p>
      <w:pPr>
        <w:pStyle w:val="ListParagraph"/>
        <w:numPr>
          <w:ilvl w:val="0"/>
          <w:numId w:val="2"/>
        </w:numPr>
        <w:spacing w:after="40" w:before="40"/>
      </w:pPr>
      <w:r>
        <w:rPr>
          <w:rFonts w:ascii="Arial" w:cs="Arial" w:eastAsia="Arial" w:hAnsi="Arial"/>
          <w:color w:val="333333"/>
          <w:sz w:val="22"/>
          <w:szCs w:val="22"/>
        </w:rPr>
        <w:t xml:space="preserve">Logging configuration evidence — automated event logging active.</w:t>
      </w:r>
    </w:p>
    <w:p>
      <w:pPr>
        <w:pStyle w:val="ListParagraph"/>
        <w:numPr>
          <w:ilvl w:val="0"/>
          <w:numId w:val="2"/>
        </w:numPr>
        <w:spacing w:after="40" w:before="40"/>
      </w:pPr>
      <w:r>
        <w:rPr>
          <w:rFonts w:ascii="Arial" w:cs="Arial" w:eastAsia="Arial" w:hAnsi="Arial"/>
          <w:color w:val="333333"/>
          <w:sz w:val="22"/>
          <w:szCs w:val="22"/>
        </w:rPr>
        <w:t xml:space="preserve">Human oversight procedures — documented and staff trained on them.</w:t>
      </w:r>
    </w:p>
    <w:p>
      <w:pPr>
        <w:pStyle w:val="ListParagraph"/>
        <w:numPr>
          <w:ilvl w:val="0"/>
          <w:numId w:val="2"/>
        </w:numPr>
        <w:spacing w:after="40" w:before="40"/>
      </w:pPr>
      <w:r>
        <w:rPr>
          <w:rFonts w:ascii="Arial" w:cs="Arial" w:eastAsia="Arial" w:hAnsi="Arial"/>
          <w:color w:val="333333"/>
          <w:sz w:val="22"/>
          <w:szCs w:val="22"/>
        </w:rPr>
        <w:t xml:space="preserve">Conformity Assessment records — for high-risk systems.</w:t>
      </w:r>
    </w:p>
    <w:p>
      <w:pPr>
        <w:pStyle w:val="ListParagraph"/>
        <w:numPr>
          <w:ilvl w:val="0"/>
          <w:numId w:val="2"/>
        </w:numPr>
        <w:spacing w:after="40" w:before="40"/>
      </w:pPr>
      <w:r>
        <w:rPr>
          <w:rFonts w:ascii="Arial" w:cs="Arial" w:eastAsia="Arial" w:hAnsi="Arial"/>
          <w:color w:val="333333"/>
          <w:sz w:val="22"/>
          <w:szCs w:val="22"/>
        </w:rPr>
        <w:t xml:space="preserve">EU AI database registration confirmation — for high-risk systems.</w:t>
      </w:r>
    </w:p>
    <w:p>
      <w:pPr>
        <w:pStyle w:val="ListParagraph"/>
        <w:numPr>
          <w:ilvl w:val="0"/>
          <w:numId w:val="2"/>
        </w:numPr>
        <w:spacing w:after="40" w:before="40"/>
      </w:pPr>
      <w:r>
        <w:rPr>
          <w:rFonts w:ascii="Arial" w:cs="Arial" w:eastAsia="Arial" w:hAnsi="Arial"/>
          <w:color w:val="333333"/>
          <w:sz w:val="22"/>
          <w:szCs w:val="22"/>
        </w:rPr>
        <w:t xml:space="preserve">Incident reports — any serious incidents reported to national authority.</w:t>
      </w:r>
    </w:p>
    <w:p>
      <w:pPr>
        <w:pStyle w:val="Heading2"/>
        <w:shd w:fill="2E6DA4" w:val="clear"/>
        <w:spacing w:after="80" w:before="240"/>
        <w:ind w:left="120"/>
      </w:pPr>
      <w:r>
        <w:rPr>
          <w:rFonts w:ascii="Arial" w:cs="Arial" w:eastAsia="Arial" w:hAnsi="Arial"/>
          <w:b/>
          <w:bCs/>
          <w:color w:val="FFFFFF"/>
          <w:sz w:val="26"/>
          <w:szCs w:val="26"/>
        </w:rPr>
        <w:t xml:space="preserve">GDPR</w:t>
      </w:r>
    </w:p>
    <w:p>
      <w:pPr>
        <w:pStyle w:val="ListParagraph"/>
        <w:numPr>
          <w:ilvl w:val="0"/>
          <w:numId w:val="2"/>
        </w:numPr>
        <w:spacing w:after="40" w:before="40"/>
      </w:pPr>
      <w:r>
        <w:rPr>
          <w:rFonts w:ascii="Arial" w:cs="Arial" w:eastAsia="Arial" w:hAnsi="Arial"/>
          <w:color w:val="333333"/>
          <w:sz w:val="22"/>
          <w:szCs w:val="22"/>
        </w:rPr>
        <w:t xml:space="preserve">Record of Processing Activities (RoPA) — complete, current, covering AI systems.</w:t>
      </w:r>
    </w:p>
    <w:p>
      <w:pPr>
        <w:pStyle w:val="ListParagraph"/>
        <w:numPr>
          <w:ilvl w:val="0"/>
          <w:numId w:val="2"/>
        </w:numPr>
        <w:spacing w:after="40" w:before="40"/>
      </w:pPr>
      <w:r>
        <w:rPr>
          <w:rFonts w:ascii="Arial" w:cs="Arial" w:eastAsia="Arial" w:hAnsi="Arial"/>
          <w:color w:val="333333"/>
          <w:sz w:val="22"/>
          <w:szCs w:val="22"/>
        </w:rPr>
        <w:t xml:space="preserve">Lawful basis documentation — for every AI processing activity.</w:t>
      </w:r>
    </w:p>
    <w:p>
      <w:pPr>
        <w:pStyle w:val="ListParagraph"/>
        <w:numPr>
          <w:ilvl w:val="0"/>
          <w:numId w:val="2"/>
        </w:numPr>
        <w:spacing w:after="40" w:before="40"/>
      </w:pPr>
      <w:r>
        <w:rPr>
          <w:rFonts w:ascii="Arial" w:cs="Arial" w:eastAsia="Arial" w:hAnsi="Arial"/>
          <w:color w:val="333333"/>
          <w:sz w:val="22"/>
          <w:szCs w:val="22"/>
        </w:rPr>
        <w:t xml:space="preserve">DPIA records — for all high-risk AI processing, conducted before deployment.</w:t>
      </w:r>
    </w:p>
    <w:p>
      <w:pPr>
        <w:pStyle w:val="ListParagraph"/>
        <w:numPr>
          <w:ilvl w:val="0"/>
          <w:numId w:val="2"/>
        </w:numPr>
        <w:spacing w:after="40" w:before="40"/>
      </w:pPr>
      <w:r>
        <w:rPr>
          <w:rFonts w:ascii="Arial" w:cs="Arial" w:eastAsia="Arial" w:hAnsi="Arial"/>
          <w:color w:val="333333"/>
          <w:sz w:val="22"/>
          <w:szCs w:val="22"/>
        </w:rPr>
        <w:t xml:space="preserve">Data subject request log — with response timestamps.</w:t>
      </w:r>
    </w:p>
    <w:p>
      <w:pPr>
        <w:pStyle w:val="ListParagraph"/>
        <w:numPr>
          <w:ilvl w:val="0"/>
          <w:numId w:val="2"/>
        </w:numPr>
        <w:spacing w:after="40" w:before="40"/>
      </w:pPr>
      <w:r>
        <w:rPr>
          <w:rFonts w:ascii="Arial" w:cs="Arial" w:eastAsia="Arial" w:hAnsi="Arial"/>
          <w:color w:val="333333"/>
          <w:sz w:val="22"/>
          <w:szCs w:val="22"/>
        </w:rPr>
        <w:t xml:space="preserve">Breach notification register — all breaches logged, notifications sent where required.</w:t>
      </w:r>
    </w:p>
    <w:p>
      <w:pPr>
        <w:pStyle w:val="ListParagraph"/>
        <w:numPr>
          <w:ilvl w:val="0"/>
          <w:numId w:val="2"/>
        </w:numPr>
        <w:spacing w:after="40" w:before="40"/>
      </w:pPr>
      <w:r>
        <w:rPr>
          <w:rFonts w:ascii="Arial" w:cs="Arial" w:eastAsia="Arial" w:hAnsi="Arial"/>
          <w:color w:val="333333"/>
          <w:sz w:val="22"/>
          <w:szCs w:val="22"/>
        </w:rPr>
        <w:t xml:space="preserve">Data processor agreements — with all AI vendors and processors.</w:t>
      </w:r>
    </w:p>
    <w:p>
      <w:pPr>
        <w:pStyle w:val="ListParagraph"/>
        <w:numPr>
          <w:ilvl w:val="0"/>
          <w:numId w:val="2"/>
        </w:numPr>
        <w:spacing w:after="40" w:before="40"/>
      </w:pPr>
      <w:r>
        <w:rPr>
          <w:rFonts w:ascii="Arial" w:cs="Arial" w:eastAsia="Arial" w:hAnsi="Arial"/>
          <w:color w:val="333333"/>
          <w:sz w:val="22"/>
          <w:szCs w:val="22"/>
        </w:rPr>
        <w:t xml:space="preserve">Privacy notices — covering AI processing, accessible to data subjects.</w:t>
      </w:r>
    </w:p>
    <w:p>
      <w:pPr>
        <w:pStyle w:val="ListParagraph"/>
        <w:numPr>
          <w:ilvl w:val="0"/>
          <w:numId w:val="2"/>
        </w:numPr>
        <w:spacing w:after="40" w:before="40"/>
      </w:pPr>
      <w:r>
        <w:rPr>
          <w:rFonts w:ascii="Arial" w:cs="Arial" w:eastAsia="Arial" w:hAnsi="Arial"/>
          <w:color w:val="333333"/>
          <w:sz w:val="22"/>
          <w:szCs w:val="22"/>
        </w:rPr>
        <w:t xml:space="preserve">DPO appointment documentation — if applicable.</w:t>
      </w:r>
    </w:p>
    <w:p>
      <w:pPr>
        <w:pBdr>
          <w:bottom w:val="single" w:color="D6E4F0" w:sz="6"/>
        </w:pBdr>
        <w:spacing w:after="120" w:before="120"/>
      </w:pPr>
      <w:r>
        <w:rPr>
          <w:rFonts w:ascii="Arial" w:cs="Arial" w:eastAsia="Arial" w:hAnsi="Arial"/>
          <w:color w:val="333333"/>
          <w:sz w:val="22"/>
          <w:szCs w:val="22"/>
        </w:rPr>
        <w:t xml:space="preserve"/>
      </w:r>
    </w:p>
    <w:p>
      <w:r>
        <w:br/>
      </w:r>
    </w:p>
    <w:p>
      <w:pPr>
        <w:pStyle w:val="Heading1"/>
        <w:pBdr>
          <w:bottom w:val="single" w:color="C8960C" w:sz="8"/>
        </w:pBdr>
        <w:shd w:fill="1B3A6B" w:val="clear"/>
        <w:spacing w:after="120" w:before="360"/>
        <w:ind w:left="180" w:right="180"/>
      </w:pPr>
      <w:r>
        <w:rPr>
          <w:rFonts w:ascii="Arial" w:cs="Arial" w:eastAsia="Arial" w:hAnsi="Arial"/>
          <w:b/>
          <w:bCs/>
          <w:color w:val="FFFFFF"/>
          <w:sz w:val="32"/>
          <w:szCs w:val="32"/>
        </w:rPr>
        <w:t xml:space="preserve">A Final Word from the Field</w:t>
      </w:r>
    </w:p>
    <w:p>
      <w:pPr>
        <w:spacing w:after="60" w:before="60"/>
      </w:pPr>
      <w:r>
        <w:rPr>
          <w:rFonts w:ascii="Arial" w:cs="Arial" w:eastAsia="Arial" w:hAnsi="Arial"/>
          <w:color w:val="333333"/>
          <w:sz w:val="22"/>
          <w:szCs w:val="22"/>
        </w:rPr>
        <w:t xml:space="preserve">After 15 years in GRC, the single biggest mistake I see new managers make is treating compliance as a documentation exercise. They build beautiful policies, file them away, and then look up six months later wondering why the auditor found gaps.</w:t>
      </w:r>
    </w:p>
    <w:p>
      <w:pPr>
        <w:spacing w:after="60" w:before="60"/>
      </w:pPr>
      <w:r>
        <w:rPr>
          <w:rFonts w:ascii="Arial" w:cs="Arial" w:eastAsia="Arial" w:hAnsi="Arial"/>
          <w:color w:val="333333"/>
          <w:sz w:val="22"/>
          <w:szCs w:val="22"/>
        </w:rPr>
        <w:t xml:space="preserve">Compliance is a living system. The AI RMF's four functions are a cycle, not a checklist. ISO 42001's PDCA wheel never stops turning. GDPR's accountability principle requires that you can demonstrate — not just assert — that you are compliant, on any given day.</w:t>
      </w:r>
    </w:p>
    <w:p>
      <w:pPr>
        <w:spacing w:after="60" w:before="60"/>
      </w:pPr>
      <w:r>
        <w:rPr>
          <w:rFonts w:ascii="Arial" w:cs="Arial" w:eastAsia="Arial" w:hAnsi="Arial"/>
          <w:color w:val="333333"/>
          <w:sz w:val="22"/>
          <w:szCs w:val="22"/>
        </w:rPr>
        <w:t xml:space="preserve">The frameworks in this guide are not adversaries. They are the professional language of AI risk management. When you speak that language fluently — when you can walk into any room and explain why you classified an AI system as high-risk, what bias testing you ran and what you found, and what controls you put in place to protect EU residents — you are doing this job right.</w:t>
      </w:r>
    </w:p>
    <w:p>
      <w:pPr>
        <w:spacing w:after="60" w:before="60"/>
      </w:pPr>
      <w:r>
        <w:rPr>
          <w:rFonts w:ascii="Arial" w:cs="Arial" w:eastAsia="Arial" w:hAnsi="Arial"/>
          <w:color w:val="333333"/>
          <w:sz w:val="22"/>
          <w:szCs w:val="22"/>
        </w:rPr>
        <w:t xml:space="preserve">Part One has given you the language. Part Two will give you the method. Together they form a complete field manual for the GRC analyst who is serious about doing this work well.</w:t>
      </w:r>
    </w:p>
    <w:tbl>
      <w:tblPr>
        <w:tblW w:type="dxa" w:w="9360"/>
        <w:tblBorders>
          <w:top w:val="single" w:color="C8960C" w:sz="8"/>
          <w:left w:val="single" w:color="C8960C" w:sz="8"/>
          <w:bottom w:val="single" w:color="C8960C" w:sz="8"/>
          <w:right w:val="single" w:color="C8960C" w:sz="8"/>
          <w:insideH w:val="single" w:color="auto" w:sz="4"/>
          <w:insideV w:val="single" w:color="auto" w:sz="4"/>
        </w:tblBorders>
      </w:tblPr>
      <w:tblGrid>
        <w:gridCol w:w="200"/>
        <w:gridCol w:w="9160"/>
      </w:tblGrid>
      <w:tr>
        <w:tc>
          <w:tcPr>
            <w:tcW w:type="dxa" w:w="200"/>
            <w:tcBorders>
              <w:top w:val="nil"/>
              <w:left w:val="nil"/>
              <w:bottom w:val="nil"/>
              <w:right w:val="nil"/>
            </w:tcBorders>
            <w:shd w:fill="C8960C"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D6E4F0" w:val="clear"/>
            <w:tcMar>
              <w:top w:type="dxa" w:w="80"/>
              <w:left w:type="dxa" w:w="160"/>
              <w:bottom w:type="dxa" w:w="80"/>
              <w:right w:type="dxa" w:w="120"/>
            </w:tcMar>
          </w:tcPr>
          <w:p>
            <w:pPr>
              <w:spacing w:after="0" w:before="0"/>
            </w:pPr>
            <w:r>
              <w:rPr>
                <w:rFonts w:ascii="Arial" w:cs="Arial" w:eastAsia="Arial" w:hAnsi="Arial"/>
                <w:b/>
                <w:bCs/>
                <w:color w:val="1B3A6B"/>
                <w:sz w:val="22"/>
                <w:szCs w:val="22"/>
              </w:rPr>
              <w:t xml:space="preserve">The GRC Manager's Creed: </w:t>
            </w:r>
            <w:r>
              <w:rPr>
                <w:rFonts w:ascii="Arial" w:cs="Arial" w:eastAsia="Arial" w:hAnsi="Arial"/>
                <w:color w:val="333333"/>
                <w:sz w:val="22"/>
                <w:szCs w:val="22"/>
              </w:rPr>
              <w:t xml:space="preserve">Document what you do. Do what you document. Be ready to prove it on a Tuesday afternoon with 30 minutes notice. That is the job.</w:t>
            </w:r>
          </w:p>
        </w:tc>
      </w:tr>
    </w:tbl>
    <w:p>
      <w:pPr>
        <w:spacing w:after="0" w:before="480"/>
        <w:jc w:val="center"/>
      </w:pPr>
      <w:r>
        <w:rPr>
          <w:rFonts w:ascii="Arial" w:cs="Arial" w:eastAsia="Arial" w:hAnsi="Arial"/>
          <w:i/>
          <w:iCs/>
          <w:color w:val="666666"/>
          <w:sz w:val="20"/>
          <w:szCs w:val="20"/>
        </w:rPr>
        <w:t xml:space="preserve">— End of Part One: Framework Reference — Continue to Part Two: Audit Execution →</w:t>
      </w:r>
    </w:p>
    <w:p>
      <w:r>
        <w:br/>
      </w:r>
    </w:p>
    <w:p>
      <w:pPr>
        <w:pBdr>
          <w:bottom w:val="single" w:color="D6E4F0" w:sz="6"/>
        </w:pBdr>
        <w:spacing w:after="120" w:before="120"/>
      </w:pPr>
      <w:r>
        <w:rPr>
          <w:rFonts w:ascii="Arial" w:cs="Arial" w:eastAsia="Arial" w:hAnsi="Arial"/>
          <w:color w:val="333333"/>
          <w:sz w:val="22"/>
          <w:szCs w:val="22"/>
        </w:rPr>
        <w:t xml:space="preserve"/>
      </w:r>
    </w:p>
    <w:p>
      <w:pPr>
        <w:spacing w:after="120" w:before="240"/>
        <w:jc w:val="center"/>
      </w:pPr>
      <w:r>
        <w:rPr>
          <w:rFonts w:ascii="Arial" w:cs="Arial" w:eastAsia="Arial" w:hAnsi="Arial"/>
          <w:b/>
          <w:bCs/>
          <w:color w:val="666666"/>
          <w:sz w:val="28"/>
          <w:szCs w:val="28"/>
        </w:rPr>
        <w:t xml:space="preserve">PART TWO</w:t>
      </w:r>
    </w:p>
    <w:p>
      <w:pPr>
        <w:pBdr>
          <w:bottom w:val="single" w:color="C8960C" w:sz="8"/>
        </w:pBdr>
        <w:spacing w:after="240" w:before="0"/>
        <w:jc w:val="center"/>
      </w:pPr>
      <w:r>
        <w:rPr>
          <w:rFonts w:ascii="Arial" w:cs="Arial" w:eastAsia="Arial" w:hAnsi="Arial"/>
          <w:b/>
          <w:bCs/>
          <w:color w:val="1B3A6B"/>
          <w:sz w:val="44"/>
          <w:szCs w:val="44"/>
        </w:rPr>
        <w:t xml:space="preserve">How to Run an Audit</w:t>
      </w:r>
    </w:p>
    <w:p>
      <w:pPr>
        <w:spacing w:after="60" w:before="240"/>
        <w:jc w:val="center"/>
      </w:pPr>
      <w:r>
        <w:rPr>
          <w:rFonts w:ascii="Arial" w:cs="Arial" w:eastAsia="Arial" w:hAnsi="Arial"/>
          <w:i/>
          <w:iCs/>
          <w:color w:val="666666"/>
          <w:sz w:val="26"/>
          <w:szCs w:val="26"/>
        </w:rPr>
        <w:t xml:space="preserve">A Field Manual for Junior GRC Analysts</w:t>
      </w:r>
    </w:p>
    <w:p>
      <w:pPr>
        <w:spacing w:after="360" w:before="60"/>
        <w:jc w:val="center"/>
      </w:pPr>
      <w:r>
        <w:rPr>
          <w:rFonts w:ascii="Arial" w:cs="Arial" w:eastAsia="Arial" w:hAnsi="Arial"/>
          <w:color w:val="666666"/>
          <w:sz w:val="22"/>
          <w:szCs w:val="22"/>
        </w:rPr>
        <w:t xml:space="preserve">Companion to Part One: Global AI Governance Frameworks</w:t>
      </w:r>
    </w:p>
    <w:p>
      <w:r>
        <w:br/>
      </w:r>
    </w:p>
    <w:p>
      <w:pPr>
        <w:pStyle w:val="Heading1"/>
        <w:pBdr>
          <w:bottom w:val="single" w:color="C8960C" w:sz="8"/>
        </w:pBdr>
        <w:shd w:fill="1B3A6B" w:val="clear"/>
        <w:spacing w:after="120" w:before="360"/>
        <w:ind w:left="180" w:right="180"/>
      </w:pPr>
      <w:r>
        <w:rPr>
          <w:rFonts w:ascii="Arial" w:cs="Arial" w:eastAsia="Arial" w:hAnsi="Arial"/>
          <w:b/>
          <w:bCs/>
          <w:color w:val="FFFFFF"/>
          <w:sz w:val="32"/>
          <w:szCs w:val="32"/>
        </w:rPr>
        <w:t xml:space="preserve">Chapter 1: Audit Fundamentals — What You Are Actually Doing</w:t>
      </w:r>
    </w:p>
    <w:p>
      <w:pPr>
        <w:pStyle w:val="Heading2"/>
        <w:shd w:fill="2E6DA4" w:val="clear"/>
        <w:spacing w:after="80" w:before="240"/>
        <w:ind w:left="120"/>
      </w:pPr>
      <w:r>
        <w:rPr>
          <w:rFonts w:ascii="Arial" w:cs="Arial" w:eastAsia="Arial" w:hAnsi="Arial"/>
          <w:b/>
          <w:bCs/>
          <w:color w:val="FFFFFF"/>
          <w:sz w:val="26"/>
          <w:szCs w:val="26"/>
        </w:rPr>
        <w:t xml:space="preserve">The Purpose of an Audit</w:t>
      </w:r>
    </w:p>
    <w:p>
      <w:pPr>
        <w:spacing w:after="60" w:before="60"/>
      </w:pPr>
      <w:r>
        <w:rPr>
          <w:rFonts w:ascii="Arial" w:cs="Arial" w:eastAsia="Arial" w:hAnsi="Arial"/>
          <w:color w:val="333333"/>
          <w:sz w:val="22"/>
          <w:szCs w:val="22"/>
        </w:rPr>
        <w:t xml:space="preserve">Before we get into process, let us be clear about what an audit is and what it is not. An audit is an independent, systematic examination of evidence to determine whether a subject — a process, a system, a program, an organization — conforms to defined criteria. That is it. You are not trying to catch people doing something wrong. You are gathering evidence and comparing it to a standard.</w:t>
      </w:r>
    </w:p>
    <w:p>
      <w:pPr>
        <w:spacing w:after="60" w:before="60"/>
      </w:pPr>
      <w:r>
        <w:rPr>
          <w:rFonts w:ascii="Arial" w:cs="Arial" w:eastAsia="Arial" w:hAnsi="Arial"/>
          <w:color w:val="333333"/>
          <w:sz w:val="22"/>
          <w:szCs w:val="22"/>
        </w:rPr>
        <w:t xml:space="preserve">This distinction matters because junior auditors often walk into fieldwork with a 'gotcha' mindset or, on the opposite end, a 'help me pass' mindset where they coach the auditee. Both are wrong. Your job is to be objective, thorough, and evidence-driven. The chips fall where they fall.</w:t>
      </w:r>
    </w:p>
    <w:tbl>
      <w:tblPr>
        <w:tblW w:type="dxa" w:w="9360"/>
        <w:tblBorders>
          <w:top w:val="single" w:color="C8960C" w:sz="8"/>
          <w:left w:val="single" w:color="C8960C" w:sz="8"/>
          <w:bottom w:val="single" w:color="C8960C" w:sz="8"/>
          <w:right w:val="single" w:color="C8960C" w:sz="8"/>
          <w:insideH w:val="single" w:color="auto" w:sz="4"/>
          <w:insideV w:val="single" w:color="auto" w:sz="4"/>
        </w:tblBorders>
      </w:tblPr>
      <w:tblGrid>
        <w:gridCol w:w="200"/>
        <w:gridCol w:w="9160"/>
      </w:tblGrid>
      <w:tr>
        <w:tc>
          <w:tcPr>
            <w:tcW w:type="dxa" w:w="200"/>
            <w:tcBorders>
              <w:top w:val="nil"/>
              <w:left w:val="nil"/>
              <w:bottom w:val="nil"/>
              <w:right w:val="nil"/>
            </w:tcBorders>
            <w:shd w:fill="C8960C"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D6E4F0" w:val="clear"/>
            <w:tcMar>
              <w:top w:type="dxa" w:w="80"/>
              <w:left w:type="dxa" w:w="160"/>
              <w:bottom w:type="dxa" w:w="80"/>
              <w:right w:type="dxa" w:w="120"/>
            </w:tcMar>
          </w:tcPr>
          <w:p>
            <w:pPr>
              <w:spacing w:after="0" w:before="0"/>
            </w:pPr>
            <w:r>
              <w:rPr>
                <w:rFonts w:ascii="Arial" w:cs="Arial" w:eastAsia="Arial" w:hAnsi="Arial"/>
                <w:b/>
                <w:bCs/>
                <w:color w:val="1B3A6B"/>
                <w:sz w:val="22"/>
                <w:szCs w:val="22"/>
              </w:rPr>
              <w:t xml:space="preserve">The Auditor's Mindset: </w:t>
            </w:r>
            <w:r>
              <w:rPr>
                <w:rFonts w:ascii="Arial" w:cs="Arial" w:eastAsia="Arial" w:hAnsi="Arial"/>
                <w:color w:val="333333"/>
                <w:sz w:val="22"/>
                <w:szCs w:val="22"/>
              </w:rPr>
              <w:t xml:space="preserve">You are a fact-finder, not a judge and not a consultant. You can observe, question, and document. You cannot redesign processes, coach on answers, or pre-judge outcomes. Independence and objectivity are not soft values — they are the entire foundation of your credibility.</w:t>
            </w:r>
          </w:p>
        </w:tc>
      </w:tr>
    </w:tbl>
    <w:p>
      <w:pPr>
        <w:pStyle w:val="Heading2"/>
        <w:shd w:fill="2E6DA4" w:val="clear"/>
        <w:spacing w:after="80" w:before="240"/>
        <w:ind w:left="120"/>
      </w:pPr>
      <w:r>
        <w:rPr>
          <w:rFonts w:ascii="Arial" w:cs="Arial" w:eastAsia="Arial" w:hAnsi="Arial"/>
          <w:b/>
          <w:bCs/>
          <w:color w:val="FFFFFF"/>
          <w:sz w:val="26"/>
          <w:szCs w:val="26"/>
        </w:rPr>
        <w:t xml:space="preserve">Types of Audits You Will Encounter</w:t>
      </w:r>
    </w:p>
    <w:p>
      <w:pPr>
        <w:spacing w:after="60" w:before="60"/>
      </w:pPr>
      <w:r>
        <w:rPr>
          <w:rFonts w:ascii="Arial" w:cs="Arial" w:eastAsia="Arial" w:hAnsi="Arial"/>
          <w:color w:val="333333"/>
          <w:sz w:val="22"/>
          <w:szCs w:val="22"/>
        </w:rPr>
        <w:t xml:space="preserve">The frameworks in Part One are audited in different ways. Understanding which type of audit you are conducting changes how you prepare, what evidence you gather, and how you report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rPr>
          <w:tblHeader/>
        </w:trP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Audit Type</w:t>
            </w:r>
          </w:p>
        </w:tc>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Who Conducts It</w:t>
            </w:r>
          </w:p>
        </w:tc>
        <w:tc>
          <w:tcPr>
            <w:tcW w:type="dxa" w:w="25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Frameworks Covered</w:t>
            </w:r>
          </w:p>
        </w:tc>
        <w:tc>
          <w:tcPr>
            <w:tcW w:type="dxa" w:w="25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Characteristic</w:t>
            </w:r>
          </w:p>
        </w:tc>
      </w:tr>
      <w:tr>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First-Party (Internal Audit)</w:t>
            </w:r>
          </w:p>
        </w:tc>
        <w:tc>
          <w:tcPr>
            <w:tcW w:type="dxa" w:w="22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Your own organization's audit function or a self-assessment team.</w:t>
            </w:r>
          </w:p>
        </w:tc>
        <w:tc>
          <w:tcPr>
            <w:tcW w:type="dxa" w:w="25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All five frameworks</w:t>
            </w:r>
          </w:p>
        </w:tc>
        <w:tc>
          <w:tcPr>
            <w:tcW w:type="dxa" w:w="25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You audit yourself. Independence is limited but it is required by ISO 27001 and ISO 42001. Internal auditors must not audit their own work.</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Second-Party (Supplier Audit)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Your organization auditing a vendor, supplier, or business partner.</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ISO 27001, GDPR (processor audits), EU AI Act (supply chain)</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You audit on behalf of your organization to verify a third party meets your contractual and regulatory requirements.</w:t>
            </w:r>
          </w:p>
        </w:tc>
      </w:tr>
      <w:tr>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Third-Party (Certification Audit)</w:t>
            </w:r>
          </w:p>
        </w:tc>
        <w:tc>
          <w:tcPr>
            <w:tcW w:type="dxa" w:w="22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An accredited Certification Body (e.g., BSI, Bureau Veritas, SGS, LRQA).</w:t>
            </w:r>
          </w:p>
        </w:tc>
        <w:tc>
          <w:tcPr>
            <w:tcW w:type="dxa" w:w="25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ISO 27001, ISO 42001</w:t>
            </w:r>
          </w:p>
        </w:tc>
        <w:tc>
          <w:tcPr>
            <w:tcW w:type="dxa" w:w="25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The most rigorous. Results in certification or certification denial. Conducted by auditors credentialed by national accreditation bodies.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Regulatory Examination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 government authority (DPA, national market surveillance authority, etc.).</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EU AI Act, GDPR</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Investigative in nature. Not voluntary. Non-cooperation is itself a violation. Regulatory examiners have legal powers internal auditors do not.</w:t>
            </w:r>
          </w:p>
        </w:tc>
      </w:tr>
    </w:tbl>
    <w:p>
      <w:pPr>
        <w:spacing w:after="0" w:before="240"/>
      </w:pPr>
      <w:r>
        <w:rPr>
          <w:rFonts w:ascii="Arial" w:cs="Arial" w:eastAsia="Arial" w:hAnsi="Arial"/>
          <w:color w:val="333333"/>
          <w:sz w:val="22"/>
          <w:szCs w:val="22"/>
        </w:rPr>
        <w:t xml:space="preserve"/>
      </w:r>
    </w:p>
    <w:p>
      <w:pPr>
        <w:spacing w:after="60" w:before="60"/>
      </w:pPr>
      <w:r>
        <w:rPr>
          <w:rFonts w:ascii="Arial" w:cs="Arial" w:eastAsia="Arial" w:hAnsi="Arial"/>
          <w:b/>
          <w:bCs/>
          <w:color w:val="1B3A6B"/>
          <w:sz w:val="22"/>
          <w:szCs w:val="22"/>
        </w:rPr>
        <w:t xml:space="preserve">Key Term — Audit Universe: </w:t>
      </w:r>
      <w:r>
        <w:rPr>
          <w:rFonts w:ascii="Arial" w:cs="Arial" w:eastAsia="Arial" w:hAnsi="Arial"/>
          <w:color w:val="333333"/>
          <w:sz w:val="22"/>
          <w:szCs w:val="22"/>
        </w:rPr>
        <w:t xml:space="preserve">The audit universe is the complete catalog of all auditable entities within your organization — every process, system, department, vendor relationship, or compliance obligation that could be subject to an audit. In a mature GRC function, the audit universe is maintained as a living document and used to build the annual audit plan. Individual engagements are scoped from the audit universe based on risk priority, regulatory deadlines, and management requests. Understanding the audit universe prevents two common junior analyst errors: auditing the same thing twice, and missing high-risk areas that have never been audited.</w:t>
      </w:r>
    </w:p>
    <w:p>
      <w:pPr>
        <w:pStyle w:val="Heading2"/>
        <w:shd w:fill="2E6DA4" w:val="clear"/>
        <w:spacing w:after="80" w:before="240"/>
        <w:ind w:left="120"/>
      </w:pPr>
      <w:r>
        <w:rPr>
          <w:rFonts w:ascii="Arial" w:cs="Arial" w:eastAsia="Arial" w:hAnsi="Arial"/>
          <w:b/>
          <w:bCs/>
          <w:color w:val="FFFFFF"/>
          <w:sz w:val="26"/>
          <w:szCs w:val="26"/>
        </w:rPr>
        <w:t xml:space="preserve">Framework Audit Contexts — Critical Distinction</w:t>
      </w:r>
    </w:p>
    <w:p>
      <w:pPr>
        <w:spacing w:after="60" w:before="60"/>
      </w:pPr>
      <w:r>
        <w:rPr>
          <w:rFonts w:ascii="Arial" w:cs="Arial" w:eastAsia="Arial" w:hAnsi="Arial"/>
          <w:color w:val="333333"/>
          <w:sz w:val="22"/>
          <w:szCs w:val="22"/>
        </w:rPr>
        <w:t xml:space="preserve">New GRC analysts often miss this and it causes real problems. The five frameworks in Part One are not all audited the same way:</w:t>
      </w:r>
    </w:p>
    <w:p>
      <w:pPr>
        <w:pStyle w:val="ListParagraph"/>
        <w:numPr>
          <w:ilvl w:val="0"/>
          <w:numId w:val="2"/>
        </w:numPr>
        <w:spacing w:after="40" w:before="40"/>
      </w:pPr>
      <w:r>
        <w:rPr>
          <w:rFonts w:ascii="Arial" w:cs="Arial" w:eastAsia="Arial" w:hAnsi="Arial"/>
          <w:color w:val="333333"/>
          <w:sz w:val="22"/>
          <w:szCs w:val="22"/>
        </w:rPr>
        <w:t xml:space="preserve">ISO 27001 and ISO 42001 are certifiable management system standards. They have formal, staged external audits conducted by accredited Certification Bodies. Failing a stage 2 audit means no certificate. Failing a surveillance audit can result in suspension. The audit criteria are the standard clauses and Annex A controls.</w:t>
      </w:r>
    </w:p>
    <w:p>
      <w:pPr>
        <w:pStyle w:val="ListParagraph"/>
        <w:numPr>
          <w:ilvl w:val="0"/>
          <w:numId w:val="2"/>
        </w:numPr>
        <w:spacing w:after="40" w:before="40"/>
      </w:pPr>
      <w:r>
        <w:rPr>
          <w:rFonts w:ascii="Arial" w:cs="Arial" w:eastAsia="Arial" w:hAnsi="Arial"/>
          <w:color w:val="333333"/>
          <w:sz w:val="22"/>
          <w:szCs w:val="22"/>
        </w:rPr>
        <w:t xml:space="preserve">NIST AI RMF is a voluntary framework. There is no NIST certification body. No one from NIST shows up to certify your organization. However, federal agencies (including the VA) reference it in policy, contracts, and assessments — so it functions as a de facto requirement in the federal space even without a certification mechanism.</w:t>
      </w:r>
    </w:p>
    <w:p>
      <w:pPr>
        <w:pStyle w:val="ListParagraph"/>
        <w:numPr>
          <w:ilvl w:val="0"/>
          <w:numId w:val="2"/>
        </w:numPr>
        <w:spacing w:after="40" w:before="40"/>
      </w:pPr>
      <w:r>
        <w:rPr>
          <w:rFonts w:ascii="Arial" w:cs="Arial" w:eastAsia="Arial" w:hAnsi="Arial"/>
          <w:color w:val="333333"/>
          <w:sz w:val="22"/>
          <w:szCs w:val="22"/>
        </w:rPr>
        <w:t xml:space="preserve">EU AI Act is law. It is not audited in the traditional sense — it is enforced by national market surveillance authorities and the European AI Office. Non-compliance is a regulatory violation, not a 'finding.' The stakes are fundamentally different.</w:t>
      </w:r>
    </w:p>
    <w:p>
      <w:pPr>
        <w:pStyle w:val="ListParagraph"/>
        <w:numPr>
          <w:ilvl w:val="0"/>
          <w:numId w:val="2"/>
        </w:numPr>
        <w:spacing w:after="40" w:before="40"/>
      </w:pPr>
      <w:r>
        <w:rPr>
          <w:rFonts w:ascii="Arial" w:cs="Arial" w:eastAsia="Arial" w:hAnsi="Arial"/>
          <w:color w:val="333333"/>
          <w:sz w:val="22"/>
          <w:szCs w:val="22"/>
        </w:rPr>
        <w:t xml:space="preserve">GDPR is also law. Enforcement comes from Data Protection Authorities (DPAs). The ICO in the UK, the CNIL in France, the Irish DPC — these are regulatory bodies with investigation and fine-issuing powers, not audit firms.</w:t>
      </w:r>
    </w:p>
    <w:tbl>
      <w:tblPr>
        <w:tblW w:type="dxa" w:w="9360"/>
        <w:tblBorders>
          <w:top w:val="single" w:color="8B1A1A" w:sz="8"/>
          <w:left w:val="single" w:color="8B1A1A" w:sz="8"/>
          <w:bottom w:val="single" w:color="8B1A1A" w:sz="8"/>
          <w:right w:val="single" w:color="8B1A1A" w:sz="8"/>
          <w:insideH w:val="single" w:color="auto" w:sz="4"/>
          <w:insideV w:val="single" w:color="auto" w:sz="4"/>
        </w:tblBorders>
      </w:tblPr>
      <w:tblGrid>
        <w:gridCol w:w="200"/>
        <w:gridCol w:w="9160"/>
      </w:tblGrid>
      <w:tr>
        <w:tc>
          <w:tcPr>
            <w:tcW w:type="dxa" w:w="200"/>
            <w:tcBorders>
              <w:top w:val="nil"/>
              <w:left w:val="nil"/>
              <w:bottom w:val="nil"/>
              <w:right w:val="nil"/>
            </w:tcBorders>
            <w:shd w:fill="8B1A1A"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FDF2F2" w:val="clear"/>
            <w:tcMar>
              <w:top w:type="dxa" w:w="80"/>
              <w:left w:type="dxa" w:w="160"/>
              <w:bottom w:type="dxa" w:w="80"/>
              <w:right w:type="dxa" w:w="120"/>
            </w:tcMar>
          </w:tcPr>
          <w:p>
            <w:pPr>
              <w:spacing w:after="0" w:before="0"/>
            </w:pPr>
            <w:r>
              <w:rPr>
                <w:rFonts w:ascii="Arial" w:cs="Arial" w:eastAsia="Arial" w:hAnsi="Arial"/>
                <w:b/>
                <w:bCs/>
                <w:color w:val="8B1A1A"/>
                <w:sz w:val="22"/>
                <w:szCs w:val="22"/>
              </w:rPr>
              <w:t xml:space="preserve">Common Junior Analyst Error: </w:t>
            </w:r>
            <w:r>
              <w:rPr>
                <w:rFonts w:ascii="Arial" w:cs="Arial" w:eastAsia="Arial" w:hAnsi="Arial"/>
                <w:color w:val="333333"/>
                <w:sz w:val="22"/>
                <w:szCs w:val="22"/>
              </w:rPr>
              <w:t xml:space="preserve">Do not tell your auditee that their NIST AI RMF gaps will 'result in a finding' the same way an ISO 27001 gap does. They are different audit contexts with different consequences. Conflating them damages your credibility immediately.</w:t>
            </w:r>
          </w:p>
        </w:tc>
      </w:tr>
    </w:tbl>
    <w:p>
      <w:pPr>
        <w:pBdr>
          <w:bottom w:val="single" w:color="D6E4F0" w:sz="6"/>
        </w:pBdr>
        <w:spacing w:after="120" w:before="120"/>
      </w:pPr>
      <w:r>
        <w:rPr>
          <w:rFonts w:ascii="Arial" w:cs="Arial" w:eastAsia="Arial" w:hAnsi="Arial"/>
          <w:color w:val="333333"/>
          <w:sz w:val="22"/>
          <w:szCs w:val="22"/>
        </w:rPr>
        <w:t xml:space="preserve"/>
      </w:r>
    </w:p>
    <w:p>
      <w:r>
        <w:br/>
      </w:r>
    </w:p>
    <w:p>
      <w:pPr>
        <w:pStyle w:val="Heading1"/>
        <w:pBdr>
          <w:bottom w:val="single" w:color="C8960C" w:sz="8"/>
        </w:pBdr>
        <w:shd w:fill="1B3A6B" w:val="clear"/>
        <w:spacing w:after="120" w:before="360"/>
        <w:ind w:left="180" w:right="180"/>
      </w:pPr>
      <w:r>
        <w:rPr>
          <w:rFonts w:ascii="Arial" w:cs="Arial" w:eastAsia="Arial" w:hAnsi="Arial"/>
          <w:b/>
          <w:bCs/>
          <w:color w:val="FFFFFF"/>
          <w:sz w:val="32"/>
          <w:szCs w:val="32"/>
        </w:rPr>
        <w:t xml:space="preserve">Chapter 2: The Audit Lifecycle — Six Phases From Start to Report</w:t>
      </w:r>
    </w:p>
    <w:p>
      <w:pPr>
        <w:spacing w:after="60" w:before="60"/>
      </w:pPr>
      <w:r>
        <w:rPr>
          <w:rFonts w:ascii="Arial" w:cs="Arial" w:eastAsia="Arial" w:hAnsi="Arial"/>
          <w:color w:val="333333"/>
          <w:sz w:val="22"/>
          <w:szCs w:val="22"/>
        </w:rPr>
        <w:t xml:space="preserve">Every audit — regardless of framework — follows the same fundamental lifecycle. The frameworks change what you are testing. The lifecycle never changes. Learn this cold and you can audit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000"/>
        <w:gridCol w:w="2560"/>
        <w:gridCol w:w="1800"/>
      </w:tblGrid>
      <w:tr>
        <w:trPr>
          <w:tblHeader/>
        </w:trPr>
        <w:tc>
          <w:tcPr>
            <w:tcW w:type="dxa" w:w="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1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Happens</w:t>
            </w:r>
          </w:p>
        </w:tc>
        <w:tc>
          <w:tcPr>
            <w:tcW w:type="dxa" w:w="2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Outputs</w:t>
            </w:r>
          </w:p>
        </w:tc>
        <w:tc>
          <w:tcPr>
            <w:tcW w:type="dxa" w:w="1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Common Pitfalls</w:t>
            </w:r>
          </w:p>
        </w:tc>
      </w:tr>
      <w:tr>
        <w:tc>
          <w:tcPr>
            <w:tcW w:type="dxa" w:w="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1</w:t>
            </w:r>
          </w:p>
        </w:tc>
        <w:tc>
          <w:tcPr>
            <w:tcW w:type="dxa" w:w="16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Planning</w:t>
            </w:r>
          </w:p>
        </w:tc>
        <w:tc>
          <w:tcPr>
            <w:tcW w:type="dxa" w:w="3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Define scope, objectives, criteria. Assign audit team. Set schedule.</w:t>
            </w:r>
          </w:p>
        </w:tc>
        <w:tc>
          <w:tcPr>
            <w:tcW w:type="dxa" w:w="25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Audit Plan, Notification Letter</w:t>
            </w:r>
          </w:p>
        </w:tc>
        <w:tc>
          <w:tcPr>
            <w:tcW w:type="dxa" w:w="1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Scope too broad; no clear criteria defined</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Preparation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Review prior audit results. Build evidence request list. Develop audit program (test steps).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Evidence Request List, Audit Program / Test Plan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Skipping prior audit results; weak test steps</w:t>
            </w:r>
          </w:p>
        </w:tc>
      </w:tr>
      <w:tr>
        <w:tc>
          <w:tcPr>
            <w:tcW w:type="dxa" w:w="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3</w:t>
            </w:r>
          </w:p>
        </w:tc>
        <w:tc>
          <w:tcPr>
            <w:tcW w:type="dxa" w:w="16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Opening Meeting</w:t>
            </w:r>
          </w:p>
        </w:tc>
        <w:tc>
          <w:tcPr>
            <w:tcW w:type="dxa" w:w="3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Introduce audit team. Confirm scope and schedule. Set expectations. Identify auditee point of contact.</w:t>
            </w:r>
          </w:p>
        </w:tc>
        <w:tc>
          <w:tcPr>
            <w:tcW w:type="dxa" w:w="25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Opening Meeting Minutes</w:t>
            </w:r>
          </w:p>
        </w:tc>
        <w:tc>
          <w:tcPr>
            <w:tcW w:type="dxa" w:w="1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Skipping this; sets the wrong tone for fieldwork</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4</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Fieldwork</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Execute test steps. Gather and review evidence. Conduct interviews. Document observations.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Working Papers, Evidence Binders, Interview Notes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Accepting verbal assurances without documentary corroboration</w:t>
            </w:r>
          </w:p>
        </w:tc>
      </w:tr>
      <w:tr>
        <w:tc>
          <w:tcPr>
            <w:tcW w:type="dxa" w:w="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5</w:t>
            </w:r>
          </w:p>
        </w:tc>
        <w:tc>
          <w:tcPr>
            <w:tcW w:type="dxa" w:w="16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Closing Meeting</w:t>
            </w:r>
          </w:p>
        </w:tc>
        <w:tc>
          <w:tcPr>
            <w:tcW w:type="dxa" w:w="3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Present preliminary findings. Allow auditee to respond. Confirm facts before reporting.</w:t>
            </w:r>
          </w:p>
        </w:tc>
        <w:tc>
          <w:tcPr>
            <w:tcW w:type="dxa" w:w="25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Closing Meeting Minutes, Draft Findings</w:t>
            </w:r>
          </w:p>
        </w:tc>
        <w:tc>
          <w:tcPr>
            <w:tcW w:type="dxa" w:w="1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Springing surprise findings; skipping fact confirmation</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Reporting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Write and issue the audit report. Track corrective actions to closure.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Audit Report, CAR Tracker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Vague findings; no root cause; no follow-up process</w:t>
            </w:r>
          </w:p>
        </w:tc>
      </w:tr>
    </w:tbl>
    <w:p>
      <w:pPr>
        <w:spacing w:after="0" w:before="240"/>
      </w:pPr>
      <w:r>
        <w:rPr>
          <w:rFonts w:ascii="Arial" w:cs="Arial" w:eastAsia="Arial" w:hAnsi="Arial"/>
          <w:color w:val="333333"/>
          <w:sz w:val="22"/>
          <w:szCs w:val="22"/>
        </w:rPr>
        <w:t xml:space="preserve"/>
      </w:r>
    </w:p>
    <w:p>
      <w:pPr>
        <w:pStyle w:val="Heading2"/>
        <w:shd w:fill="2E6DA4" w:val="clear"/>
        <w:spacing w:after="80" w:before="240"/>
        <w:ind w:left="120"/>
      </w:pPr>
      <w:r>
        <w:rPr>
          <w:rFonts w:ascii="Arial" w:cs="Arial" w:eastAsia="Arial" w:hAnsi="Arial"/>
          <w:b/>
          <w:bCs/>
          <w:color w:val="FFFFFF"/>
          <w:sz w:val="26"/>
          <w:szCs w:val="26"/>
        </w:rPr>
        <w:t xml:space="preserve">Phase 1: Planning — Define Before You Dive</w:t>
      </w:r>
    </w:p>
    <w:p>
      <w:pPr>
        <w:spacing w:after="60" w:before="60"/>
      </w:pPr>
      <w:r>
        <w:rPr>
          <w:rFonts w:ascii="Arial" w:cs="Arial" w:eastAsia="Arial" w:hAnsi="Arial"/>
          <w:color w:val="333333"/>
          <w:sz w:val="22"/>
          <w:szCs w:val="22"/>
        </w:rPr>
        <w:t xml:space="preserve">Planning is where most junior analysts take shortcuts that hurt them for the rest of the audit. Do not skip this phase or rush through it. A poorly planned audit wastes everyone's time and produces findings that cannot be defended.</w:t>
      </w:r>
    </w:p>
    <w:p>
      <w:pPr>
        <w:pStyle w:val="Heading3"/>
        <w:pBdr>
          <w:bottom w:val="single" w:color="D6E4F0" w:sz="6"/>
        </w:pBdr>
        <w:spacing w:after="60" w:before="180"/>
      </w:pPr>
      <w:r>
        <w:rPr>
          <w:rFonts w:ascii="Arial" w:cs="Arial" w:eastAsia="Arial" w:hAnsi="Arial"/>
          <w:b/>
          <w:bCs/>
          <w:color w:val="1B3A6B"/>
          <w:sz w:val="24"/>
          <w:szCs w:val="24"/>
        </w:rPr>
        <w:t xml:space="preserve">Defining Scope</w:t>
      </w:r>
    </w:p>
    <w:p>
      <w:pPr>
        <w:spacing w:after="60" w:before="60"/>
      </w:pPr>
      <w:r>
        <w:rPr>
          <w:rFonts w:ascii="Arial" w:cs="Arial" w:eastAsia="Arial" w:hAnsi="Arial"/>
          <w:color w:val="333333"/>
          <w:sz w:val="22"/>
          <w:szCs w:val="22"/>
        </w:rPr>
        <w:t xml:space="preserve">Scope answers four questions: What systems or processes are being audited? Against what criteria (which framework, which clauses, which controls)? For what time period? And what is explicitly out of scope?</w:t>
      </w:r>
    </w:p>
    <w:p>
      <w:pPr>
        <w:pStyle w:val="ListParagraph"/>
        <w:numPr>
          <w:ilvl w:val="0"/>
          <w:numId w:val="2"/>
        </w:numPr>
        <w:spacing w:after="40" w:before="40"/>
      </w:pPr>
      <w:r>
        <w:rPr>
          <w:rFonts w:ascii="Arial" w:cs="Arial" w:eastAsia="Arial" w:hAnsi="Arial"/>
          <w:color w:val="333333"/>
          <w:sz w:val="22"/>
          <w:szCs w:val="22"/>
        </w:rPr>
        <w:t xml:space="preserve">Write the scope down in one clear paragraph. If you cannot summarize it in a paragraph, your scope is too complex or not yet defined.</w:t>
      </w:r>
    </w:p>
    <w:p>
      <w:pPr>
        <w:pStyle w:val="ListParagraph"/>
        <w:numPr>
          <w:ilvl w:val="0"/>
          <w:numId w:val="2"/>
        </w:numPr>
        <w:spacing w:after="40" w:before="40"/>
      </w:pPr>
      <w:r>
        <w:rPr>
          <w:rFonts w:ascii="Arial" w:cs="Arial" w:eastAsia="Arial" w:hAnsi="Arial"/>
          <w:color w:val="333333"/>
          <w:sz w:val="22"/>
          <w:szCs w:val="22"/>
        </w:rPr>
        <w:t xml:space="preserve">For ISO 27001: scope is the ISMS boundary as defined in the organization's own Scope Statement. You are auditing what they said is in scope — not everything they own.</w:t>
      </w:r>
    </w:p>
    <w:p>
      <w:pPr>
        <w:pStyle w:val="ListParagraph"/>
        <w:numPr>
          <w:ilvl w:val="0"/>
          <w:numId w:val="2"/>
        </w:numPr>
        <w:spacing w:after="40" w:before="40"/>
      </w:pPr>
      <w:r>
        <w:rPr>
          <w:rFonts w:ascii="Arial" w:cs="Arial" w:eastAsia="Arial" w:hAnsi="Arial"/>
          <w:color w:val="333333"/>
          <w:sz w:val="22"/>
          <w:szCs w:val="22"/>
        </w:rPr>
        <w:t xml:space="preserve">For ISO 42001: scope is the AIMS boundary. Start by reviewing the organization's documented scope statement before anything else.</w:t>
      </w:r>
    </w:p>
    <w:p>
      <w:pPr>
        <w:pStyle w:val="ListParagraph"/>
        <w:numPr>
          <w:ilvl w:val="0"/>
          <w:numId w:val="2"/>
        </w:numPr>
        <w:spacing w:after="40" w:before="40"/>
      </w:pPr>
      <w:r>
        <w:rPr>
          <w:rFonts w:ascii="Arial" w:cs="Arial" w:eastAsia="Arial" w:hAnsi="Arial"/>
          <w:color w:val="333333"/>
          <w:sz w:val="22"/>
          <w:szCs w:val="22"/>
        </w:rPr>
        <w:t xml:space="preserve">For NIST AI RMF: scope is typically defined by the engagement letter or statement of work since there is no certification scope. Define it contractually or by policy reference.</w:t>
      </w:r>
    </w:p>
    <w:p>
      <w:pPr>
        <w:pStyle w:val="ListParagraph"/>
        <w:numPr>
          <w:ilvl w:val="0"/>
          <w:numId w:val="2"/>
        </w:numPr>
        <w:spacing w:after="40" w:before="40"/>
      </w:pPr>
      <w:r>
        <w:rPr>
          <w:rFonts w:ascii="Arial" w:cs="Arial" w:eastAsia="Arial" w:hAnsi="Arial"/>
          <w:color w:val="333333"/>
          <w:sz w:val="22"/>
          <w:szCs w:val="22"/>
        </w:rPr>
        <w:t xml:space="preserve">For EU AI Act: scope is determined by the risk classification of the AI system(s) under review. High-risk systems carry the full compliance regime. Confirm classification before scoping.</w:t>
      </w:r>
    </w:p>
    <w:p>
      <w:pPr>
        <w:pStyle w:val="ListParagraph"/>
        <w:numPr>
          <w:ilvl w:val="0"/>
          <w:numId w:val="2"/>
        </w:numPr>
        <w:spacing w:after="40" w:before="40"/>
      </w:pPr>
      <w:r>
        <w:rPr>
          <w:rFonts w:ascii="Arial" w:cs="Arial" w:eastAsia="Arial" w:hAnsi="Arial"/>
          <w:color w:val="333333"/>
          <w:sz w:val="22"/>
          <w:szCs w:val="22"/>
        </w:rPr>
        <w:t xml:space="preserve">For GDPR: scope is the processing activities in the Record of Processing Activities (RoPA) that are under review. Define which processing activities or systems are in scope.</w:t>
      </w:r>
    </w:p>
    <w:p>
      <w:pPr>
        <w:pStyle w:val="Heading3"/>
        <w:pBdr>
          <w:bottom w:val="single" w:color="D6E4F0" w:sz="6"/>
        </w:pBdr>
        <w:spacing w:after="60" w:before="180"/>
      </w:pPr>
      <w:r>
        <w:rPr>
          <w:rFonts w:ascii="Arial" w:cs="Arial" w:eastAsia="Arial" w:hAnsi="Arial"/>
          <w:b/>
          <w:bCs/>
          <w:color w:val="1B3A6B"/>
          <w:sz w:val="24"/>
          <w:szCs w:val="24"/>
        </w:rPr>
        <w:t xml:space="preserve">Audit Criteria</w:t>
      </w:r>
    </w:p>
    <w:p>
      <w:pPr>
        <w:spacing w:after="60" w:before="60"/>
      </w:pPr>
      <w:r>
        <w:rPr>
          <w:rFonts w:ascii="Arial" w:cs="Arial" w:eastAsia="Arial" w:hAnsi="Arial"/>
          <w:color w:val="333333"/>
          <w:sz w:val="22"/>
          <w:szCs w:val="22"/>
        </w:rPr>
        <w:t xml:space="preserve">Audit criteria are the standards, policies, procedures, or requirements you are measuring against. Be explicit. 'ISO 27001:2022 Clause 6.1 and Annex A Controls A.5.19 through A.5.23' is audit criteria. 'ISO 27001' is not. Vague criteria produce vague findings that cannot be defended.</w:t>
      </w:r>
    </w:p>
    <w:p>
      <w:pPr>
        <w:pStyle w:val="Heading3"/>
        <w:pBdr>
          <w:bottom w:val="single" w:color="D6E4F0" w:sz="6"/>
        </w:pBdr>
        <w:spacing w:after="60" w:before="180"/>
      </w:pPr>
      <w:r>
        <w:rPr>
          <w:rFonts w:ascii="Arial" w:cs="Arial" w:eastAsia="Arial" w:hAnsi="Arial"/>
          <w:b/>
          <w:bCs/>
          <w:color w:val="1B3A6B"/>
          <w:sz w:val="24"/>
          <w:szCs w:val="24"/>
        </w:rPr>
        <w:t xml:space="preserve">The Audit Plan</w:t>
      </w:r>
    </w:p>
    <w:p>
      <w:pPr>
        <w:spacing w:after="60" w:before="60"/>
      </w:pPr>
      <w:r>
        <w:rPr>
          <w:rFonts w:ascii="Arial" w:cs="Arial" w:eastAsia="Arial" w:hAnsi="Arial"/>
          <w:color w:val="333333"/>
          <w:sz w:val="22"/>
          <w:szCs w:val="22"/>
        </w:rPr>
        <w:t xml:space="preserve">The Audit Plan is your governing document for the entire engagement. It must include:</w:t>
      </w:r>
    </w:p>
    <w:p>
      <w:pPr>
        <w:pStyle w:val="ListParagraph"/>
        <w:numPr>
          <w:ilvl w:val="0"/>
          <w:numId w:val="2"/>
        </w:numPr>
        <w:spacing w:after="40" w:before="40"/>
      </w:pPr>
      <w:r>
        <w:rPr>
          <w:rFonts w:ascii="Arial" w:cs="Arial" w:eastAsia="Arial" w:hAnsi="Arial"/>
          <w:color w:val="333333"/>
          <w:sz w:val="22"/>
          <w:szCs w:val="22"/>
        </w:rPr>
        <w:t xml:space="preserve">Audit objectives — why are we doing this? Certification? Regulatory preparation? Management assurance?</w:t>
      </w:r>
    </w:p>
    <w:p>
      <w:pPr>
        <w:pStyle w:val="ListParagraph"/>
        <w:numPr>
          <w:ilvl w:val="0"/>
          <w:numId w:val="2"/>
        </w:numPr>
        <w:spacing w:after="40" w:before="40"/>
      </w:pPr>
      <w:r>
        <w:rPr>
          <w:rFonts w:ascii="Arial" w:cs="Arial" w:eastAsia="Arial" w:hAnsi="Arial"/>
          <w:color w:val="333333"/>
          <w:sz w:val="22"/>
          <w:szCs w:val="22"/>
        </w:rPr>
        <w:t xml:space="preserve">Scope statement — what is in, what is out.</w:t>
      </w:r>
    </w:p>
    <w:p>
      <w:pPr>
        <w:pStyle w:val="ListParagraph"/>
        <w:numPr>
          <w:ilvl w:val="0"/>
          <w:numId w:val="2"/>
        </w:numPr>
        <w:spacing w:after="40" w:before="40"/>
      </w:pPr>
      <w:r>
        <w:rPr>
          <w:rFonts w:ascii="Arial" w:cs="Arial" w:eastAsia="Arial" w:hAnsi="Arial"/>
          <w:color w:val="333333"/>
          <w:sz w:val="22"/>
          <w:szCs w:val="22"/>
        </w:rPr>
        <w:t xml:space="preserve">Audit criteria — specific clauses, controls, or requirements.</w:t>
      </w:r>
    </w:p>
    <w:p>
      <w:pPr>
        <w:pStyle w:val="ListParagraph"/>
        <w:numPr>
          <w:ilvl w:val="0"/>
          <w:numId w:val="2"/>
        </w:numPr>
        <w:spacing w:after="40" w:before="40"/>
      </w:pPr>
      <w:r>
        <w:rPr>
          <w:rFonts w:ascii="Arial" w:cs="Arial" w:eastAsia="Arial" w:hAnsi="Arial"/>
          <w:color w:val="333333"/>
          <w:sz w:val="22"/>
          <w:szCs w:val="22"/>
        </w:rPr>
        <w:t xml:space="preserve">Audit team — names, roles, and any conflict-of-interest declarations.</w:t>
      </w:r>
    </w:p>
    <w:p>
      <w:pPr>
        <w:pStyle w:val="ListParagraph"/>
        <w:numPr>
          <w:ilvl w:val="0"/>
          <w:numId w:val="2"/>
        </w:numPr>
        <w:spacing w:after="40" w:before="40"/>
      </w:pPr>
      <w:r>
        <w:rPr>
          <w:rFonts w:ascii="Arial" w:cs="Arial" w:eastAsia="Arial" w:hAnsi="Arial"/>
          <w:color w:val="333333"/>
          <w:sz w:val="22"/>
          <w:szCs w:val="22"/>
        </w:rPr>
        <w:t xml:space="preserve">Schedule — dates for opening meeting, fieldwork days, closing meeting, and report issuance.</w:t>
      </w:r>
    </w:p>
    <w:p>
      <w:pPr>
        <w:pStyle w:val="ListParagraph"/>
        <w:numPr>
          <w:ilvl w:val="0"/>
          <w:numId w:val="2"/>
        </w:numPr>
        <w:spacing w:after="40" w:before="40"/>
      </w:pPr>
      <w:r>
        <w:rPr>
          <w:rFonts w:ascii="Arial" w:cs="Arial" w:eastAsia="Arial" w:hAnsi="Arial"/>
          <w:color w:val="333333"/>
          <w:sz w:val="22"/>
          <w:szCs w:val="22"/>
        </w:rPr>
        <w:t xml:space="preserve">Evidence request list — delivered to the auditee before fieldwork begins (see Phase 2).</w:t>
      </w:r>
    </w:p>
    <w:tbl>
      <w:tblPr>
        <w:tblW w:type="dxa" w:w="9360"/>
        <w:tblBorders>
          <w:top w:val="single" w:color="C8960C" w:sz="8"/>
          <w:left w:val="single" w:color="C8960C" w:sz="8"/>
          <w:bottom w:val="single" w:color="C8960C" w:sz="8"/>
          <w:right w:val="single" w:color="C8960C" w:sz="8"/>
          <w:insideH w:val="single" w:color="auto" w:sz="4"/>
          <w:insideV w:val="single" w:color="auto" w:sz="4"/>
        </w:tblBorders>
      </w:tblPr>
      <w:tblGrid>
        <w:gridCol w:w="200"/>
        <w:gridCol w:w="9160"/>
      </w:tblGrid>
      <w:tr>
        <w:tc>
          <w:tcPr>
            <w:tcW w:type="dxa" w:w="200"/>
            <w:tcBorders>
              <w:top w:val="nil"/>
              <w:left w:val="nil"/>
              <w:bottom w:val="nil"/>
              <w:right w:val="nil"/>
            </w:tcBorders>
            <w:shd w:fill="C8960C"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D6E4F0" w:val="clear"/>
            <w:tcMar>
              <w:top w:type="dxa" w:w="80"/>
              <w:left w:type="dxa" w:w="160"/>
              <w:bottom w:type="dxa" w:w="80"/>
              <w:right w:type="dxa" w:w="120"/>
            </w:tcMar>
          </w:tcPr>
          <w:p>
            <w:pPr>
              <w:spacing w:after="0" w:before="0"/>
            </w:pPr>
            <w:r>
              <w:rPr>
                <w:rFonts w:ascii="Arial" w:cs="Arial" w:eastAsia="Arial" w:hAnsi="Arial"/>
                <w:b/>
                <w:bCs/>
                <w:color w:val="1B3A6B"/>
                <w:sz w:val="22"/>
                <w:szCs w:val="22"/>
              </w:rPr>
              <w:t xml:space="preserve">Timing Rule: </w:t>
            </w:r>
            <w:r>
              <w:rPr>
                <w:rFonts w:ascii="Arial" w:cs="Arial" w:eastAsia="Arial" w:hAnsi="Arial"/>
                <w:color w:val="333333"/>
                <w:sz w:val="22"/>
                <w:szCs w:val="22"/>
              </w:rPr>
              <w:t xml:space="preserve">Issue your evidence request list at least 5 business days before fieldwork begins. Auditees who receive a 20-item evidence request the morning of your fieldwork visit will be flustered, you will get disorganized responses, and your fieldwork will take twice as long.</w:t>
            </w:r>
          </w:p>
        </w:tc>
      </w:tr>
    </w:tbl>
    <w:p>
      <w:pPr>
        <w:pStyle w:val="Heading2"/>
        <w:shd w:fill="2E6DA4" w:val="clear"/>
        <w:spacing w:after="80" w:before="240"/>
        <w:ind w:left="120"/>
      </w:pPr>
      <w:r>
        <w:rPr>
          <w:rFonts w:ascii="Arial" w:cs="Arial" w:eastAsia="Arial" w:hAnsi="Arial"/>
          <w:b/>
          <w:bCs/>
          <w:color w:val="FFFFFF"/>
          <w:sz w:val="26"/>
          <w:szCs w:val="26"/>
        </w:rPr>
        <w:t xml:space="preserve">Phase 2: Preparation — Build Your Test Plan</w:t>
      </w:r>
    </w:p>
    <w:p>
      <w:pPr>
        <w:spacing w:after="60" w:before="60"/>
      </w:pPr>
      <w:r>
        <w:rPr>
          <w:rFonts w:ascii="Arial" w:cs="Arial" w:eastAsia="Arial" w:hAnsi="Arial"/>
          <w:color w:val="333333"/>
          <w:sz w:val="22"/>
          <w:szCs w:val="22"/>
        </w:rPr>
        <w:t xml:space="preserve">Preparation is where you translate the audit criteria into specific test steps. A test step tells you exactly what evidence to look at and what you are testing for. Without test steps, fieldwork becomes an unstructured conversation. With test steps, it becomes a systematic examination.</w:t>
      </w:r>
    </w:p>
    <w:p>
      <w:pPr>
        <w:pStyle w:val="Heading3"/>
        <w:pBdr>
          <w:bottom w:val="single" w:color="D6E4F0" w:sz="6"/>
        </w:pBdr>
        <w:spacing w:after="60" w:before="180"/>
      </w:pPr>
      <w:r>
        <w:rPr>
          <w:rFonts w:ascii="Arial" w:cs="Arial" w:eastAsia="Arial" w:hAnsi="Arial"/>
          <w:b/>
          <w:bCs/>
          <w:color w:val="1B3A6B"/>
          <w:sz w:val="24"/>
          <w:szCs w:val="24"/>
        </w:rPr>
        <w:t xml:space="preserve">The Evidence Request List</w:t>
      </w:r>
    </w:p>
    <w:p>
      <w:pPr>
        <w:spacing w:after="60" w:before="60"/>
      </w:pPr>
      <w:r>
        <w:rPr>
          <w:rFonts w:ascii="Arial" w:cs="Arial" w:eastAsia="Arial" w:hAnsi="Arial"/>
          <w:color w:val="333333"/>
          <w:sz w:val="22"/>
          <w:szCs w:val="22"/>
        </w:rPr>
        <w:t xml:space="preserve">The Evidence Request List (ERL) is a document you send to the auditee before fieldwork. It asks them to gather and organize the evidence you will review. A well-structured ERL saves hours of fieldwork time.</w:t>
      </w:r>
    </w:p>
    <w:p>
      <w:pPr>
        <w:spacing w:after="60" w:before="60"/>
      </w:pPr>
      <w:r>
        <w:rPr>
          <w:rFonts w:ascii="Arial" w:cs="Arial" w:eastAsia="Arial" w:hAnsi="Arial"/>
          <w:color w:val="333333"/>
          <w:sz w:val="22"/>
          <w:szCs w:val="22"/>
        </w:rPr>
        <w:t xml:space="preserve">Format each item clearly: [Item #], [Description of what you need], [Reason / control it supports], [Format acceptable].</w:t>
      </w:r>
    </w:p>
    <w:p>
      <w:pPr>
        <w:spacing w:after="60" w:before="60"/>
      </w:pPr>
      <w:r>
        <w:rPr>
          <w:rFonts w:ascii="Arial" w:cs="Arial" w:eastAsia="Arial" w:hAnsi="Arial"/>
          <w:color w:val="333333"/>
          <w:sz w:val="22"/>
          <w:szCs w:val="22"/>
        </w:rPr>
        <w:t xml:space="preserve">Example ERL entry: Item 7 — Most recent Information Security Risk Assessment report, including methodology used, risk register, and risk treatment decisions. Supports: ISO 27001 Clause 6.1. Acceptable formats: PDF, Word, Excel.</w:t>
      </w:r>
    </w:p>
    <w:p>
      <w:pPr>
        <w:pStyle w:val="Heading3"/>
        <w:pBdr>
          <w:bottom w:val="single" w:color="D6E4F0" w:sz="6"/>
        </w:pBdr>
        <w:spacing w:after="60" w:before="180"/>
      </w:pPr>
      <w:r>
        <w:rPr>
          <w:rFonts w:ascii="Arial" w:cs="Arial" w:eastAsia="Arial" w:hAnsi="Arial"/>
          <w:b/>
          <w:bCs/>
          <w:color w:val="1B3A6B"/>
          <w:sz w:val="24"/>
          <w:szCs w:val="24"/>
        </w:rPr>
        <w:t xml:space="preserve">Building Test Steps</w:t>
      </w:r>
    </w:p>
    <w:p>
      <w:pPr>
        <w:spacing w:after="60" w:before="60"/>
      </w:pPr>
      <w:r>
        <w:rPr>
          <w:rFonts w:ascii="Arial" w:cs="Arial" w:eastAsia="Arial" w:hAnsi="Arial"/>
          <w:color w:val="333333"/>
          <w:sz w:val="22"/>
          <w:szCs w:val="22"/>
        </w:rPr>
        <w:t xml:space="preserve">A test step has three components: (1) the procedure — what you will do; (2) the evidence — what you will review; (3) the expected result — what it should look like if the control is operating effectively.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500"/>
        <w:gridCol w:w="2160"/>
        <w:gridCol w:w="1900"/>
      </w:tblGrid>
      <w:tr>
        <w:trPr>
          <w:tblHeader/>
        </w:trPr>
        <w:tc>
          <w:tcPr>
            <w:tcW w:type="dxa" w:w="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Step</w:t>
            </w:r>
          </w:p>
        </w:tc>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Control / Requirement</w:t>
            </w:r>
          </w:p>
        </w:tc>
        <w:tc>
          <w:tcPr>
            <w:tcW w:type="dxa" w:w="25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Procedure</w:t>
            </w:r>
          </w:p>
        </w:tc>
        <w:tc>
          <w:tcPr>
            <w:tcW w:type="dxa" w:w="2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Evidence to Review</w:t>
            </w:r>
          </w:p>
        </w:tc>
        <w:tc>
          <w:tcPr>
            <w:tcW w:type="dxa" w:w="19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Expected Result</w:t>
            </w:r>
          </w:p>
        </w:tc>
      </w:tr>
      <w:tr>
        <w:tc>
          <w:tcPr>
            <w:tcW w:type="dxa" w:w="6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1.1</w:t>
            </w:r>
          </w:p>
        </w:tc>
        <w:tc>
          <w:tcPr>
            <w:tcW w:type="dxa" w:w="22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ISO 27001 Clause 6.1 — Risk Assessment</w:t>
            </w:r>
          </w:p>
        </w:tc>
        <w:tc>
          <w:tcPr>
            <w:tcW w:type="dxa" w:w="25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Obtain and review the most recent Information Security Risk Assessment.</w:t>
            </w:r>
          </w:p>
        </w:tc>
        <w:tc>
          <w:tcPr>
            <w:tcW w:type="dxa" w:w="21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Risk Assessment Report, Risk Register</w:t>
            </w:r>
          </w:p>
        </w:tc>
        <w:tc>
          <w:tcPr>
            <w:tcW w:type="dxa" w:w="19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Risk Assessment conducted within the past 12 months using a documented methodology. All in-scope assets evaluated.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1.2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ISO 42001 Clause 8 — AI System Lifecycle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Select 3 AI systems from the inventory. For each, review lifecycle documentation showing stage-gate approvals.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AI System Inventory, Lifecycle Records, Approval Sign-offs</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Each selected system has documented approval at each lifecycle stage prior to deployment.</w:t>
            </w:r>
          </w:p>
        </w:tc>
      </w:tr>
      <w:tr>
        <w:tc>
          <w:tcPr>
            <w:tcW w:type="dxa" w:w="6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1.3</w:t>
            </w:r>
          </w:p>
        </w:tc>
        <w:tc>
          <w:tcPr>
            <w:tcW w:type="dxa" w:w="22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GDPR Article 35 — DPIA</w:t>
            </w:r>
          </w:p>
        </w:tc>
        <w:tc>
          <w:tcPr>
            <w:tcW w:type="dxa" w:w="25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Identify all processing activities flagged as high-risk in the RoPA. For each, request the corresponding DPIA.</w:t>
            </w:r>
          </w:p>
        </w:tc>
        <w:tc>
          <w:tcPr>
            <w:tcW w:type="dxa" w:w="21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RoPA, DPIA Records</w:t>
            </w:r>
          </w:p>
        </w:tc>
        <w:tc>
          <w:tcPr>
            <w:tcW w:type="dxa" w:w="19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DPIA exists for each high-risk processing activity. DPIA was completed before processing began.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1.4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EU AI Act Article 14 — Human Oversight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For each high-risk AI system in scope, review documented human oversight procedures and training records.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Human Oversight SOPs, Training Records, System Logs</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Oversight procedures exist, are current, and staff with AI oversight responsibilities have been trained.</w:t>
            </w:r>
          </w:p>
        </w:tc>
      </w:tr>
    </w:tbl>
    <w:p>
      <w:pPr>
        <w:spacing w:after="0" w:before="240"/>
      </w:pPr>
      <w:r>
        <w:rPr>
          <w:rFonts w:ascii="Arial" w:cs="Arial" w:eastAsia="Arial" w:hAnsi="Arial"/>
          <w:color w:val="333333"/>
          <w:sz w:val="22"/>
          <w:szCs w:val="22"/>
        </w:rPr>
        <w:t xml:space="preserve"/>
      </w:r>
    </w:p>
    <w:p>
      <w:pPr>
        <w:pStyle w:val="Heading2"/>
        <w:shd w:fill="2E6DA4" w:val="clear"/>
        <w:spacing w:after="80" w:before="240"/>
        <w:ind w:left="120"/>
      </w:pPr>
      <w:r>
        <w:rPr>
          <w:rFonts w:ascii="Arial" w:cs="Arial" w:eastAsia="Arial" w:hAnsi="Arial"/>
          <w:b/>
          <w:bCs/>
          <w:color w:val="FFFFFF"/>
          <w:sz w:val="26"/>
          <w:szCs w:val="26"/>
        </w:rPr>
        <w:t xml:space="preserve">Phase 3: Opening Meeting — Set the Tone</w:t>
      </w:r>
    </w:p>
    <w:p>
      <w:pPr>
        <w:spacing w:after="60" w:before="60"/>
      </w:pPr>
      <w:r>
        <w:rPr>
          <w:rFonts w:ascii="Arial" w:cs="Arial" w:eastAsia="Arial" w:hAnsi="Arial"/>
          <w:color w:val="333333"/>
          <w:sz w:val="22"/>
          <w:szCs w:val="22"/>
        </w:rPr>
        <w:t xml:space="preserve">The opening meeting is your first formal interaction with the auditee organization. It typically lasts 30 to 60 minutes and accomplishes five things:</w:t>
      </w:r>
    </w:p>
    <w:p>
      <w:pPr>
        <w:pStyle w:val="ListParagraph"/>
        <w:numPr>
          <w:ilvl w:val="0"/>
          <w:numId w:val="3"/>
        </w:numPr>
        <w:spacing w:after="40" w:before="40"/>
      </w:pPr>
      <w:r>
        <w:rPr>
          <w:rFonts w:ascii="Arial" w:cs="Arial" w:eastAsia="Arial" w:hAnsi="Arial"/>
          <w:color w:val="333333"/>
          <w:sz w:val="22"/>
          <w:szCs w:val="22"/>
        </w:rPr>
        <w:t xml:space="preserve">Introduce the audit team and their roles.</w:t>
      </w:r>
    </w:p>
    <w:p>
      <w:pPr>
        <w:pStyle w:val="ListParagraph"/>
        <w:numPr>
          <w:ilvl w:val="0"/>
          <w:numId w:val="3"/>
        </w:numPr>
        <w:spacing w:after="40" w:before="40"/>
      </w:pPr>
      <w:r>
        <w:rPr>
          <w:rFonts w:ascii="Arial" w:cs="Arial" w:eastAsia="Arial" w:hAnsi="Arial"/>
          <w:color w:val="333333"/>
          <w:sz w:val="22"/>
          <w:szCs w:val="22"/>
        </w:rPr>
        <w:t xml:space="preserve">Confirm the scope, objectives, and criteria — give the auditee a chance to flag any misunderstandings before fieldwork begins.</w:t>
      </w:r>
    </w:p>
    <w:p>
      <w:pPr>
        <w:pStyle w:val="ListParagraph"/>
        <w:numPr>
          <w:ilvl w:val="0"/>
          <w:numId w:val="3"/>
        </w:numPr>
        <w:spacing w:after="40" w:before="40"/>
      </w:pPr>
      <w:r>
        <w:rPr>
          <w:rFonts w:ascii="Arial" w:cs="Arial" w:eastAsia="Arial" w:hAnsi="Arial"/>
          <w:color w:val="333333"/>
          <w:sz w:val="22"/>
          <w:szCs w:val="22"/>
        </w:rPr>
        <w:t xml:space="preserve">Confirm the schedule — fieldwork days, evidence submission process, closing meeting date.</w:t>
      </w:r>
    </w:p>
    <w:p>
      <w:pPr>
        <w:pStyle w:val="ListParagraph"/>
        <w:numPr>
          <w:ilvl w:val="0"/>
          <w:numId w:val="3"/>
        </w:numPr>
        <w:spacing w:after="40" w:before="40"/>
      </w:pPr>
      <w:r>
        <w:rPr>
          <w:rFonts w:ascii="Arial" w:cs="Arial" w:eastAsia="Arial" w:hAnsi="Arial"/>
          <w:color w:val="333333"/>
          <w:sz w:val="22"/>
          <w:szCs w:val="22"/>
        </w:rPr>
        <w:t xml:space="preserve">Identify the auditee point of contact (POC) — one person who will coordinate evidence delivery and schedule interviews.</w:t>
      </w:r>
    </w:p>
    <w:p>
      <w:pPr>
        <w:pStyle w:val="ListParagraph"/>
        <w:numPr>
          <w:ilvl w:val="0"/>
          <w:numId w:val="3"/>
        </w:numPr>
        <w:spacing w:after="40" w:before="40"/>
      </w:pPr>
      <w:r>
        <w:rPr>
          <w:rFonts w:ascii="Arial" w:cs="Arial" w:eastAsia="Arial" w:hAnsi="Arial"/>
          <w:color w:val="333333"/>
          <w:sz w:val="22"/>
          <w:szCs w:val="22"/>
        </w:rPr>
        <w:t xml:space="preserve">Explain the finding classification system you will use — so there are no surprises when findings are communicated.</w:t>
      </w:r>
    </w:p>
    <w:tbl>
      <w:tblPr>
        <w:tblW w:type="dxa" w:w="9360"/>
        <w:tblBorders>
          <w:top w:val="single" w:color="8B1A1A" w:sz="8"/>
          <w:left w:val="single" w:color="8B1A1A" w:sz="8"/>
          <w:bottom w:val="single" w:color="8B1A1A" w:sz="8"/>
          <w:right w:val="single" w:color="8B1A1A" w:sz="8"/>
          <w:insideH w:val="single" w:color="auto" w:sz="4"/>
          <w:insideV w:val="single" w:color="auto" w:sz="4"/>
        </w:tblBorders>
      </w:tblPr>
      <w:tblGrid>
        <w:gridCol w:w="200"/>
        <w:gridCol w:w="9160"/>
      </w:tblGrid>
      <w:tr>
        <w:tc>
          <w:tcPr>
            <w:tcW w:type="dxa" w:w="200"/>
            <w:tcBorders>
              <w:top w:val="nil"/>
              <w:left w:val="nil"/>
              <w:bottom w:val="nil"/>
              <w:right w:val="nil"/>
            </w:tcBorders>
            <w:shd w:fill="8B1A1A"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FDF2F2" w:val="clear"/>
            <w:tcMar>
              <w:top w:type="dxa" w:w="80"/>
              <w:left w:type="dxa" w:w="160"/>
              <w:bottom w:type="dxa" w:w="80"/>
              <w:right w:type="dxa" w:w="120"/>
            </w:tcMar>
          </w:tcPr>
          <w:p>
            <w:pPr>
              <w:spacing w:after="0" w:before="0"/>
            </w:pPr>
            <w:r>
              <w:rPr>
                <w:rFonts w:ascii="Arial" w:cs="Arial" w:eastAsia="Arial" w:hAnsi="Arial"/>
                <w:b/>
                <w:bCs/>
                <w:color w:val="8B1A1A"/>
                <w:sz w:val="22"/>
                <w:szCs w:val="22"/>
              </w:rPr>
              <w:t xml:space="preserve">Do Not Skip the Opening Meeting: </w:t>
            </w:r>
            <w:r>
              <w:rPr>
                <w:rFonts w:ascii="Arial" w:cs="Arial" w:eastAsia="Arial" w:hAnsi="Arial"/>
                <w:color w:val="333333"/>
                <w:sz w:val="22"/>
                <w:szCs w:val="22"/>
              </w:rPr>
              <w:t xml:space="preserve">Junior auditors sometimes skip the opening meeting for internal audits because they 'already know everyone.' Do not do this. The opening meeting creates a formal record that the audit has begun, scope has been confirmed, and expectations have been communicated. It protects you if the auditee later claims they did not know what was being audited.</w:t>
            </w:r>
          </w:p>
        </w:tc>
      </w:tr>
    </w:tbl>
    <w:p>
      <w:pPr>
        <w:pStyle w:val="Heading2"/>
        <w:shd w:fill="2E6DA4" w:val="clear"/>
        <w:spacing w:after="80" w:before="240"/>
        <w:ind w:left="120"/>
      </w:pPr>
      <w:r>
        <w:rPr>
          <w:rFonts w:ascii="Arial" w:cs="Arial" w:eastAsia="Arial" w:hAnsi="Arial"/>
          <w:b/>
          <w:bCs/>
          <w:color w:val="FFFFFF"/>
          <w:sz w:val="26"/>
          <w:szCs w:val="26"/>
        </w:rPr>
        <w:t xml:space="preserve">Phase 4: Fieldwork — The Heart of the Audit</w:t>
      </w:r>
    </w:p>
    <w:p>
      <w:pPr>
        <w:spacing w:after="60" w:before="60"/>
      </w:pPr>
      <w:r>
        <w:rPr>
          <w:rFonts w:ascii="Arial" w:cs="Arial" w:eastAsia="Arial" w:hAnsi="Arial"/>
          <w:color w:val="333333"/>
          <w:sz w:val="22"/>
          <w:szCs w:val="22"/>
        </w:rPr>
        <w:t xml:space="preserve">Fieldwork is where you execute your test steps, review evidence, conduct interviews, and document your observations. Everything you do in fieldwork must be documented in working papers. If it is not in your working papers, it did not happen.</w:t>
      </w:r>
    </w:p>
    <w:p>
      <w:pPr>
        <w:pStyle w:val="Heading3"/>
        <w:pBdr>
          <w:bottom w:val="single" w:color="D6E4F0" w:sz="6"/>
        </w:pBdr>
        <w:spacing w:after="60" w:before="180"/>
      </w:pPr>
      <w:r>
        <w:rPr>
          <w:rFonts w:ascii="Arial" w:cs="Arial" w:eastAsia="Arial" w:hAnsi="Arial"/>
          <w:b/>
          <w:bCs/>
          <w:color w:val="1B3A6B"/>
          <w:sz w:val="24"/>
          <w:szCs w:val="24"/>
        </w:rPr>
        <w:t xml:space="preserve">The Three Types of Audit Evidence</w:t>
      </w:r>
    </w:p>
    <w:p>
      <w:pPr>
        <w:pStyle w:val="ListParagraph"/>
        <w:numPr>
          <w:ilvl w:val="0"/>
          <w:numId w:val="2"/>
        </w:numPr>
        <w:spacing w:after="40" w:before="40"/>
      </w:pPr>
      <w:r>
        <w:rPr>
          <w:rFonts w:ascii="Arial" w:cs="Arial" w:eastAsia="Arial" w:hAnsi="Arial"/>
          <w:color w:val="333333"/>
          <w:sz w:val="22"/>
          <w:szCs w:val="22"/>
        </w:rPr>
        <w:t xml:space="preserve">Documentary Evidence — written records, reports, policies, logs, screenshots, system outputs. This is your strongest evidence type and should always be your primary source.</w:t>
      </w:r>
    </w:p>
    <w:p>
      <w:pPr>
        <w:pStyle w:val="ListParagraph"/>
        <w:numPr>
          <w:ilvl w:val="0"/>
          <w:numId w:val="2"/>
        </w:numPr>
        <w:spacing w:after="40" w:before="40"/>
      </w:pPr>
      <w:r>
        <w:rPr>
          <w:rFonts w:ascii="Arial" w:cs="Arial" w:eastAsia="Arial" w:hAnsi="Arial"/>
          <w:color w:val="333333"/>
          <w:sz w:val="22"/>
          <w:szCs w:val="22"/>
        </w:rPr>
        <w:t xml:space="preserve">Physical Evidence — direct observation of physical controls: a server room requiring badge access, a clean desk policy being followed, a shredder in the document handling area. Document with photos where permitted.</w:t>
      </w:r>
    </w:p>
    <w:p>
      <w:pPr>
        <w:pStyle w:val="ListParagraph"/>
        <w:numPr>
          <w:ilvl w:val="0"/>
          <w:numId w:val="2"/>
        </w:numPr>
        <w:spacing w:after="40" w:before="40"/>
      </w:pPr>
      <w:r>
        <w:rPr>
          <w:rFonts w:ascii="Arial" w:cs="Arial" w:eastAsia="Arial" w:hAnsi="Arial"/>
          <w:color w:val="333333"/>
          <w:sz w:val="22"/>
          <w:szCs w:val="22"/>
        </w:rPr>
        <w:t xml:space="preserve">Testimonial Evidence — information obtained through interviews. This is the weakest evidence type on its own. Always corroborate testimonial evidence with documentary or physical evidence before drawing a conclusion.</w:t>
      </w:r>
    </w:p>
    <w:tbl>
      <w:tblPr>
        <w:tblW w:type="dxa" w:w="9360"/>
        <w:tblBorders>
          <w:top w:val="single" w:color="C8960C" w:sz="8"/>
          <w:left w:val="single" w:color="C8960C" w:sz="8"/>
          <w:bottom w:val="single" w:color="C8960C" w:sz="8"/>
          <w:right w:val="single" w:color="C8960C" w:sz="8"/>
          <w:insideH w:val="single" w:color="auto" w:sz="4"/>
          <w:insideV w:val="single" w:color="auto" w:sz="4"/>
        </w:tblBorders>
      </w:tblPr>
      <w:tblGrid>
        <w:gridCol w:w="200"/>
        <w:gridCol w:w="9160"/>
      </w:tblGrid>
      <w:tr>
        <w:tc>
          <w:tcPr>
            <w:tcW w:type="dxa" w:w="200"/>
            <w:tcBorders>
              <w:top w:val="nil"/>
              <w:left w:val="nil"/>
              <w:bottom w:val="nil"/>
              <w:right w:val="nil"/>
            </w:tcBorders>
            <w:shd w:fill="C8960C"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D6E4F0" w:val="clear"/>
            <w:tcMar>
              <w:top w:type="dxa" w:w="80"/>
              <w:left w:type="dxa" w:w="160"/>
              <w:bottom w:type="dxa" w:w="80"/>
              <w:right w:type="dxa" w:w="120"/>
            </w:tcMar>
          </w:tcPr>
          <w:p>
            <w:pPr>
              <w:spacing w:after="0" w:before="0"/>
            </w:pPr>
            <w:r>
              <w:rPr>
                <w:rFonts w:ascii="Arial" w:cs="Arial" w:eastAsia="Arial" w:hAnsi="Arial"/>
                <w:b/>
                <w:bCs/>
                <w:color w:val="1B3A6B"/>
                <w:sz w:val="22"/>
                <w:szCs w:val="22"/>
              </w:rPr>
              <w:t xml:space="preserve">The Corroboration Rule: </w:t>
            </w:r>
            <w:r>
              <w:rPr>
                <w:rFonts w:ascii="Arial" w:cs="Arial" w:eastAsia="Arial" w:hAnsi="Arial"/>
                <w:color w:val="333333"/>
                <w:sz w:val="22"/>
                <w:szCs w:val="22"/>
              </w:rPr>
              <w:t xml:space="preserve">If your only evidence for a control operating effectively is someone telling you it is, you do not have sufficient evidence. Ask 'Can you show me the record?' every time. A control is only as strong as the documentation that proves it ran.</w:t>
            </w:r>
          </w:p>
        </w:tc>
      </w:tr>
    </w:tbl>
    <w:p>
      <w:pPr>
        <w:pStyle w:val="Heading3"/>
        <w:pBdr>
          <w:bottom w:val="single" w:color="D6E4F0" w:sz="6"/>
        </w:pBdr>
        <w:spacing w:after="60" w:before="180"/>
      </w:pPr>
      <w:r>
        <w:rPr>
          <w:rFonts w:ascii="Arial" w:cs="Arial" w:eastAsia="Arial" w:hAnsi="Arial"/>
          <w:b/>
          <w:bCs/>
          <w:color w:val="1B3A6B"/>
          <w:sz w:val="24"/>
          <w:szCs w:val="24"/>
        </w:rPr>
        <w:t xml:space="preserve">Conducting Audit Interviews</w:t>
      </w:r>
    </w:p>
    <w:p>
      <w:pPr>
        <w:spacing w:after="60" w:before="60"/>
      </w:pPr>
      <w:r>
        <w:rPr>
          <w:rFonts w:ascii="Arial" w:cs="Arial" w:eastAsia="Arial" w:hAnsi="Arial"/>
          <w:color w:val="333333"/>
          <w:sz w:val="22"/>
          <w:szCs w:val="22"/>
        </w:rPr>
        <w:t xml:space="preserve">Interviews are a critical fieldwork skill. You are gathering information, testing knowledge, and identifying inconsistencies between what people say and what the documentation shows. Here is how to run an effective audit interview:</w:t>
      </w:r>
    </w:p>
    <w:p>
      <w:pPr>
        <w:pStyle w:val="ListParagraph"/>
        <w:numPr>
          <w:ilvl w:val="0"/>
          <w:numId w:val="2"/>
        </w:numPr>
        <w:spacing w:after="40" w:before="40"/>
      </w:pPr>
      <w:r>
        <w:rPr>
          <w:rFonts w:ascii="Arial" w:cs="Arial" w:eastAsia="Arial" w:hAnsi="Arial"/>
          <w:color w:val="333333"/>
          <w:sz w:val="22"/>
          <w:szCs w:val="22"/>
        </w:rPr>
        <w:t xml:space="preserve">Prepare your questions in advance and tie them to specific test steps.</w:t>
      </w:r>
    </w:p>
    <w:p>
      <w:pPr>
        <w:pStyle w:val="ListParagraph"/>
        <w:numPr>
          <w:ilvl w:val="0"/>
          <w:numId w:val="2"/>
        </w:numPr>
        <w:spacing w:after="40" w:before="40"/>
      </w:pPr>
      <w:r>
        <w:rPr>
          <w:rFonts w:ascii="Arial" w:cs="Arial" w:eastAsia="Arial" w:hAnsi="Arial"/>
          <w:color w:val="333333"/>
          <w:sz w:val="22"/>
          <w:szCs w:val="22"/>
        </w:rPr>
        <w:t xml:space="preserve">Start with open-ended questions: 'Walk me through how your team handles a new AI system from request to deployment.' Open questions reveal process; closed questions only confirm it.</w:t>
      </w:r>
    </w:p>
    <w:p>
      <w:pPr>
        <w:pStyle w:val="ListParagraph"/>
        <w:numPr>
          <w:ilvl w:val="0"/>
          <w:numId w:val="2"/>
        </w:numPr>
        <w:spacing w:after="40" w:before="40"/>
      </w:pPr>
      <w:r>
        <w:rPr>
          <w:rFonts w:ascii="Arial" w:cs="Arial" w:eastAsia="Arial" w:hAnsi="Arial"/>
          <w:color w:val="333333"/>
          <w:sz w:val="22"/>
          <w:szCs w:val="22"/>
        </w:rPr>
        <w:t xml:space="preserve">Follow up with specific questions when the narrative leaves gaps: 'You mentioned a risk assessment is required at that stage — can you show me the most recent one?'</w:t>
      </w:r>
    </w:p>
    <w:p>
      <w:pPr>
        <w:pStyle w:val="ListParagraph"/>
        <w:numPr>
          <w:ilvl w:val="0"/>
          <w:numId w:val="2"/>
        </w:numPr>
        <w:spacing w:after="40" w:before="40"/>
      </w:pPr>
      <w:r>
        <w:rPr>
          <w:rFonts w:ascii="Arial" w:cs="Arial" w:eastAsia="Arial" w:hAnsi="Arial"/>
          <w:color w:val="333333"/>
          <w:sz w:val="22"/>
          <w:szCs w:val="22"/>
        </w:rPr>
        <w:t xml:space="preserve">Do not argue, coach, or express surprise at answers. Maintain a neutral, professional tone regardless of what you hear.</w:t>
      </w:r>
    </w:p>
    <w:p>
      <w:pPr>
        <w:pStyle w:val="ListParagraph"/>
        <w:numPr>
          <w:ilvl w:val="0"/>
          <w:numId w:val="2"/>
        </w:numPr>
        <w:spacing w:after="40" w:before="40"/>
      </w:pPr>
      <w:r>
        <w:rPr>
          <w:rFonts w:ascii="Arial" w:cs="Arial" w:eastAsia="Arial" w:hAnsi="Arial"/>
          <w:color w:val="333333"/>
          <w:sz w:val="22"/>
          <w:szCs w:val="22"/>
        </w:rPr>
        <w:t xml:space="preserve">Take notes during the interview. Ask the interviewee to confirm your understanding of critical points.</w:t>
      </w:r>
    </w:p>
    <w:p>
      <w:pPr>
        <w:pStyle w:val="ListParagraph"/>
        <w:numPr>
          <w:ilvl w:val="0"/>
          <w:numId w:val="2"/>
        </w:numPr>
        <w:spacing w:after="40" w:before="40"/>
      </w:pPr>
      <w:r>
        <w:rPr>
          <w:rFonts w:ascii="Arial" w:cs="Arial" w:eastAsia="Arial" w:hAnsi="Arial"/>
          <w:color w:val="333333"/>
          <w:sz w:val="22"/>
          <w:szCs w:val="22"/>
        </w:rPr>
        <w:t xml:space="preserve">After the interview, request any documentary evidence that was referenced but not produced.</w:t>
      </w:r>
    </w:p>
    <w:p>
      <w:pPr>
        <w:pStyle w:val="ListParagraph"/>
        <w:numPr>
          <w:ilvl w:val="0"/>
          <w:numId w:val="2"/>
        </w:numPr>
        <w:spacing w:after="40" w:before="40"/>
      </w:pPr>
      <w:r>
        <w:rPr>
          <w:rFonts w:ascii="Arial" w:cs="Arial" w:eastAsia="Arial" w:hAnsi="Arial"/>
          <w:color w:val="333333"/>
          <w:sz w:val="22"/>
          <w:szCs w:val="22"/>
        </w:rPr>
        <w:t xml:space="preserve">Never conduct interviews alone for significant findings. Have a second team member present to corroborate your notes.</w:t>
      </w:r>
    </w:p>
    <w:p>
      <w:pPr>
        <w:pStyle w:val="Heading3"/>
        <w:pBdr>
          <w:bottom w:val="single" w:color="D6E4F0" w:sz="6"/>
        </w:pBdr>
        <w:spacing w:after="60" w:before="180"/>
      </w:pPr>
      <w:r>
        <w:rPr>
          <w:rFonts w:ascii="Arial" w:cs="Arial" w:eastAsia="Arial" w:hAnsi="Arial"/>
          <w:b/>
          <w:bCs/>
          <w:color w:val="1B3A6B"/>
          <w:sz w:val="24"/>
          <w:szCs w:val="24"/>
        </w:rPr>
        <w:t xml:space="preserve">Working Papers — Your Permanent Record</w:t>
      </w:r>
    </w:p>
    <w:p>
      <w:pPr>
        <w:spacing w:after="60" w:before="60"/>
      </w:pPr>
      <w:r>
        <w:rPr>
          <w:rFonts w:ascii="Arial" w:cs="Arial" w:eastAsia="Arial" w:hAnsi="Arial"/>
          <w:color w:val="333333"/>
          <w:sz w:val="22"/>
          <w:szCs w:val="22"/>
        </w:rPr>
        <w:t xml:space="preserve">Working papers are the documentation of everything you do during fieldwork. They must be sufficient for another auditor to pick them up, review them, and reach the same conclusions you did without additional explanation from you.</w:t>
      </w:r>
    </w:p>
    <w:p>
      <w:pPr>
        <w:spacing w:after="60" w:before="60"/>
      </w:pPr>
      <w:r>
        <w:rPr>
          <w:rFonts w:ascii="Arial" w:cs="Arial" w:eastAsia="Arial" w:hAnsi="Arial"/>
          <w:color w:val="333333"/>
          <w:sz w:val="22"/>
          <w:szCs w:val="22"/>
        </w:rPr>
        <w:t xml:space="preserve">Each working paper should contain:</w:t>
      </w:r>
    </w:p>
    <w:p>
      <w:pPr>
        <w:pStyle w:val="ListParagraph"/>
        <w:numPr>
          <w:ilvl w:val="0"/>
          <w:numId w:val="2"/>
        </w:numPr>
        <w:spacing w:after="40" w:before="40"/>
      </w:pPr>
      <w:r>
        <w:rPr>
          <w:rFonts w:ascii="Arial" w:cs="Arial" w:eastAsia="Arial" w:hAnsi="Arial"/>
          <w:color w:val="333333"/>
          <w:sz w:val="22"/>
          <w:szCs w:val="22"/>
        </w:rPr>
        <w:t xml:space="preserve">Test step reference number and description.</w:t>
      </w:r>
    </w:p>
    <w:p>
      <w:pPr>
        <w:pStyle w:val="ListParagraph"/>
        <w:numPr>
          <w:ilvl w:val="0"/>
          <w:numId w:val="2"/>
        </w:numPr>
        <w:spacing w:after="40" w:before="40"/>
      </w:pPr>
      <w:r>
        <w:rPr>
          <w:rFonts w:ascii="Arial" w:cs="Arial" w:eastAsia="Arial" w:hAnsi="Arial"/>
          <w:color w:val="333333"/>
          <w:sz w:val="22"/>
          <w:szCs w:val="22"/>
        </w:rPr>
        <w:t xml:space="preserve">Evidence reviewed — document name, date, version, who provided it.</w:t>
      </w:r>
    </w:p>
    <w:p>
      <w:pPr>
        <w:pStyle w:val="ListParagraph"/>
        <w:numPr>
          <w:ilvl w:val="0"/>
          <w:numId w:val="2"/>
        </w:numPr>
        <w:spacing w:after="40" w:before="40"/>
      </w:pPr>
      <w:r>
        <w:rPr>
          <w:rFonts w:ascii="Arial" w:cs="Arial" w:eastAsia="Arial" w:hAnsi="Arial"/>
          <w:color w:val="333333"/>
          <w:sz w:val="22"/>
          <w:szCs w:val="22"/>
        </w:rPr>
        <w:t xml:space="preserve">Procedure performed — what you actually did.</w:t>
      </w:r>
    </w:p>
    <w:p>
      <w:pPr>
        <w:pStyle w:val="ListParagraph"/>
        <w:numPr>
          <w:ilvl w:val="0"/>
          <w:numId w:val="2"/>
        </w:numPr>
        <w:spacing w:after="40" w:before="40"/>
      </w:pPr>
      <w:r>
        <w:rPr>
          <w:rFonts w:ascii="Arial" w:cs="Arial" w:eastAsia="Arial" w:hAnsi="Arial"/>
          <w:color w:val="333333"/>
          <w:sz w:val="22"/>
          <w:szCs w:val="22"/>
        </w:rPr>
        <w:t xml:space="preserve">Results — what you found.</w:t>
      </w:r>
    </w:p>
    <w:p>
      <w:pPr>
        <w:pStyle w:val="ListParagraph"/>
        <w:numPr>
          <w:ilvl w:val="0"/>
          <w:numId w:val="2"/>
        </w:numPr>
        <w:spacing w:after="40" w:before="40"/>
      </w:pPr>
      <w:r>
        <w:rPr>
          <w:rFonts w:ascii="Arial" w:cs="Arial" w:eastAsia="Arial" w:hAnsi="Arial"/>
          <w:color w:val="333333"/>
          <w:sz w:val="22"/>
          <w:szCs w:val="22"/>
        </w:rPr>
        <w:t xml:space="preserve">Conclusion — does the evidence support the control operating effectively? Yes, No, or Partially.</w:t>
      </w:r>
    </w:p>
    <w:p>
      <w:pPr>
        <w:pStyle w:val="ListParagraph"/>
        <w:numPr>
          <w:ilvl w:val="0"/>
          <w:numId w:val="2"/>
        </w:numPr>
        <w:spacing w:after="40" w:before="40"/>
      </w:pPr>
      <w:r>
        <w:rPr>
          <w:rFonts w:ascii="Arial" w:cs="Arial" w:eastAsia="Arial" w:hAnsi="Arial"/>
          <w:color w:val="333333"/>
          <w:sz w:val="22"/>
          <w:szCs w:val="22"/>
        </w:rPr>
        <w:t xml:space="preserve">Any exceptions or anomalies noted.</w:t>
      </w:r>
    </w:p>
    <w:tbl>
      <w:tblPr>
        <w:tblW w:type="dxa" w:w="9360"/>
        <w:tblBorders>
          <w:top w:val="single" w:color="8B1A1A" w:sz="8"/>
          <w:left w:val="single" w:color="8B1A1A" w:sz="8"/>
          <w:bottom w:val="single" w:color="8B1A1A" w:sz="8"/>
          <w:right w:val="single" w:color="8B1A1A" w:sz="8"/>
          <w:insideH w:val="single" w:color="auto" w:sz="4"/>
          <w:insideV w:val="single" w:color="auto" w:sz="4"/>
        </w:tblBorders>
      </w:tblPr>
      <w:tblGrid>
        <w:gridCol w:w="200"/>
        <w:gridCol w:w="9160"/>
      </w:tblGrid>
      <w:tr>
        <w:tc>
          <w:tcPr>
            <w:tcW w:type="dxa" w:w="200"/>
            <w:tcBorders>
              <w:top w:val="nil"/>
              <w:left w:val="nil"/>
              <w:bottom w:val="nil"/>
              <w:right w:val="nil"/>
            </w:tcBorders>
            <w:shd w:fill="8B1A1A"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FDF2F2" w:val="clear"/>
            <w:tcMar>
              <w:top w:type="dxa" w:w="80"/>
              <w:left w:type="dxa" w:w="160"/>
              <w:bottom w:type="dxa" w:w="80"/>
              <w:right w:type="dxa" w:w="120"/>
            </w:tcMar>
          </w:tcPr>
          <w:p>
            <w:pPr>
              <w:spacing w:after="0" w:before="0"/>
            </w:pPr>
            <w:r>
              <w:rPr>
                <w:rFonts w:ascii="Arial" w:cs="Arial" w:eastAsia="Arial" w:hAnsi="Arial"/>
                <w:b/>
                <w:bCs/>
                <w:color w:val="8B1A1A"/>
                <w:sz w:val="22"/>
                <w:szCs w:val="22"/>
              </w:rPr>
              <w:t xml:space="preserve">The Paper Trail Is Everything: </w:t>
            </w:r>
            <w:r>
              <w:rPr>
                <w:rFonts w:ascii="Arial" w:cs="Arial" w:eastAsia="Arial" w:hAnsi="Arial"/>
                <w:color w:val="333333"/>
                <w:sz w:val="22"/>
                <w:szCs w:val="22"/>
              </w:rPr>
              <w:t xml:space="preserve">In a regulatory examination or litigation scenario, your working papers may be reviewed by attorneys, regulators, or courts. Write your working papers as if a hostile reader is going to scrutinize every line. Vague entries like 'reviewed policy, looks OK' are indefensible. 'Reviewed Information Security Policy version 3.2 dated March 2025, signed by CISO. Policy includes all required elements per ISO 27001 Clause 5.2. No exceptions noted.' is defensible.</w:t>
            </w:r>
          </w:p>
        </w:tc>
      </w:tr>
    </w:tbl>
    <w:p>
      <w:pPr>
        <w:pStyle w:val="Heading2"/>
        <w:shd w:fill="2E6DA4" w:val="clear"/>
        <w:spacing w:after="80" w:before="240"/>
        <w:ind w:left="120"/>
      </w:pPr>
      <w:r>
        <w:rPr>
          <w:rFonts w:ascii="Arial" w:cs="Arial" w:eastAsia="Arial" w:hAnsi="Arial"/>
          <w:b/>
          <w:bCs/>
          <w:color w:val="FFFFFF"/>
          <w:sz w:val="26"/>
          <w:szCs w:val="26"/>
        </w:rPr>
        <w:t xml:space="preserve">Phase 5: Closing Meeting — No Surprises</w:t>
      </w:r>
    </w:p>
    <w:p>
      <w:pPr>
        <w:spacing w:after="60" w:before="60"/>
      </w:pPr>
      <w:r>
        <w:rPr>
          <w:rFonts w:ascii="Arial" w:cs="Arial" w:eastAsia="Arial" w:hAnsi="Arial"/>
          <w:color w:val="333333"/>
          <w:sz w:val="22"/>
          <w:szCs w:val="22"/>
        </w:rPr>
        <w:t xml:space="preserve">The closing meeting is where you present your preliminary findings to the auditee before finalizing your report. The word 'preliminary' is important — findings are not final until the auditee has had an opportunity to provide additional context or evidence.</w:t>
      </w:r>
    </w:p>
    <w:p>
      <w:pPr>
        <w:spacing w:after="60" w:before="60"/>
      </w:pPr>
      <w:r>
        <w:rPr>
          <w:rFonts w:ascii="Arial" w:cs="Arial" w:eastAsia="Arial" w:hAnsi="Arial"/>
          <w:color w:val="333333"/>
          <w:sz w:val="22"/>
          <w:szCs w:val="22"/>
        </w:rPr>
        <w:t xml:space="preserve">The closing meeting should:</w:t>
      </w:r>
    </w:p>
    <w:p>
      <w:pPr>
        <w:pStyle w:val="ListParagraph"/>
        <w:numPr>
          <w:ilvl w:val="0"/>
          <w:numId w:val="2"/>
        </w:numPr>
        <w:spacing w:after="40" w:before="40"/>
      </w:pPr>
      <w:r>
        <w:rPr>
          <w:rFonts w:ascii="Arial" w:cs="Arial" w:eastAsia="Arial" w:hAnsi="Arial"/>
          <w:color w:val="333333"/>
          <w:sz w:val="22"/>
          <w:szCs w:val="22"/>
        </w:rPr>
        <w:t xml:space="preserve">Summarize overall audit scope and approach.</w:t>
      </w:r>
    </w:p>
    <w:p>
      <w:pPr>
        <w:pStyle w:val="ListParagraph"/>
        <w:numPr>
          <w:ilvl w:val="0"/>
          <w:numId w:val="2"/>
        </w:numPr>
        <w:spacing w:after="40" w:before="40"/>
      </w:pPr>
      <w:r>
        <w:rPr>
          <w:rFonts w:ascii="Arial" w:cs="Arial" w:eastAsia="Arial" w:hAnsi="Arial"/>
          <w:color w:val="333333"/>
          <w:sz w:val="22"/>
          <w:szCs w:val="22"/>
        </w:rPr>
        <w:t xml:space="preserve">Present each finding — classification, criteria violated, evidence reviewed, and the gap identified.</w:t>
      </w:r>
    </w:p>
    <w:p>
      <w:pPr>
        <w:pStyle w:val="ListParagraph"/>
        <w:numPr>
          <w:ilvl w:val="0"/>
          <w:numId w:val="2"/>
        </w:numPr>
        <w:spacing w:after="40" w:before="40"/>
      </w:pPr>
      <w:r>
        <w:rPr>
          <w:rFonts w:ascii="Arial" w:cs="Arial" w:eastAsia="Arial" w:hAnsi="Arial"/>
          <w:color w:val="333333"/>
          <w:sz w:val="22"/>
          <w:szCs w:val="22"/>
        </w:rPr>
        <w:t xml:space="preserve">Allow the auditee to respond — they may have additional evidence you did not see, or may identify a factual error in your finding. Listen and document their response.</w:t>
      </w:r>
    </w:p>
    <w:p>
      <w:pPr>
        <w:pStyle w:val="ListParagraph"/>
        <w:numPr>
          <w:ilvl w:val="0"/>
          <w:numId w:val="2"/>
        </w:numPr>
        <w:spacing w:after="40" w:before="40"/>
      </w:pPr>
      <w:r>
        <w:rPr>
          <w:rFonts w:ascii="Arial" w:cs="Arial" w:eastAsia="Arial" w:hAnsi="Arial"/>
          <w:color w:val="333333"/>
          <w:sz w:val="22"/>
          <w:szCs w:val="22"/>
        </w:rPr>
        <w:t xml:space="preserve">Confirm any factual corrections before issuing the report.</w:t>
      </w:r>
    </w:p>
    <w:p>
      <w:pPr>
        <w:pStyle w:val="ListParagraph"/>
        <w:numPr>
          <w:ilvl w:val="0"/>
          <w:numId w:val="2"/>
        </w:numPr>
        <w:spacing w:after="40" w:before="40"/>
      </w:pPr>
      <w:r>
        <w:rPr>
          <w:rFonts w:ascii="Arial" w:cs="Arial" w:eastAsia="Arial" w:hAnsi="Arial"/>
          <w:color w:val="333333"/>
          <w:sz w:val="22"/>
          <w:szCs w:val="22"/>
        </w:rPr>
        <w:t xml:space="preserve">Agree on the timeline for the formal report and corrective action submissions.</w:t>
      </w:r>
    </w:p>
    <w:tbl>
      <w:tblPr>
        <w:tblW w:type="dxa" w:w="9360"/>
        <w:tblBorders>
          <w:top w:val="single" w:color="C8960C" w:sz="8"/>
          <w:left w:val="single" w:color="C8960C" w:sz="8"/>
          <w:bottom w:val="single" w:color="C8960C" w:sz="8"/>
          <w:right w:val="single" w:color="C8960C" w:sz="8"/>
          <w:insideH w:val="single" w:color="auto" w:sz="4"/>
          <w:insideV w:val="single" w:color="auto" w:sz="4"/>
        </w:tblBorders>
      </w:tblPr>
      <w:tblGrid>
        <w:gridCol w:w="200"/>
        <w:gridCol w:w="9160"/>
      </w:tblGrid>
      <w:tr>
        <w:tc>
          <w:tcPr>
            <w:tcW w:type="dxa" w:w="200"/>
            <w:tcBorders>
              <w:top w:val="nil"/>
              <w:left w:val="nil"/>
              <w:bottom w:val="nil"/>
              <w:right w:val="nil"/>
            </w:tcBorders>
            <w:shd w:fill="C8960C"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D6E4F0" w:val="clear"/>
            <w:tcMar>
              <w:top w:type="dxa" w:w="80"/>
              <w:left w:type="dxa" w:w="160"/>
              <w:bottom w:type="dxa" w:w="80"/>
              <w:right w:type="dxa" w:w="120"/>
            </w:tcMar>
          </w:tcPr>
          <w:p>
            <w:pPr>
              <w:spacing w:after="0" w:before="0"/>
            </w:pPr>
            <w:r>
              <w:rPr>
                <w:rFonts w:ascii="Arial" w:cs="Arial" w:eastAsia="Arial" w:hAnsi="Arial"/>
                <w:b/>
                <w:bCs/>
                <w:color w:val="1B3A6B"/>
                <w:sz w:val="22"/>
                <w:szCs w:val="22"/>
              </w:rPr>
              <w:t xml:space="preserve">The No-Surprise Rule: </w:t>
            </w:r>
            <w:r>
              <w:rPr>
                <w:rFonts w:ascii="Arial" w:cs="Arial" w:eastAsia="Arial" w:hAnsi="Arial"/>
                <w:color w:val="333333"/>
                <w:sz w:val="22"/>
                <w:szCs w:val="22"/>
              </w:rPr>
              <w:t xml:space="preserve">Never issue an audit report with findings that the auditee has not seen and had an opportunity to respond to. Springing findings in a written report is not tough auditing — it is poor professional practice. It damages trust, invites disputes, and can get findings overturned if the auditee had responsive evidence you never asked for.</w:t>
            </w:r>
          </w:p>
        </w:tc>
      </w:tr>
    </w:tbl>
    <w:p>
      <w:pPr>
        <w:pStyle w:val="Heading2"/>
        <w:shd w:fill="2E6DA4" w:val="clear"/>
        <w:spacing w:after="80" w:before="240"/>
        <w:ind w:left="120"/>
      </w:pPr>
      <w:r>
        <w:rPr>
          <w:rFonts w:ascii="Arial" w:cs="Arial" w:eastAsia="Arial" w:hAnsi="Arial"/>
          <w:b/>
          <w:bCs/>
          <w:color w:val="FFFFFF"/>
          <w:sz w:val="26"/>
          <w:szCs w:val="26"/>
        </w:rPr>
        <w:t xml:space="preserve">Phase 6: Reporting — Write Findings That Drive Action</w:t>
      </w:r>
    </w:p>
    <w:p>
      <w:pPr>
        <w:spacing w:after="60" w:before="60"/>
      </w:pPr>
      <w:r>
        <w:rPr>
          <w:rFonts w:ascii="Arial" w:cs="Arial" w:eastAsia="Arial" w:hAnsi="Arial"/>
          <w:color w:val="333333"/>
          <w:sz w:val="22"/>
          <w:szCs w:val="22"/>
        </w:rPr>
        <w:t xml:space="preserve">The audit report is your deliverable. It is what clients, management, regulators, and certification bodies read. A well-written audit report communicates findings clearly, ties each finding to specific evidence and criteria, and drives corrective action. A poorly written report creates confusion, invites challenges, and fails to protect the organization.</w:t>
      </w:r>
    </w:p>
    <w:p>
      <w:pPr>
        <w:pStyle w:val="Heading3"/>
        <w:pBdr>
          <w:bottom w:val="single" w:color="D6E4F0" w:sz="6"/>
        </w:pBdr>
        <w:spacing w:after="60" w:before="180"/>
      </w:pPr>
      <w:r>
        <w:rPr>
          <w:rFonts w:ascii="Arial" w:cs="Arial" w:eastAsia="Arial" w:hAnsi="Arial"/>
          <w:b/>
          <w:bCs/>
          <w:color w:val="1B3A6B"/>
          <w:sz w:val="24"/>
          <w:szCs w:val="24"/>
        </w:rPr>
        <w:t xml:space="preserve">Audit Report Structure</w:t>
      </w:r>
    </w:p>
    <w:p>
      <w:pPr>
        <w:pStyle w:val="ListParagraph"/>
        <w:numPr>
          <w:ilvl w:val="0"/>
          <w:numId w:val="2"/>
        </w:numPr>
        <w:spacing w:after="40" w:before="40"/>
      </w:pPr>
      <w:r>
        <w:rPr>
          <w:rFonts w:ascii="Arial" w:cs="Arial" w:eastAsia="Arial" w:hAnsi="Arial"/>
          <w:color w:val="333333"/>
          <w:sz w:val="22"/>
          <w:szCs w:val="22"/>
        </w:rPr>
        <w:t xml:space="preserve">Executive Summary — one page. What was audited, when, by whom. Overall conclusion. Number and classification of findings. Any critical items requiring immediate attention.</w:t>
      </w:r>
    </w:p>
    <w:p>
      <w:pPr>
        <w:pStyle w:val="ListParagraph"/>
        <w:numPr>
          <w:ilvl w:val="0"/>
          <w:numId w:val="2"/>
        </w:numPr>
        <w:spacing w:after="40" w:before="40"/>
      </w:pPr>
      <w:r>
        <w:rPr>
          <w:rFonts w:ascii="Arial" w:cs="Arial" w:eastAsia="Arial" w:hAnsi="Arial"/>
          <w:color w:val="333333"/>
          <w:sz w:val="22"/>
          <w:szCs w:val="22"/>
        </w:rPr>
        <w:t xml:space="preserve">Scope and Objectives — verbatim from the audit plan, updated for any changes made during fieldwork.</w:t>
      </w:r>
    </w:p>
    <w:p>
      <w:pPr>
        <w:pStyle w:val="ListParagraph"/>
        <w:numPr>
          <w:ilvl w:val="0"/>
          <w:numId w:val="2"/>
        </w:numPr>
        <w:spacing w:after="40" w:before="40"/>
      </w:pPr>
      <w:r>
        <w:rPr>
          <w:rFonts w:ascii="Arial" w:cs="Arial" w:eastAsia="Arial" w:hAnsi="Arial"/>
          <w:color w:val="333333"/>
          <w:sz w:val="22"/>
          <w:szCs w:val="22"/>
        </w:rPr>
        <w:t xml:space="preserve">Audit Criteria — the specific standards, clauses, and controls audited.</w:t>
      </w:r>
    </w:p>
    <w:p>
      <w:pPr>
        <w:pStyle w:val="ListParagraph"/>
        <w:numPr>
          <w:ilvl w:val="0"/>
          <w:numId w:val="2"/>
        </w:numPr>
        <w:spacing w:after="40" w:before="40"/>
      </w:pPr>
      <w:r>
        <w:rPr>
          <w:rFonts w:ascii="Arial" w:cs="Arial" w:eastAsia="Arial" w:hAnsi="Arial"/>
          <w:color w:val="333333"/>
          <w:sz w:val="22"/>
          <w:szCs w:val="22"/>
        </w:rPr>
        <w:t xml:space="preserve">Methodology — how you conducted the audit (document review, interviews, sampling, observation).</w:t>
      </w:r>
    </w:p>
    <w:p>
      <w:pPr>
        <w:pStyle w:val="ListParagraph"/>
        <w:numPr>
          <w:ilvl w:val="0"/>
          <w:numId w:val="2"/>
        </w:numPr>
        <w:spacing w:after="40" w:before="40"/>
      </w:pPr>
      <w:r>
        <w:rPr>
          <w:rFonts w:ascii="Arial" w:cs="Arial" w:eastAsia="Arial" w:hAnsi="Arial"/>
          <w:color w:val="333333"/>
          <w:sz w:val="22"/>
          <w:szCs w:val="22"/>
        </w:rPr>
        <w:t xml:space="preserve">Findings — each finding documented in structured format (see below).</w:t>
      </w:r>
    </w:p>
    <w:p>
      <w:pPr>
        <w:pStyle w:val="ListParagraph"/>
        <w:numPr>
          <w:ilvl w:val="0"/>
          <w:numId w:val="2"/>
        </w:numPr>
        <w:spacing w:after="40" w:before="40"/>
      </w:pPr>
      <w:r>
        <w:rPr>
          <w:rFonts w:ascii="Arial" w:cs="Arial" w:eastAsia="Arial" w:hAnsi="Arial"/>
          <w:color w:val="333333"/>
          <w:sz w:val="22"/>
          <w:szCs w:val="22"/>
        </w:rPr>
        <w:t xml:space="preserve">Positive Observations — controls that are operating effectively and worth acknowledging.</w:t>
      </w:r>
    </w:p>
    <w:p>
      <w:pPr>
        <w:pStyle w:val="ListParagraph"/>
        <w:numPr>
          <w:ilvl w:val="0"/>
          <w:numId w:val="2"/>
        </w:numPr>
        <w:spacing w:after="40" w:before="40"/>
      </w:pPr>
      <w:r>
        <w:rPr>
          <w:rFonts w:ascii="Arial" w:cs="Arial" w:eastAsia="Arial" w:hAnsi="Arial"/>
          <w:color w:val="333333"/>
          <w:sz w:val="22"/>
          <w:szCs w:val="22"/>
        </w:rPr>
        <w:t xml:space="preserve">Recommendations — for Observations and Minor findings where guidance is appropriate.</w:t>
      </w:r>
    </w:p>
    <w:p>
      <w:pPr>
        <w:pStyle w:val="ListParagraph"/>
        <w:numPr>
          <w:ilvl w:val="0"/>
          <w:numId w:val="2"/>
        </w:numPr>
        <w:spacing w:after="40" w:before="40"/>
      </w:pPr>
      <w:r>
        <w:rPr>
          <w:rFonts w:ascii="Arial" w:cs="Arial" w:eastAsia="Arial" w:hAnsi="Arial"/>
          <w:color w:val="333333"/>
          <w:sz w:val="22"/>
          <w:szCs w:val="22"/>
        </w:rPr>
        <w:t xml:space="preserve">Conclusion — your professional opinion on the overall state of compliance or conformity.</w:t>
      </w:r>
    </w:p>
    <w:p>
      <w:pPr>
        <w:pStyle w:val="ListParagraph"/>
        <w:numPr>
          <w:ilvl w:val="0"/>
          <w:numId w:val="2"/>
        </w:numPr>
        <w:spacing w:after="40" w:before="40"/>
      </w:pPr>
      <w:r>
        <w:rPr>
          <w:rFonts w:ascii="Arial" w:cs="Arial" w:eastAsia="Arial" w:hAnsi="Arial"/>
          <w:color w:val="333333"/>
          <w:sz w:val="22"/>
          <w:szCs w:val="22"/>
        </w:rPr>
        <w:t xml:space="preserve">Appendices — evidence index, interview list, test plan reference.</w:t>
      </w:r>
    </w:p>
    <w:p>
      <w:pPr>
        <w:pStyle w:val="Heading3"/>
        <w:pBdr>
          <w:bottom w:val="single" w:color="D6E4F0" w:sz="6"/>
        </w:pBdr>
        <w:spacing w:after="60" w:before="180"/>
      </w:pPr>
      <w:r>
        <w:rPr>
          <w:rFonts w:ascii="Arial" w:cs="Arial" w:eastAsia="Arial" w:hAnsi="Arial"/>
          <w:b/>
          <w:bCs/>
          <w:color w:val="1B3A6B"/>
          <w:sz w:val="24"/>
          <w:szCs w:val="24"/>
        </w:rPr>
        <w:t xml:space="preserve">Writing a Finding</w:t>
      </w:r>
    </w:p>
    <w:p>
      <w:pPr>
        <w:spacing w:after="60" w:before="60"/>
      </w:pPr>
      <w:r>
        <w:rPr>
          <w:rFonts w:ascii="Arial" w:cs="Arial" w:eastAsia="Arial" w:hAnsi="Arial"/>
          <w:color w:val="333333"/>
          <w:sz w:val="22"/>
          <w:szCs w:val="22"/>
        </w:rPr>
        <w:t xml:space="preserve">Every finding must answer five questions. If any of these five elements are missing, the finding is incomplete and cannot be defended or acted on:</w:t>
      </w:r>
    </w:p>
    <w:p>
      <w:pPr>
        <w:pStyle w:val="ListParagraph"/>
        <w:numPr>
          <w:ilvl w:val="0"/>
          <w:numId w:val="3"/>
        </w:numPr>
        <w:spacing w:after="40" w:before="40"/>
      </w:pPr>
      <w:r>
        <w:rPr>
          <w:rFonts w:ascii="Arial" w:cs="Arial" w:eastAsia="Arial" w:hAnsi="Arial"/>
          <w:color w:val="333333"/>
          <w:sz w:val="22"/>
          <w:szCs w:val="22"/>
        </w:rPr>
        <w:t xml:space="preserve">What is the finding? — State the gap clearly and factually. No editorializing.</w:t>
      </w:r>
    </w:p>
    <w:p>
      <w:pPr>
        <w:pStyle w:val="ListParagraph"/>
        <w:numPr>
          <w:ilvl w:val="0"/>
          <w:numId w:val="3"/>
        </w:numPr>
        <w:spacing w:after="40" w:before="40"/>
      </w:pPr>
      <w:r>
        <w:rPr>
          <w:rFonts w:ascii="Arial" w:cs="Arial" w:eastAsia="Arial" w:hAnsi="Arial"/>
          <w:color w:val="333333"/>
          <w:sz w:val="22"/>
          <w:szCs w:val="22"/>
        </w:rPr>
        <w:t xml:space="preserve">What is the criterion? — Which clause, control, or requirement is not being met? Cite it specifically.</w:t>
      </w:r>
    </w:p>
    <w:p>
      <w:pPr>
        <w:pStyle w:val="ListParagraph"/>
        <w:numPr>
          <w:ilvl w:val="0"/>
          <w:numId w:val="3"/>
        </w:numPr>
        <w:spacing w:after="40" w:before="40"/>
      </w:pPr>
      <w:r>
        <w:rPr>
          <w:rFonts w:ascii="Arial" w:cs="Arial" w:eastAsia="Arial" w:hAnsi="Arial"/>
          <w:color w:val="333333"/>
          <w:sz w:val="22"/>
          <w:szCs w:val="22"/>
        </w:rPr>
        <w:t xml:space="preserve">What is the evidence? — What did you review that led to this conclusion? Be specific: document names, dates, what you observed.</w:t>
      </w:r>
    </w:p>
    <w:p>
      <w:pPr>
        <w:pStyle w:val="ListParagraph"/>
        <w:numPr>
          <w:ilvl w:val="0"/>
          <w:numId w:val="3"/>
        </w:numPr>
        <w:spacing w:after="40" w:before="40"/>
      </w:pPr>
      <w:r>
        <w:rPr>
          <w:rFonts w:ascii="Arial" w:cs="Arial" w:eastAsia="Arial" w:hAnsi="Arial"/>
          <w:color w:val="333333"/>
          <w:sz w:val="22"/>
          <w:szCs w:val="22"/>
        </w:rPr>
        <w:t xml:space="preserve">What is the risk? — Why does this gap matter? What could go wrong if it is not fixed?</w:t>
      </w:r>
    </w:p>
    <w:p>
      <w:pPr>
        <w:pStyle w:val="ListParagraph"/>
        <w:numPr>
          <w:ilvl w:val="0"/>
          <w:numId w:val="3"/>
        </w:numPr>
        <w:spacing w:after="40" w:before="40"/>
      </w:pPr>
      <w:r>
        <w:rPr>
          <w:rFonts w:ascii="Arial" w:cs="Arial" w:eastAsia="Arial" w:hAnsi="Arial"/>
          <w:color w:val="333333"/>
          <w:sz w:val="22"/>
          <w:szCs w:val="22"/>
        </w:rPr>
        <w:t xml:space="preserve">What is the recommendation? — What should the auditee do to address the gap?</w:t>
      </w:r>
    </w:p>
    <w:p>
      <w:pPr>
        <w:spacing w:after="60" w:before="60"/>
      </w:pPr>
      <w:r>
        <w:rPr>
          <w:rFonts w:ascii="Arial" w:cs="Arial" w:eastAsia="Arial" w:hAnsi="Arial"/>
          <w:color w:val="333333"/>
          <w:sz w:val="22"/>
          <w:szCs w:val="22"/>
        </w:rPr>
        <w:t xml:space="preserve">Example of a weak finding: 'The organization does not have adequate documentation for its AI systems.'</w:t>
      </w:r>
    </w:p>
    <w:p>
      <w:pPr>
        <w:spacing w:after="60" w:before="60"/>
      </w:pPr>
      <w:r>
        <w:rPr>
          <w:rFonts w:ascii="Arial" w:cs="Arial" w:eastAsia="Arial" w:hAnsi="Arial"/>
          <w:color w:val="333333"/>
          <w:sz w:val="22"/>
          <w:szCs w:val="22"/>
        </w:rPr>
        <w:t xml:space="preserve">Example of a strong finding: 'Finding 3 — ISO 42001 Clause 8.4 / AI System Lifecycle Documentation. Three of five AI systems sampled (Systems A, B, and C per AI System Inventory v2.1 dated January 2026) lacked documented stage-gate approval records prior to production deployment. Evidence reviewed: AI System Inventory v2.1, Deployment logs for Systems A, B, C (obtained January 28, 2026). Risk: Without lifecycle stage-gate controls, AI systems may be deployed without required risk assessment, bias testing, or management approval, increasing the likelihood of deploying systems that cause harm or violate regulatory requirements. Recommendation: Establish and enforce a mandatory stage-gate approval process for all AI systems prior to production deployment, with documented sign-off by the AI Risk Owner at each stage.'</w:t>
      </w:r>
    </w:p>
    <w:tbl>
      <w:tblPr>
        <w:tblW w:type="dxa" w:w="9360"/>
        <w:tblBorders>
          <w:top w:val="single" w:color="C8960C" w:sz="8"/>
          <w:left w:val="single" w:color="C8960C" w:sz="8"/>
          <w:bottom w:val="single" w:color="C8960C" w:sz="8"/>
          <w:right w:val="single" w:color="C8960C" w:sz="8"/>
          <w:insideH w:val="single" w:color="auto" w:sz="4"/>
          <w:insideV w:val="single" w:color="auto" w:sz="4"/>
        </w:tblBorders>
      </w:tblPr>
      <w:tblGrid>
        <w:gridCol w:w="200"/>
        <w:gridCol w:w="9160"/>
      </w:tblGrid>
      <w:tr>
        <w:tc>
          <w:tcPr>
            <w:tcW w:type="dxa" w:w="200"/>
            <w:tcBorders>
              <w:top w:val="nil"/>
              <w:left w:val="nil"/>
              <w:bottom w:val="nil"/>
              <w:right w:val="nil"/>
            </w:tcBorders>
            <w:shd w:fill="C8960C"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D6E4F0" w:val="clear"/>
            <w:tcMar>
              <w:top w:type="dxa" w:w="80"/>
              <w:left w:type="dxa" w:w="160"/>
              <w:bottom w:type="dxa" w:w="80"/>
              <w:right w:type="dxa" w:w="120"/>
            </w:tcMar>
          </w:tcPr>
          <w:p>
            <w:pPr>
              <w:spacing w:after="0" w:before="0"/>
            </w:pPr>
            <w:r>
              <w:rPr>
                <w:rFonts w:ascii="Arial" w:cs="Arial" w:eastAsia="Arial" w:hAnsi="Arial"/>
                <w:b/>
                <w:bCs/>
                <w:color w:val="1B3A6B"/>
                <w:sz w:val="22"/>
                <w:szCs w:val="22"/>
              </w:rPr>
              <w:t xml:space="preserve">Strong Finding Principle: </w:t>
            </w:r>
            <w:r>
              <w:rPr>
                <w:rFonts w:ascii="Arial" w:cs="Arial" w:eastAsia="Arial" w:hAnsi="Arial"/>
                <w:color w:val="333333"/>
                <w:sz w:val="22"/>
                <w:szCs w:val="22"/>
              </w:rPr>
              <w:t xml:space="preserve">A strong finding has enough specificity that the auditee knows exactly what to fix, the audit committee knows exactly what the risk is, and a follow-up auditor can verify the correction was made without asking you for clarification. If any of those three people would need to ask you a question, the finding needs more detail.</w:t>
            </w:r>
          </w:p>
        </w:tc>
      </w:tr>
    </w:tbl>
    <w:p>
      <w:pPr>
        <w:pBdr>
          <w:bottom w:val="single" w:color="D6E4F0" w:sz="6"/>
        </w:pBdr>
        <w:spacing w:after="120" w:before="120"/>
      </w:pPr>
      <w:r>
        <w:rPr>
          <w:rFonts w:ascii="Arial" w:cs="Arial" w:eastAsia="Arial" w:hAnsi="Arial"/>
          <w:color w:val="333333"/>
          <w:sz w:val="22"/>
          <w:szCs w:val="22"/>
        </w:rPr>
        <w:t xml:space="preserve"/>
      </w:r>
    </w:p>
    <w:p>
      <w:r>
        <w:br/>
      </w:r>
    </w:p>
    <w:p>
      <w:pPr>
        <w:pStyle w:val="Heading1"/>
        <w:pBdr>
          <w:bottom w:val="single" w:color="C8960C" w:sz="8"/>
        </w:pBdr>
        <w:shd w:fill="1B3A6B" w:val="clear"/>
        <w:spacing w:after="120" w:before="360"/>
        <w:ind w:left="180" w:right="180"/>
      </w:pPr>
      <w:r>
        <w:rPr>
          <w:rFonts w:ascii="Arial" w:cs="Arial" w:eastAsia="Arial" w:hAnsi="Arial"/>
          <w:b/>
          <w:bCs/>
          <w:color w:val="FFFFFF"/>
          <w:sz w:val="32"/>
          <w:szCs w:val="32"/>
        </w:rPr>
        <w:t xml:space="preserve">Chapter 3: Evidence Sampling — You Cannot Review Everything</w:t>
      </w:r>
    </w:p>
    <w:p>
      <w:pPr>
        <w:spacing w:after="60" w:before="60"/>
      </w:pPr>
      <w:r>
        <w:rPr>
          <w:rFonts w:ascii="Arial" w:cs="Arial" w:eastAsia="Arial" w:hAnsi="Arial"/>
          <w:color w:val="333333"/>
          <w:sz w:val="22"/>
          <w:szCs w:val="22"/>
        </w:rPr>
        <w:t xml:space="preserve">One of the most uncomfortable truths for new auditors is that you will almost never review every record. An organization may have processed 50,000 access control change requests in the past year. You are not reviewing all 50,000. You are sampling. The question is: how do you sample in a way that gives you defensible, reliable conclusions?</w:t>
      </w:r>
    </w:p>
    <w:p>
      <w:pPr>
        <w:spacing w:after="60" w:before="60"/>
      </w:pPr>
      <w:r>
        <w:rPr>
          <w:rFonts w:ascii="Arial" w:cs="Arial" w:eastAsia="Arial" w:hAnsi="Arial"/>
          <w:color w:val="333333"/>
          <w:sz w:val="22"/>
          <w:szCs w:val="22"/>
        </w:rPr>
        <w:t xml:space="preserve">Sampling is not guessing. It is a structured approach to selecting a representative subset of records that, if examined, allows you to draw reasonable conclusions about the entire population. Done correctly, your conclusions are defensible. Done incorrectly, you miss things and your conclusions fall apart under scrutiny.</w:t>
      </w:r>
    </w:p>
    <w:p>
      <w:pPr>
        <w:pStyle w:val="Heading2"/>
        <w:shd w:fill="2E6DA4" w:val="clear"/>
        <w:spacing w:after="80" w:before="240"/>
        <w:ind w:left="120"/>
      </w:pPr>
      <w:r>
        <w:rPr>
          <w:rFonts w:ascii="Arial" w:cs="Arial" w:eastAsia="Arial" w:hAnsi="Arial"/>
          <w:b/>
          <w:bCs/>
          <w:color w:val="FFFFFF"/>
          <w:sz w:val="26"/>
          <w:szCs w:val="26"/>
        </w:rPr>
        <w:t xml:space="preserve">Key Sampling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Concept</w:t>
            </w:r>
          </w:p>
        </w:tc>
        <w:tc>
          <w:tcPr>
            <w:tcW w:type="dxa" w:w="34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Definition</w:t>
            </w:r>
          </w:p>
        </w:tc>
        <w:tc>
          <w:tcPr>
            <w:tcW w:type="dxa" w:w="36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When to Use It</w:t>
            </w:r>
          </w:p>
        </w:tc>
      </w:tr>
      <w:tr>
        <w:tc>
          <w:tcPr>
            <w:tcW w:type="dxa" w:w="22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Population</w:t>
            </w:r>
          </w:p>
        </w:tc>
        <w:tc>
          <w:tcPr>
            <w:tcW w:type="dxa" w:w="34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The complete set of items from which you are sampling.</w:t>
            </w:r>
          </w:p>
        </w:tc>
        <w:tc>
          <w:tcPr>
            <w:tcW w:type="dxa" w:w="36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Define the population precisely before sampling. 'All user access review records for 2025' not 'access records.'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Sample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The subset of items you will actually examine.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Your sample must be drawn from the full population, not pre-selected by the auditee.</w:t>
            </w:r>
          </w:p>
        </w:tc>
      </w:tr>
      <w:tr>
        <w:tc>
          <w:tcPr>
            <w:tcW w:type="dxa" w:w="22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Random Sampling</w:t>
            </w:r>
          </w:p>
        </w:tc>
        <w:tc>
          <w:tcPr>
            <w:tcW w:type="dxa" w:w="34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Every item in the population has an equal chance of being selected.</w:t>
            </w:r>
          </w:p>
        </w:tc>
        <w:tc>
          <w:tcPr>
            <w:tcW w:type="dxa" w:w="36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Use for high-volume, homogeneous populations. Most defensible approach. Use a random number generator or spreadsheet RAND() function.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Judgmental / Heuristic Sampling</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Auditor selects items based on risk, anomaly, or professional judgment.</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Use when you have reason to believe certain items are higher risk — large transactions, recent system changes, known exceptions. Always document your selection rationale.</w:t>
            </w:r>
          </w:p>
        </w:tc>
      </w:tr>
      <w:tr>
        <w:tc>
          <w:tcPr>
            <w:tcW w:type="dxa" w:w="22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Statistical Sampling</w:t>
            </w:r>
          </w:p>
        </w:tc>
        <w:tc>
          <w:tcPr>
            <w:tcW w:type="dxa" w:w="34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Mathematically rigorous approach with calculated sample sizes and confidence intervals.</w:t>
            </w:r>
          </w:p>
        </w:tc>
        <w:tc>
          <w:tcPr>
            <w:tcW w:type="dxa" w:w="36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Used in formal financial audits. Rarely required in GRC/IT audits unless specifically mandated. Know it exists; do not feel compelled to apply it to every control.</w:t>
            </w:r>
          </w:p>
        </w:tc>
      </w:tr>
    </w:tbl>
    <w:p>
      <w:pPr>
        <w:spacing w:after="0" w:before="240"/>
      </w:pPr>
      <w:r>
        <w:rPr>
          <w:rFonts w:ascii="Arial" w:cs="Arial" w:eastAsia="Arial" w:hAnsi="Arial"/>
          <w:color w:val="333333"/>
          <w:sz w:val="22"/>
          <w:szCs w:val="22"/>
        </w:rPr>
        <w:t xml:space="preserve"/>
      </w:r>
    </w:p>
    <w:p>
      <w:pPr>
        <w:pStyle w:val="Heading2"/>
        <w:shd w:fill="2E6DA4" w:val="clear"/>
        <w:spacing w:after="80" w:before="240"/>
        <w:ind w:left="120"/>
      </w:pPr>
      <w:r>
        <w:rPr>
          <w:rFonts w:ascii="Arial" w:cs="Arial" w:eastAsia="Arial" w:hAnsi="Arial"/>
          <w:b/>
          <w:bCs/>
          <w:color w:val="FFFFFF"/>
          <w:sz w:val="26"/>
          <w:szCs w:val="26"/>
        </w:rPr>
        <w:t xml:space="preserve">Practical Sample Sizes for GRC Audits</w:t>
      </w:r>
    </w:p>
    <w:p>
      <w:pPr>
        <w:spacing w:after="60" w:before="60"/>
      </w:pPr>
      <w:r>
        <w:rPr>
          <w:rFonts w:ascii="Arial" w:cs="Arial" w:eastAsia="Arial" w:hAnsi="Arial"/>
          <w:color w:val="333333"/>
          <w:sz w:val="22"/>
          <w:szCs w:val="22"/>
        </w:rPr>
        <w:t xml:space="preserve">ISO and IIA (Institute of Internal Auditors) guidance does not prescribe exact sample sizes for GRC control testing, but the following rule-of-thumb table is widely used in practice and will serve you well until you develop your own judgment: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Population Size</w:t>
            </w:r>
          </w:p>
        </w:tc>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Suggested Sample</w:t>
            </w:r>
          </w:p>
        </w:tc>
        <w:tc>
          <w:tcPr>
            <w:tcW w:type="dxa" w:w="26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c>
          <w:tcPr>
            <w:tcW w:type="dxa" w:w="26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Exceptions</w:t>
            </w:r>
          </w:p>
        </w:tc>
      </w:tr>
      <w:tr>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1 – 5 items</w:t>
            </w:r>
          </w:p>
        </w:tc>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All items (100%)</w:t>
            </w:r>
          </w:p>
        </w:tc>
        <w:tc>
          <w:tcPr>
            <w:tcW w:type="dxa" w:w="26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Population is too small to sample meaningfully. Review everything.</w:t>
            </w:r>
          </w:p>
        </w:tc>
        <w:tc>
          <w:tcPr>
            <w:tcW w:type="dxa" w:w="26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6 – 25 items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All or minimum 5</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Test all if feasible. If not, minimum 5.</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If prior audit had findings in this control, test all.</w:t>
            </w:r>
          </w:p>
        </w:tc>
      </w:tr>
      <w:tr>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26 – 100 items</w:t>
            </w:r>
          </w:p>
        </w:tc>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10 – 15 items</w:t>
            </w:r>
          </w:p>
        </w:tc>
        <w:tc>
          <w:tcPr>
            <w:tcW w:type="dxa" w:w="26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Representative sample. Ensure spread across the period (not all from Q1).</w:t>
            </w:r>
          </w:p>
        </w:tc>
        <w:tc>
          <w:tcPr>
            <w:tcW w:type="dxa" w:w="26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Increase sample if high risk or prior findings exist.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101 – 500 items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20 – 25 items</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Random sample with documented selection method.</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For critical controls, consider 30+.</w:t>
            </w:r>
          </w:p>
        </w:tc>
      </w:tr>
      <w:tr>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500+ items</w:t>
            </w:r>
          </w:p>
        </w:tc>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25 – 40 items</w:t>
            </w:r>
          </w:p>
        </w:tc>
        <w:tc>
          <w:tcPr>
            <w:tcW w:type="dxa" w:w="26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Sample size reaches a plateau where additional items yield diminishing returns.</w:t>
            </w:r>
          </w:p>
        </w:tc>
        <w:tc>
          <w:tcPr>
            <w:tcW w:type="dxa" w:w="26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Statistical sampling may be appropriate for very large populations in high-stakes audits.</w:t>
            </w:r>
          </w:p>
        </w:tc>
      </w:tr>
    </w:tbl>
    <w:p>
      <w:pPr>
        <w:spacing w:after="0" w:before="240"/>
      </w:pPr>
      <w:r>
        <w:rPr>
          <w:rFonts w:ascii="Arial" w:cs="Arial" w:eastAsia="Arial" w:hAnsi="Arial"/>
          <w:color w:val="333333"/>
          <w:sz w:val="22"/>
          <w:szCs w:val="22"/>
        </w:rPr>
        <w:t xml:space="preserve"/>
      </w:r>
    </w:p>
    <w:tbl>
      <w:tblPr>
        <w:tblW w:type="dxa" w:w="9360"/>
        <w:tblBorders>
          <w:top w:val="single" w:color="C8960C" w:sz="8"/>
          <w:left w:val="single" w:color="C8960C" w:sz="8"/>
          <w:bottom w:val="single" w:color="C8960C" w:sz="8"/>
          <w:right w:val="single" w:color="C8960C" w:sz="8"/>
          <w:insideH w:val="single" w:color="auto" w:sz="4"/>
          <w:insideV w:val="single" w:color="auto" w:sz="4"/>
        </w:tblBorders>
      </w:tblPr>
      <w:tblGrid>
        <w:gridCol w:w="200"/>
        <w:gridCol w:w="9160"/>
      </w:tblGrid>
      <w:tr>
        <w:tc>
          <w:tcPr>
            <w:tcW w:type="dxa" w:w="200"/>
            <w:tcBorders>
              <w:top w:val="nil"/>
              <w:left w:val="nil"/>
              <w:bottom w:val="nil"/>
              <w:right w:val="nil"/>
            </w:tcBorders>
            <w:shd w:fill="C8960C"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D6E4F0" w:val="clear"/>
            <w:tcMar>
              <w:top w:type="dxa" w:w="80"/>
              <w:left w:type="dxa" w:w="160"/>
              <w:bottom w:type="dxa" w:w="80"/>
              <w:right w:type="dxa" w:w="120"/>
            </w:tcMar>
          </w:tcPr>
          <w:p>
            <w:pPr>
              <w:spacing w:after="0" w:before="0"/>
            </w:pPr>
            <w:r>
              <w:rPr>
                <w:rFonts w:ascii="Arial" w:cs="Arial" w:eastAsia="Arial" w:hAnsi="Arial"/>
                <w:b/>
                <w:bCs/>
                <w:color w:val="1B3A6B"/>
                <w:sz w:val="22"/>
                <w:szCs w:val="22"/>
              </w:rPr>
              <w:t xml:space="preserve">Sample Spread Principle: </w:t>
            </w:r>
            <w:r>
              <w:rPr>
                <w:rFonts w:ascii="Arial" w:cs="Arial" w:eastAsia="Arial" w:hAnsi="Arial"/>
                <w:color w:val="333333"/>
                <w:sz w:val="22"/>
                <w:szCs w:val="22"/>
              </w:rPr>
              <w:t xml:space="preserve">Distribute your sample across the entire audit period. If you are testing monthly access reviews for a 12-month period and you pull 12 samples, take one from each month. Pulling all 12 from Q4 only tells you the control worked in Q4. It tells you nothing about Q1 through Q3.</w:t>
            </w:r>
          </w:p>
        </w:tc>
      </w:tr>
    </w:tbl>
    <w:p>
      <w:pPr>
        <w:pStyle w:val="Heading2"/>
        <w:shd w:fill="2E6DA4" w:val="clear"/>
        <w:spacing w:after="80" w:before="240"/>
        <w:ind w:left="120"/>
      </w:pPr>
      <w:r>
        <w:rPr>
          <w:rFonts w:ascii="Arial" w:cs="Arial" w:eastAsia="Arial" w:hAnsi="Arial"/>
          <w:b/>
          <w:bCs/>
          <w:color w:val="FFFFFF"/>
          <w:sz w:val="26"/>
          <w:szCs w:val="26"/>
        </w:rPr>
        <w:t xml:space="preserve">What to Do When You Find Exceptions in Your Sample</w:t>
      </w:r>
    </w:p>
    <w:p>
      <w:pPr>
        <w:spacing w:after="60" w:before="60"/>
      </w:pPr>
      <w:r>
        <w:rPr>
          <w:rFonts w:ascii="Arial" w:cs="Arial" w:eastAsia="Arial" w:hAnsi="Arial"/>
          <w:color w:val="333333"/>
          <w:sz w:val="22"/>
          <w:szCs w:val="22"/>
        </w:rPr>
        <w:t xml:space="preserve">An exception is a sample item that does not meet the expected result — a record that is missing, incomplete, incorrect, or untimely. Finding exceptions in your sample triggers a decision about whether to expand the sample or raise a finding.</w:t>
      </w:r>
    </w:p>
    <w:p>
      <w:pPr>
        <w:pStyle w:val="ListParagraph"/>
        <w:numPr>
          <w:ilvl w:val="0"/>
          <w:numId w:val="2"/>
        </w:numPr>
        <w:spacing w:after="40" w:before="40"/>
      </w:pPr>
      <w:r>
        <w:rPr>
          <w:rFonts w:ascii="Arial" w:cs="Arial" w:eastAsia="Arial" w:hAnsi="Arial"/>
          <w:color w:val="333333"/>
          <w:sz w:val="22"/>
          <w:szCs w:val="22"/>
        </w:rPr>
        <w:t xml:space="preserve">One exception in a sample of 25 — document the exception. Determine whether it is isolated or systemic. Consider expanding the sample by 5 to 10 items to see if additional exceptions appear.</w:t>
      </w:r>
    </w:p>
    <w:p>
      <w:pPr>
        <w:pStyle w:val="ListParagraph"/>
        <w:numPr>
          <w:ilvl w:val="0"/>
          <w:numId w:val="2"/>
        </w:numPr>
        <w:spacing w:after="40" w:before="40"/>
      </w:pPr>
      <w:r>
        <w:rPr>
          <w:rFonts w:ascii="Arial" w:cs="Arial" w:eastAsia="Arial" w:hAnsi="Arial"/>
          <w:color w:val="333333"/>
          <w:sz w:val="22"/>
          <w:szCs w:val="22"/>
        </w:rPr>
        <w:t xml:space="preserve">Two or more exceptions in a sample of 25 — this is a pattern. Expand the sample. The threshold for a reportable finding depends on risk level: for critical controls, even one exception may warrant a Minor Nonconformity.</w:t>
      </w:r>
    </w:p>
    <w:p>
      <w:pPr>
        <w:pStyle w:val="ListParagraph"/>
        <w:numPr>
          <w:ilvl w:val="0"/>
          <w:numId w:val="2"/>
        </w:numPr>
        <w:spacing w:after="40" w:before="40"/>
      </w:pPr>
      <w:r>
        <w:rPr>
          <w:rFonts w:ascii="Arial" w:cs="Arial" w:eastAsia="Arial" w:hAnsi="Arial"/>
          <w:color w:val="333333"/>
          <w:sz w:val="22"/>
          <w:szCs w:val="22"/>
        </w:rPr>
        <w:t xml:space="preserve">Exceptions in all items reviewed — stop testing this control. You have sufficient evidence of a control failure. Document what you found, move to finding classification, and do not waste time continuing to sample what is clearly broken.</w:t>
      </w:r>
    </w:p>
    <w:tbl>
      <w:tblPr>
        <w:tblW w:type="dxa" w:w="9360"/>
        <w:tblBorders>
          <w:top w:val="single" w:color="8B1A1A" w:sz="8"/>
          <w:left w:val="single" w:color="8B1A1A" w:sz="8"/>
          <w:bottom w:val="single" w:color="8B1A1A" w:sz="8"/>
          <w:right w:val="single" w:color="8B1A1A" w:sz="8"/>
          <w:insideH w:val="single" w:color="auto" w:sz="4"/>
          <w:insideV w:val="single" w:color="auto" w:sz="4"/>
        </w:tblBorders>
      </w:tblPr>
      <w:tblGrid>
        <w:gridCol w:w="200"/>
        <w:gridCol w:w="9160"/>
      </w:tblGrid>
      <w:tr>
        <w:tc>
          <w:tcPr>
            <w:tcW w:type="dxa" w:w="200"/>
            <w:tcBorders>
              <w:top w:val="nil"/>
              <w:left w:val="nil"/>
              <w:bottom w:val="nil"/>
              <w:right w:val="nil"/>
            </w:tcBorders>
            <w:shd w:fill="8B1A1A"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FDF2F2" w:val="clear"/>
            <w:tcMar>
              <w:top w:type="dxa" w:w="80"/>
              <w:left w:type="dxa" w:w="160"/>
              <w:bottom w:type="dxa" w:w="80"/>
              <w:right w:type="dxa" w:w="120"/>
            </w:tcMar>
          </w:tcPr>
          <w:p>
            <w:pPr>
              <w:spacing w:after="0" w:before="0"/>
            </w:pPr>
            <w:r>
              <w:rPr>
                <w:rFonts w:ascii="Arial" w:cs="Arial" w:eastAsia="Arial" w:hAnsi="Arial"/>
                <w:b/>
                <w:bCs/>
                <w:color w:val="8B1A1A"/>
                <w:sz w:val="22"/>
                <w:szCs w:val="22"/>
              </w:rPr>
              <w:t xml:space="preserve">Do Not Average Away Exceptions: </w:t>
            </w:r>
            <w:r>
              <w:rPr>
                <w:rFonts w:ascii="Arial" w:cs="Arial" w:eastAsia="Arial" w:hAnsi="Arial"/>
                <w:color w:val="333333"/>
                <w:sz w:val="22"/>
                <w:szCs w:val="22"/>
              </w:rPr>
              <w:t xml:space="preserve">Never rationalize an exception by saying 'well, 24 out of 25 were fine, so the control is working.' One access review that was not conducted means one period where unauthorized access could have gone undetected. In high-risk controls, a single exception may be a reportable finding. Risk level determines the threshold — not the exception rate alone.</w:t>
            </w:r>
          </w:p>
        </w:tc>
      </w:tr>
    </w:tbl>
    <w:p>
      <w:pPr>
        <w:pBdr>
          <w:bottom w:val="single" w:color="D6E4F0" w:sz="6"/>
        </w:pBdr>
        <w:spacing w:after="120" w:before="120"/>
      </w:pPr>
      <w:r>
        <w:rPr>
          <w:rFonts w:ascii="Arial" w:cs="Arial" w:eastAsia="Arial" w:hAnsi="Arial"/>
          <w:color w:val="333333"/>
          <w:sz w:val="22"/>
          <w:szCs w:val="22"/>
        </w:rPr>
        <w:t xml:space="preserve"/>
      </w:r>
    </w:p>
    <w:p>
      <w:r>
        <w:br/>
      </w:r>
    </w:p>
    <w:p>
      <w:pPr>
        <w:pStyle w:val="Heading1"/>
        <w:pBdr>
          <w:bottom w:val="single" w:color="C8960C" w:sz="8"/>
        </w:pBdr>
        <w:shd w:fill="1B3A6B" w:val="clear"/>
        <w:spacing w:after="120" w:before="360"/>
        <w:ind w:left="180" w:right="180"/>
      </w:pPr>
      <w:r>
        <w:rPr>
          <w:rFonts w:ascii="Arial" w:cs="Arial" w:eastAsia="Arial" w:hAnsi="Arial"/>
          <w:b/>
          <w:bCs/>
          <w:color w:val="FFFFFF"/>
          <w:sz w:val="32"/>
          <w:szCs w:val="32"/>
        </w:rPr>
        <w:t xml:space="preserve">Chapter 4: Finding Classification — Severity Matters</w:t>
      </w:r>
    </w:p>
    <w:p>
      <w:pPr>
        <w:spacing w:after="60" w:before="60"/>
      </w:pPr>
      <w:r>
        <w:rPr>
          <w:rFonts w:ascii="Arial" w:cs="Arial" w:eastAsia="Arial" w:hAnsi="Arial"/>
          <w:color w:val="333333"/>
          <w:sz w:val="22"/>
          <w:szCs w:val="22"/>
        </w:rPr>
        <w:t xml:space="preserve">Not every gap is equal. A missing policy header is not in the same category as an absence of any risk assessment process. Finding classification is the mechanism by which you communicate severity — it tells management, the certification body, and the auditee how urgently they need to act.</w:t>
      </w:r>
    </w:p>
    <w:p>
      <w:pPr>
        <w:spacing w:after="60" w:before="60"/>
      </w:pPr>
      <w:r>
        <w:rPr>
          <w:rFonts w:ascii="Arial" w:cs="Arial" w:eastAsia="Arial" w:hAnsi="Arial"/>
          <w:color w:val="333333"/>
          <w:sz w:val="22"/>
          <w:szCs w:val="22"/>
        </w:rPr>
        <w:t xml:space="preserve">The classification system used in ISO 27001 and ISO 42001 certification audits is the standard in GRC. Learn it. Even when you are not conducting a certification audit, using this classification system gives your findings clarity and professional credibility.</w:t>
      </w:r>
    </w:p>
    <w:p>
      <w:pPr>
        <w:spacing w:after="60" w:before="60"/>
      </w:pPr>
      <w:r>
        <w:rPr>
          <w:rFonts w:ascii="Arial" w:cs="Arial" w:eastAsia="Arial" w:hAnsi="Arial"/>
          <w:b/>
          <w:bCs/>
          <w:color w:val="1B3A6B"/>
          <w:sz w:val="22"/>
          <w:szCs w:val="22"/>
        </w:rPr>
        <w:t xml:space="preserve">Key Term — Gap Assessment: </w:t>
      </w:r>
      <w:r>
        <w:rPr>
          <w:rFonts w:ascii="Arial" w:cs="Arial" w:eastAsia="Arial" w:hAnsi="Arial"/>
          <w:color w:val="333333"/>
          <w:sz w:val="22"/>
          <w:szCs w:val="22"/>
        </w:rPr>
        <w:t xml:space="preserve">A gap assessment (also called a gap analysis) is a structured comparison of an organization’s current state against a required state defined by a standard, regulation, or policy. Where an audit produces a formal finding, a gap assessment produces a gap — the difference between where the organization is and where it needs to be. Gap assessments are commonly used in pre-audit preparation, framework implementation projects, and readiness reviews. As a GRC analyst, you will often conduct both: a gap assessment to identify what needs to be built, and an audit to verify it was built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80"/>
        <w:gridCol w:w="2080"/>
      </w:tblGrid>
      <w:tr>
        <w:trPr>
          <w:tblHeader/>
        </w:trP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Classification</w:t>
            </w:r>
          </w:p>
        </w:tc>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Definition</w:t>
            </w:r>
          </w:p>
        </w:tc>
        <w:tc>
          <w:tcPr>
            <w:tcW w:type="dxa" w:w="24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Examples</w:t>
            </w:r>
          </w:p>
        </w:tc>
        <w:tc>
          <w:tcPr>
            <w:tcW w:type="dxa" w:w="20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Consequence in Cert Audit</w:t>
            </w:r>
          </w:p>
        </w:tc>
      </w:tr>
      <w:tr>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Major Nonconformity</w:t>
            </w:r>
          </w:p>
        </w:tc>
        <w:tc>
          <w:tcPr>
            <w:tcW w:type="dxa" w:w="2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 failure to implement a required control or process, OR a pattern of minor failures so pervasive it constitutes a systemic breakdown. A significant risk that the management system is failing.</w:t>
            </w:r>
          </w:p>
        </w:tc>
        <w:tc>
          <w:tcPr>
            <w:tcW w:type="dxa" w:w="24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No risk assessment process exists. No documented ISMS scope. Complete absence of AI system lifecycle controls. Multiple minor nonconformities in the same process area.</w:t>
            </w:r>
          </w:p>
        </w:tc>
        <w:tc>
          <w:tcPr>
            <w:tcW w:type="dxa" w:w="20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Certification cannot be granted or is suspended. Must be resolved and verified before certificate is issued or reinstated.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Minor Nonconformity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 single lapse or isolated gap in an otherwise functioning control. The control exists and generally operates, but failed in a specific instance or is partially implemented.</w:t>
            </w:r>
          </w:p>
        </w:tc>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Risk assessment not conducted for one new asset. One AI system missing lifecycle stage-gate approval. One access review conducted 5 days late.</w:t>
            </w:r>
          </w:p>
        </w:tc>
        <w:tc>
          <w:tcPr>
            <w:tcW w:type="dxa" w:w="2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Certification may proceed. Corrective Action Record (CAR) required. Evidence of correction verified at next surveillance audit.</w:t>
            </w:r>
          </w:p>
        </w:tc>
      </w:tr>
      <w:tr>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Observation / Opportunity for Improvement</w:t>
            </w:r>
          </w:p>
        </w:tc>
        <w:tc>
          <w:tcPr>
            <w:tcW w:type="dxa" w:w="2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 weakness that does not rise to a nonconformity but, if unaddressed, may develop into one. May also reflect a practice that works but could be strengthened.</w:t>
            </w:r>
          </w:p>
        </w:tc>
        <w:tc>
          <w:tcPr>
            <w:tcW w:type="dxa" w:w="24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Risk assessment methodology is sound but documentation templates are inconsistent. Training is conducted but completion tracking is informal.</w:t>
            </w:r>
          </w:p>
        </w:tc>
        <w:tc>
          <w:tcPr>
            <w:tcW w:type="dxa" w:w="208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No impact on certification. Documented in report. Auditee encouraged but not required to address.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Positive Finding / Conformity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 control or process observed to be operating effectively and worth acknowledging.</w:t>
            </w:r>
          </w:p>
        </w:tc>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Mature AI governance committee with documented meeting cadence. Exemplary DPIA process with clear templates and sign-off workflow.</w:t>
            </w:r>
          </w:p>
        </w:tc>
        <w:tc>
          <w:tcPr>
            <w:tcW w:type="dxa" w:w="2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Noted in report to provide balanced view. Not required in all audit programs but recommended.</w:t>
            </w:r>
          </w:p>
        </w:tc>
      </w:tr>
    </w:tbl>
    <w:p>
      <w:pPr>
        <w:spacing w:after="0" w:before="240"/>
      </w:pPr>
      <w:r>
        <w:rPr>
          <w:rFonts w:ascii="Arial" w:cs="Arial" w:eastAsia="Arial" w:hAnsi="Arial"/>
          <w:color w:val="333333"/>
          <w:sz w:val="22"/>
          <w:szCs w:val="22"/>
        </w:rPr>
        <w:t xml:space="preserve"/>
      </w:r>
    </w:p>
    <w:p>
      <w:pPr>
        <w:pStyle w:val="Heading2"/>
        <w:shd w:fill="2E6DA4" w:val="clear"/>
        <w:spacing w:after="80" w:before="240"/>
        <w:ind w:left="120"/>
      </w:pPr>
      <w:r>
        <w:rPr>
          <w:rFonts w:ascii="Arial" w:cs="Arial" w:eastAsia="Arial" w:hAnsi="Arial"/>
          <w:b/>
          <w:bCs/>
          <w:color w:val="FFFFFF"/>
          <w:sz w:val="26"/>
          <w:szCs w:val="26"/>
        </w:rPr>
        <w:t xml:space="preserve">How to Classify: The Decision Framework</w:t>
      </w:r>
    </w:p>
    <w:p>
      <w:pPr>
        <w:spacing w:after="60" w:before="60"/>
      </w:pPr>
      <w:r>
        <w:rPr>
          <w:rFonts w:ascii="Arial" w:cs="Arial" w:eastAsia="Arial" w:hAnsi="Arial"/>
          <w:color w:val="333333"/>
          <w:sz w:val="22"/>
          <w:szCs w:val="22"/>
        </w:rPr>
        <w:t xml:space="preserve">When you identify a gap during fieldwork, work through these questions in order to arrive at the right classification:</w:t>
      </w:r>
    </w:p>
    <w:p>
      <w:pPr>
        <w:pStyle w:val="ListParagraph"/>
        <w:numPr>
          <w:ilvl w:val="0"/>
          <w:numId w:val="3"/>
        </w:numPr>
        <w:spacing w:after="40" w:before="40"/>
      </w:pPr>
      <w:r>
        <w:rPr>
          <w:rFonts w:ascii="Arial" w:cs="Arial" w:eastAsia="Arial" w:hAnsi="Arial"/>
          <w:color w:val="333333"/>
          <w:sz w:val="22"/>
          <w:szCs w:val="22"/>
        </w:rPr>
        <w:t xml:space="preserve">Is the requirement mandatory under the audit criteria? If no, it cannot be a nonconformity — at most it is an Observation.</w:t>
      </w:r>
    </w:p>
    <w:p>
      <w:pPr>
        <w:pStyle w:val="ListParagraph"/>
        <w:numPr>
          <w:ilvl w:val="0"/>
          <w:numId w:val="3"/>
        </w:numPr>
        <w:spacing w:after="40" w:before="40"/>
      </w:pPr>
      <w:r>
        <w:rPr>
          <w:rFonts w:ascii="Arial" w:cs="Arial" w:eastAsia="Arial" w:hAnsi="Arial"/>
          <w:color w:val="333333"/>
          <w:sz w:val="22"/>
          <w:szCs w:val="22"/>
        </w:rPr>
        <w:t xml:space="preserve">Does the required control or process exist at all? If no, this is likely a Major Nonconformity.</w:t>
      </w:r>
    </w:p>
    <w:p>
      <w:pPr>
        <w:pStyle w:val="ListParagraph"/>
        <w:numPr>
          <w:ilvl w:val="0"/>
          <w:numId w:val="3"/>
        </w:numPr>
        <w:spacing w:after="40" w:before="40"/>
      </w:pPr>
      <w:r>
        <w:rPr>
          <w:rFonts w:ascii="Arial" w:cs="Arial" w:eastAsia="Arial" w:hAnsi="Arial"/>
          <w:color w:val="333333"/>
          <w:sz w:val="22"/>
          <w:szCs w:val="22"/>
        </w:rPr>
        <w:t xml:space="preserve">Does the control exist but with gaps in implementation? If yes, assess the scope of the gap. Is it isolated (one instance) or pervasive (multiple instances, systemic failure)?</w:t>
      </w:r>
    </w:p>
    <w:p>
      <w:pPr>
        <w:pStyle w:val="ListParagraph"/>
        <w:numPr>
          <w:ilvl w:val="0"/>
          <w:numId w:val="3"/>
        </w:numPr>
        <w:spacing w:after="40" w:before="40"/>
      </w:pPr>
      <w:r>
        <w:rPr>
          <w:rFonts w:ascii="Arial" w:cs="Arial" w:eastAsia="Arial" w:hAnsi="Arial"/>
          <w:color w:val="333333"/>
          <w:sz w:val="22"/>
          <w:szCs w:val="22"/>
        </w:rPr>
        <w:t xml:space="preserve">Isolated gap in an otherwise functioning control = Minor Nonconformity.</w:t>
      </w:r>
    </w:p>
    <w:p>
      <w:pPr>
        <w:pStyle w:val="ListParagraph"/>
        <w:numPr>
          <w:ilvl w:val="0"/>
          <w:numId w:val="3"/>
        </w:numPr>
        <w:spacing w:after="40" w:before="40"/>
      </w:pPr>
      <w:r>
        <w:rPr>
          <w:rFonts w:ascii="Arial" w:cs="Arial" w:eastAsia="Arial" w:hAnsi="Arial"/>
          <w:color w:val="333333"/>
          <w:sz w:val="22"/>
          <w:szCs w:val="22"/>
        </w:rPr>
        <w:t xml:space="preserve">Pervasive gaps or pattern across multiple instances = escalate to Major Nonconformity.</w:t>
      </w:r>
    </w:p>
    <w:p>
      <w:pPr>
        <w:pStyle w:val="ListParagraph"/>
        <w:numPr>
          <w:ilvl w:val="0"/>
          <w:numId w:val="3"/>
        </w:numPr>
        <w:spacing w:after="40" w:before="40"/>
      </w:pPr>
      <w:r>
        <w:rPr>
          <w:rFonts w:ascii="Arial" w:cs="Arial" w:eastAsia="Arial" w:hAnsi="Arial"/>
          <w:color w:val="333333"/>
          <w:sz w:val="22"/>
          <w:szCs w:val="22"/>
        </w:rPr>
        <w:t xml:space="preserve">If the gap is real but the risk is low and the control is broadly effective = Observation.</w:t>
      </w:r>
    </w:p>
    <w:tbl>
      <w:tblPr>
        <w:tblW w:type="dxa" w:w="9360"/>
        <w:tblBorders>
          <w:top w:val="single" w:color="C8960C" w:sz="8"/>
          <w:left w:val="single" w:color="C8960C" w:sz="8"/>
          <w:bottom w:val="single" w:color="C8960C" w:sz="8"/>
          <w:right w:val="single" w:color="C8960C" w:sz="8"/>
          <w:insideH w:val="single" w:color="auto" w:sz="4"/>
          <w:insideV w:val="single" w:color="auto" w:sz="4"/>
        </w:tblBorders>
      </w:tblPr>
      <w:tblGrid>
        <w:gridCol w:w="200"/>
        <w:gridCol w:w="9160"/>
      </w:tblGrid>
      <w:tr>
        <w:tc>
          <w:tcPr>
            <w:tcW w:type="dxa" w:w="200"/>
            <w:tcBorders>
              <w:top w:val="nil"/>
              <w:left w:val="nil"/>
              <w:bottom w:val="nil"/>
              <w:right w:val="nil"/>
            </w:tcBorders>
            <w:shd w:fill="C8960C"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D6E4F0" w:val="clear"/>
            <w:tcMar>
              <w:top w:type="dxa" w:w="80"/>
              <w:left w:type="dxa" w:w="160"/>
              <w:bottom w:type="dxa" w:w="80"/>
              <w:right w:type="dxa" w:w="120"/>
            </w:tcMar>
          </w:tcPr>
          <w:p>
            <w:pPr>
              <w:spacing w:after="0" w:before="0"/>
            </w:pPr>
            <w:r>
              <w:rPr>
                <w:rFonts w:ascii="Arial" w:cs="Arial" w:eastAsia="Arial" w:hAnsi="Arial"/>
                <w:b/>
                <w:bCs/>
                <w:color w:val="1B3A6B"/>
                <w:sz w:val="22"/>
                <w:szCs w:val="22"/>
              </w:rPr>
              <w:t xml:space="preserve">Classification Calibration: </w:t>
            </w:r>
            <w:r>
              <w:rPr>
                <w:rFonts w:ascii="Arial" w:cs="Arial" w:eastAsia="Arial" w:hAnsi="Arial"/>
                <w:color w:val="333333"/>
                <w:sz w:val="22"/>
                <w:szCs w:val="22"/>
              </w:rPr>
              <w:t xml:space="preserve">When in doubt, discuss the classification with your audit team lead before the closing meeting. Classification decisions should never be made unilaterally by the most junior member of the team. Getting classification wrong — in either direction — is one of the most credibility-damaging mistakes an auditor can make. Over-classifying minor gaps as Major erodes trust. Under-classifying systemic failures as Observations is negligence.</w:t>
            </w:r>
          </w:p>
        </w:tc>
      </w:tr>
    </w:tbl>
    <w:p>
      <w:pPr>
        <w:pStyle w:val="Heading2"/>
        <w:shd w:fill="2E6DA4" w:val="clear"/>
        <w:spacing w:after="80" w:before="240"/>
        <w:ind w:left="120"/>
      </w:pPr>
      <w:r>
        <w:rPr>
          <w:rFonts w:ascii="Arial" w:cs="Arial" w:eastAsia="Arial" w:hAnsi="Arial"/>
          <w:b/>
          <w:bCs/>
          <w:color w:val="FFFFFF"/>
          <w:sz w:val="26"/>
          <w:szCs w:val="26"/>
        </w:rPr>
        <w:t xml:space="preserve">The Corrective Action Record (CAR)</w:t>
      </w:r>
    </w:p>
    <w:p>
      <w:pPr>
        <w:spacing w:after="60" w:before="60"/>
      </w:pPr>
      <w:r>
        <w:rPr>
          <w:rFonts w:ascii="Arial" w:cs="Arial" w:eastAsia="Arial" w:hAnsi="Arial"/>
          <w:color w:val="333333"/>
          <w:sz w:val="22"/>
          <w:szCs w:val="22"/>
        </w:rPr>
        <w:t xml:space="preserve">Every Nonconformity — Major or Minor — requires a Corrective Action Record (CAR). The CAR is not just an action item list. It is a structured document that captures: the finding, the root cause, the corrective action planned, the person responsible, the target completion date, and the evidence of completion.</w:t>
      </w:r>
    </w:p>
    <w:p>
      <w:pPr>
        <w:spacing w:after="60" w:before="60"/>
      </w:pPr>
      <w:r>
        <w:rPr>
          <w:rFonts w:ascii="Arial" w:cs="Arial" w:eastAsia="Arial" w:hAnsi="Arial"/>
          <w:color w:val="333333"/>
          <w:sz w:val="22"/>
          <w:szCs w:val="22"/>
        </w:rPr>
        <w:t xml:space="preserve">As the auditor, you do not write the CAR — the auditee does. Your job is to review the CAR for adequacy: Does the proposed corrective action actually address the root cause? Is the timeline realistic? Is the evidence of completion verifiable?</w:t>
      </w:r>
    </w:p>
    <w:tbl>
      <w:tblPr>
        <w:tblW w:type="dxa" w:w="9360"/>
        <w:tblBorders>
          <w:top w:val="single" w:color="8B1A1A" w:sz="8"/>
          <w:left w:val="single" w:color="8B1A1A" w:sz="8"/>
          <w:bottom w:val="single" w:color="8B1A1A" w:sz="8"/>
          <w:right w:val="single" w:color="8B1A1A" w:sz="8"/>
          <w:insideH w:val="single" w:color="auto" w:sz="4"/>
          <w:insideV w:val="single" w:color="auto" w:sz="4"/>
        </w:tblBorders>
      </w:tblPr>
      <w:tblGrid>
        <w:gridCol w:w="200"/>
        <w:gridCol w:w="9160"/>
      </w:tblGrid>
      <w:tr>
        <w:tc>
          <w:tcPr>
            <w:tcW w:type="dxa" w:w="200"/>
            <w:tcBorders>
              <w:top w:val="nil"/>
              <w:left w:val="nil"/>
              <w:bottom w:val="nil"/>
              <w:right w:val="nil"/>
            </w:tcBorders>
            <w:shd w:fill="8B1A1A"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FDF2F2" w:val="clear"/>
            <w:tcMar>
              <w:top w:type="dxa" w:w="80"/>
              <w:left w:type="dxa" w:w="160"/>
              <w:bottom w:type="dxa" w:w="80"/>
              <w:right w:type="dxa" w:w="120"/>
            </w:tcMar>
          </w:tcPr>
          <w:p>
            <w:pPr>
              <w:spacing w:after="0" w:before="0"/>
            </w:pPr>
            <w:r>
              <w:rPr>
                <w:rFonts w:ascii="Arial" w:cs="Arial" w:eastAsia="Arial" w:hAnsi="Arial"/>
                <w:b/>
                <w:bCs/>
                <w:color w:val="8B1A1A"/>
                <w:sz w:val="22"/>
                <w:szCs w:val="22"/>
              </w:rPr>
              <w:t xml:space="preserve">Surface Fix vs. Root Cause Fix: </w:t>
            </w:r>
            <w:r>
              <w:rPr>
                <w:rFonts w:ascii="Arial" w:cs="Arial" w:eastAsia="Arial" w:hAnsi="Arial"/>
                <w:color w:val="333333"/>
                <w:sz w:val="22"/>
                <w:szCs w:val="22"/>
              </w:rPr>
              <w:t xml:space="preserve">A corrective action that only fixes the symptom will fail at the next audit. If the finding is 'access review not conducted for three accounts,' the surface fix is conducting those three reviews. The root cause fix addresses why the reviews were missed — was there no reminder process? No accountability? No documented procedure? The CAR must address the root cause, not just the symptom.</w:t>
            </w:r>
          </w:p>
        </w:tc>
      </w:tr>
    </w:tbl>
    <w:p>
      <w:pPr>
        <w:pBdr>
          <w:bottom w:val="single" w:color="D6E4F0" w:sz="6"/>
        </w:pBdr>
        <w:spacing w:after="120" w:before="120"/>
      </w:pPr>
      <w:r>
        <w:rPr>
          <w:rFonts w:ascii="Arial" w:cs="Arial" w:eastAsia="Arial" w:hAnsi="Arial"/>
          <w:color w:val="333333"/>
          <w:sz w:val="22"/>
          <w:szCs w:val="22"/>
        </w:rPr>
        <w:t xml:space="preserve"/>
      </w:r>
    </w:p>
    <w:p>
      <w:r>
        <w:br/>
      </w:r>
    </w:p>
    <w:p>
      <w:pPr>
        <w:pStyle w:val="Heading1"/>
        <w:pBdr>
          <w:bottom w:val="single" w:color="C8960C" w:sz="8"/>
        </w:pBdr>
        <w:shd w:fill="1B3A6B" w:val="clear"/>
        <w:spacing w:after="120" w:before="360"/>
        <w:ind w:left="180" w:right="180"/>
      </w:pPr>
      <w:r>
        <w:rPr>
          <w:rFonts w:ascii="Arial" w:cs="Arial" w:eastAsia="Arial" w:hAnsi="Arial"/>
          <w:b/>
          <w:bCs/>
          <w:color w:val="FFFFFF"/>
          <w:sz w:val="32"/>
          <w:szCs w:val="32"/>
        </w:rPr>
        <w:t xml:space="preserve">Chapter 5: Root Cause Analysis — Fix the System, Not Just the Symptom</w:t>
      </w:r>
    </w:p>
    <w:p>
      <w:pPr>
        <w:spacing w:after="60" w:before="60"/>
      </w:pPr>
      <w:r>
        <w:rPr>
          <w:rFonts w:ascii="Arial" w:cs="Arial" w:eastAsia="Arial" w:hAnsi="Arial"/>
          <w:color w:val="333333"/>
          <w:sz w:val="22"/>
          <w:szCs w:val="22"/>
        </w:rPr>
        <w:t xml:space="preserve">Root cause analysis (RCA) is the discipline of understanding why a control failed — not just that it failed. Every corrective action you ever review as an auditor should be traceable to a root cause. If it is not, the same failure will appear at the next audit.</w:t>
      </w:r>
    </w:p>
    <w:p>
      <w:pPr>
        <w:spacing w:after="60" w:before="60"/>
      </w:pPr>
      <w:r>
        <w:rPr>
          <w:rFonts w:ascii="Arial" w:cs="Arial" w:eastAsia="Arial" w:hAnsi="Arial"/>
          <w:color w:val="333333"/>
          <w:sz w:val="22"/>
          <w:szCs w:val="22"/>
        </w:rPr>
        <w:t xml:space="preserve">As a GRC auditor, you need to understand RCA for two reasons: (1) you need to review CAR submissions to determine whether the proposed corrective action actually addresses the root cause; and (2) your findings should be written with enough specificity to point toward root causes, not just symptoms.</w:t>
      </w:r>
    </w:p>
    <w:p>
      <w:pPr>
        <w:pStyle w:val="Heading2"/>
        <w:shd w:fill="2E6DA4" w:val="clear"/>
        <w:spacing w:after="80" w:before="240"/>
        <w:ind w:left="120"/>
      </w:pPr>
      <w:r>
        <w:rPr>
          <w:rFonts w:ascii="Arial" w:cs="Arial" w:eastAsia="Arial" w:hAnsi="Arial"/>
          <w:b/>
          <w:bCs/>
          <w:color w:val="FFFFFF"/>
          <w:sz w:val="26"/>
          <w:szCs w:val="26"/>
        </w:rPr>
        <w:t xml:space="preserve">The Five Whys Technique</w:t>
      </w:r>
    </w:p>
    <w:p>
      <w:pPr>
        <w:spacing w:after="60" w:before="60"/>
      </w:pPr>
      <w:r>
        <w:rPr>
          <w:rFonts w:ascii="Arial" w:cs="Arial" w:eastAsia="Arial" w:hAnsi="Arial"/>
          <w:color w:val="333333"/>
          <w:sz w:val="22"/>
          <w:szCs w:val="22"/>
        </w:rPr>
        <w:t xml:space="preserve">The Five Whys is the simplest and most widely used root cause technique. Ask 'why' repeatedly until you reach the underlying systemic cause. The number five is not a rule — you stop when you reach a cause that, if fixed, would prevent recurrence.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 #</w:t>
            </w:r>
          </w:p>
        </w:tc>
        <w:tc>
          <w:tcPr>
            <w:tcW w:type="dxa" w:w="8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Response</w:t>
            </w:r>
          </w:p>
        </w:tc>
      </w:tr>
      <w:tr>
        <w:tc>
          <w:tcPr>
            <w:tcW w:type="dxa" w:w="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Finding:</w:t>
            </w:r>
          </w:p>
        </w:tc>
        <w:tc>
          <w:tcPr>
            <w:tcW w:type="dxa" w:w="85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The DPIA for AI System X was not completed before processing began.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Why 1</w:t>
            </w:r>
          </w:p>
        </w:tc>
        <w:tc>
          <w:tcPr>
            <w:tcW w:type="dxa" w:w="8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The project team did not know a DPIA was required. → Why?</w:t>
            </w:r>
          </w:p>
        </w:tc>
      </w:tr>
      <w:tr>
        <w:tc>
          <w:tcPr>
            <w:tcW w:type="dxa" w:w="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Why 2</w:t>
            </w:r>
          </w:p>
        </w:tc>
        <w:tc>
          <w:tcPr>
            <w:tcW w:type="dxa" w:w="85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There was no process to identify whether new AI projects triggered DPIA requirements. → Why?</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Why 3</w:t>
            </w:r>
          </w:p>
        </w:tc>
        <w:tc>
          <w:tcPr>
            <w:tcW w:type="dxa" w:w="8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The Data Protection Officer was not included in the AI project intake process. → Why?</w:t>
            </w:r>
          </w:p>
        </w:tc>
      </w:tr>
      <w:tr>
        <w:tc>
          <w:tcPr>
            <w:tcW w:type="dxa" w:w="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Why 4</w:t>
            </w:r>
          </w:p>
        </w:tc>
        <w:tc>
          <w:tcPr>
            <w:tcW w:type="dxa" w:w="85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There was no formal AI project intake process — projects started informally without a review gate. → Why?</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Why 5 (Root Cause):</w:t>
            </w:r>
          </w:p>
        </w:tc>
        <w:tc>
          <w:tcPr>
            <w:tcW w:type="dxa" w:w="8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AI governance was treated as a post-deployment activity rather than a pre-deployment requirement. No project gate-keeping process existed to evaluate GDPR and EU AI Act obligations before work began.</w:t>
            </w:r>
          </w:p>
        </w:tc>
      </w:tr>
      <w:tr>
        <w:tc>
          <w:tcPr>
            <w:tcW w:type="dxa" w:w="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Correct Fix:</w:t>
            </w:r>
          </w:p>
        </w:tc>
        <w:tc>
          <w:tcPr>
            <w:tcW w:type="dxa" w:w="85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Implement a mandatory AI Project Intake process with a DPIA screening checklist. DPO sign-off required before project proceeds to development. Not just 'conduct the missing DPIA for Project X.'</w:t>
            </w:r>
          </w:p>
        </w:tc>
      </w:tr>
    </w:tbl>
    <w:p>
      <w:pPr>
        <w:spacing w:after="0" w:before="240"/>
      </w:pPr>
      <w:r>
        <w:rPr>
          <w:rFonts w:ascii="Arial" w:cs="Arial" w:eastAsia="Arial" w:hAnsi="Arial"/>
          <w:color w:val="333333"/>
          <w:sz w:val="22"/>
          <w:szCs w:val="22"/>
        </w:rPr>
        <w:t xml:space="preserve"/>
      </w:r>
    </w:p>
    <w:p>
      <w:pPr>
        <w:pStyle w:val="Heading2"/>
        <w:shd w:fill="2E6DA4" w:val="clear"/>
        <w:spacing w:after="80" w:before="240"/>
        <w:ind w:left="120"/>
      </w:pPr>
      <w:r>
        <w:rPr>
          <w:rFonts w:ascii="Arial" w:cs="Arial" w:eastAsia="Arial" w:hAnsi="Arial"/>
          <w:b/>
          <w:bCs/>
          <w:color w:val="FFFFFF"/>
          <w:sz w:val="26"/>
          <w:szCs w:val="26"/>
        </w:rPr>
        <w:t xml:space="preserve">Common Root Cause Categories in GRC Audits</w:t>
      </w:r>
    </w:p>
    <w:p>
      <w:pPr>
        <w:spacing w:after="60" w:before="60"/>
      </w:pPr>
      <w:r>
        <w:rPr>
          <w:rFonts w:ascii="Arial" w:cs="Arial" w:eastAsia="Arial" w:hAnsi="Arial"/>
          <w:color w:val="333333"/>
          <w:sz w:val="22"/>
          <w:szCs w:val="22"/>
        </w:rPr>
        <w:t xml:space="preserve">After enough audits, you start to see patterns. Most control failures trace back to one of six root cause categories. Recognizing these patterns helps you identify root causes faster and helps you evaluate whether a proposed corrective action is actually adequate:</w:t>
      </w:r>
    </w:p>
    <w:p>
      <w:pPr>
        <w:pStyle w:val="ListParagraph"/>
        <w:numPr>
          <w:ilvl w:val="0"/>
          <w:numId w:val="2"/>
        </w:numPr>
        <w:spacing w:after="40" w:before="40"/>
      </w:pPr>
      <w:r>
        <w:rPr>
          <w:rFonts w:ascii="Arial" w:cs="Arial" w:eastAsia="Arial" w:hAnsi="Arial"/>
          <w:color w:val="333333"/>
          <w:sz w:val="22"/>
          <w:szCs w:val="22"/>
        </w:rPr>
        <w:t xml:space="preserve">No Policy or Procedure — The control was never formally required. Fix: create the requirement.</w:t>
      </w:r>
    </w:p>
    <w:p>
      <w:pPr>
        <w:pStyle w:val="ListParagraph"/>
        <w:numPr>
          <w:ilvl w:val="0"/>
          <w:numId w:val="2"/>
        </w:numPr>
        <w:spacing w:after="40" w:before="40"/>
      </w:pPr>
      <w:r>
        <w:rPr>
          <w:rFonts w:ascii="Arial" w:cs="Arial" w:eastAsia="Arial" w:hAnsi="Arial"/>
          <w:color w:val="333333"/>
          <w:sz w:val="22"/>
          <w:szCs w:val="22"/>
        </w:rPr>
        <w:t xml:space="preserve">Policy Exists But Not Followed — The requirement exists but staff are not aware of it or it is not enforced. Fix: training, accountability mechanisms, monitoring.</w:t>
      </w:r>
    </w:p>
    <w:p>
      <w:pPr>
        <w:pStyle w:val="ListParagraph"/>
        <w:numPr>
          <w:ilvl w:val="0"/>
          <w:numId w:val="2"/>
        </w:numPr>
        <w:spacing w:after="40" w:before="40"/>
      </w:pPr>
      <w:r>
        <w:rPr>
          <w:rFonts w:ascii="Arial" w:cs="Arial" w:eastAsia="Arial" w:hAnsi="Arial"/>
          <w:color w:val="333333"/>
          <w:sz w:val="22"/>
          <w:szCs w:val="22"/>
        </w:rPr>
        <w:t xml:space="preserve">Policy Outdated — The requirement existed but the organization evolved and the policy was not updated. Fix: policy review cycle and ownership.</w:t>
      </w:r>
    </w:p>
    <w:p>
      <w:pPr>
        <w:pStyle w:val="ListParagraph"/>
        <w:numPr>
          <w:ilvl w:val="0"/>
          <w:numId w:val="2"/>
        </w:numPr>
        <w:spacing w:after="40" w:before="40"/>
      </w:pPr>
      <w:r>
        <w:rPr>
          <w:rFonts w:ascii="Arial" w:cs="Arial" w:eastAsia="Arial" w:hAnsi="Arial"/>
          <w:color w:val="333333"/>
          <w:sz w:val="22"/>
          <w:szCs w:val="22"/>
        </w:rPr>
        <w:t xml:space="preserve">Resource Constraint — The control was required but staff capacity or budget was insufficient to execute it. Fix: resource allocation, risk acceptance by management, or scope reduction.</w:t>
      </w:r>
    </w:p>
    <w:p>
      <w:pPr>
        <w:pStyle w:val="ListParagraph"/>
        <w:numPr>
          <w:ilvl w:val="0"/>
          <w:numId w:val="2"/>
        </w:numPr>
        <w:spacing w:after="40" w:before="40"/>
      </w:pPr>
      <w:r>
        <w:rPr>
          <w:rFonts w:ascii="Arial" w:cs="Arial" w:eastAsia="Arial" w:hAnsi="Arial"/>
          <w:color w:val="333333"/>
          <w:sz w:val="22"/>
          <w:szCs w:val="22"/>
        </w:rPr>
        <w:t xml:space="preserve">Tool or System Gap — The control depends on a system capability that does not exist or does not work as intended. Fix: system remediation or compensating control.</w:t>
      </w:r>
    </w:p>
    <w:p>
      <w:pPr>
        <w:pStyle w:val="ListParagraph"/>
        <w:numPr>
          <w:ilvl w:val="0"/>
          <w:numId w:val="2"/>
        </w:numPr>
        <w:spacing w:after="40" w:before="40"/>
      </w:pPr>
      <w:r>
        <w:rPr>
          <w:rFonts w:ascii="Arial" w:cs="Arial" w:eastAsia="Arial" w:hAnsi="Arial"/>
          <w:color w:val="333333"/>
          <w:sz w:val="22"/>
          <w:szCs w:val="22"/>
        </w:rPr>
        <w:t xml:space="preserve">Oversight Failure — The control ran but no one was checking whether it ran correctly. Fix: supervisory review, second-level monitoring, KPIs.</w:t>
      </w:r>
    </w:p>
    <w:tbl>
      <w:tblPr>
        <w:tblW w:type="dxa" w:w="9360"/>
        <w:tblBorders>
          <w:top w:val="single" w:color="C8960C" w:sz="8"/>
          <w:left w:val="single" w:color="C8960C" w:sz="8"/>
          <w:bottom w:val="single" w:color="C8960C" w:sz="8"/>
          <w:right w:val="single" w:color="C8960C" w:sz="8"/>
          <w:insideH w:val="single" w:color="auto" w:sz="4"/>
          <w:insideV w:val="single" w:color="auto" w:sz="4"/>
        </w:tblBorders>
      </w:tblPr>
      <w:tblGrid>
        <w:gridCol w:w="200"/>
        <w:gridCol w:w="9160"/>
      </w:tblGrid>
      <w:tr>
        <w:tc>
          <w:tcPr>
            <w:tcW w:type="dxa" w:w="200"/>
            <w:tcBorders>
              <w:top w:val="nil"/>
              <w:left w:val="nil"/>
              <w:bottom w:val="nil"/>
              <w:right w:val="nil"/>
            </w:tcBorders>
            <w:shd w:fill="C8960C"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D6E4F0" w:val="clear"/>
            <w:tcMar>
              <w:top w:type="dxa" w:w="80"/>
              <w:left w:type="dxa" w:w="160"/>
              <w:bottom w:type="dxa" w:w="80"/>
              <w:right w:type="dxa" w:w="120"/>
            </w:tcMar>
          </w:tcPr>
          <w:p>
            <w:pPr>
              <w:spacing w:after="0" w:before="0"/>
            </w:pPr>
            <w:r>
              <w:rPr>
                <w:rFonts w:ascii="Arial" w:cs="Arial" w:eastAsia="Arial" w:hAnsi="Arial"/>
                <w:b/>
                <w:bCs/>
                <w:color w:val="1B3A6B"/>
                <w:sz w:val="22"/>
                <w:szCs w:val="22"/>
              </w:rPr>
              <w:t xml:space="preserve">The Accountability Test: </w:t>
            </w:r>
            <w:r>
              <w:rPr>
                <w:rFonts w:ascii="Arial" w:cs="Arial" w:eastAsia="Arial" w:hAnsi="Arial"/>
                <w:color w:val="333333"/>
                <w:sz w:val="22"/>
                <w:szCs w:val="22"/>
              </w:rPr>
              <w:t xml:space="preserve">When you review a corrective action, ask: 'Who is personally accountable for making sure this does not happen again?' If the CAR does not name a specific person with a specific responsibility, the corrective action is probably not going to stick. Shared accountability is no accountability.</w:t>
            </w:r>
          </w:p>
        </w:tc>
      </w:tr>
    </w:tbl>
    <w:p>
      <w:pPr>
        <w:pBdr>
          <w:bottom w:val="single" w:color="D6E4F0" w:sz="6"/>
        </w:pBdr>
        <w:spacing w:after="120" w:before="120"/>
      </w:pPr>
      <w:r>
        <w:rPr>
          <w:rFonts w:ascii="Arial" w:cs="Arial" w:eastAsia="Arial" w:hAnsi="Arial"/>
          <w:color w:val="333333"/>
          <w:sz w:val="22"/>
          <w:szCs w:val="22"/>
        </w:rPr>
        <w:t xml:space="preserve"/>
      </w:r>
    </w:p>
    <w:p>
      <w:r>
        <w:br/>
      </w:r>
    </w:p>
    <w:p>
      <w:pPr>
        <w:pStyle w:val="Heading1"/>
        <w:pBdr>
          <w:bottom w:val="single" w:color="C8960C" w:sz="8"/>
        </w:pBdr>
        <w:shd w:fill="1B3A6B" w:val="clear"/>
        <w:spacing w:after="120" w:before="360"/>
        <w:ind w:left="180" w:right="180"/>
      </w:pPr>
      <w:r>
        <w:rPr>
          <w:rFonts w:ascii="Arial" w:cs="Arial" w:eastAsia="Arial" w:hAnsi="Arial"/>
          <w:b/>
          <w:bCs/>
          <w:color w:val="FFFFFF"/>
          <w:sz w:val="32"/>
          <w:szCs w:val="32"/>
        </w:rPr>
        <w:t xml:space="preserve">Chapter 6: Framework-Specific Audit Guidance</w:t>
      </w:r>
    </w:p>
    <w:p>
      <w:pPr>
        <w:spacing w:after="60" w:before="60"/>
      </w:pPr>
      <w:r>
        <w:rPr>
          <w:rFonts w:ascii="Arial" w:cs="Arial" w:eastAsia="Arial" w:hAnsi="Arial"/>
          <w:color w:val="333333"/>
          <w:sz w:val="22"/>
          <w:szCs w:val="22"/>
        </w:rPr>
        <w:t xml:space="preserve">The audit lifecycle in Chapters 2 through 5 applies universally. What changes by framework is what you are testing, what evidence you request, and what a finding looks like. This chapter gives you framework-specific guidance to supplement the universal methodology.</w:t>
      </w:r>
    </w:p>
    <w:p>
      <w:pPr>
        <w:pStyle w:val="Heading2"/>
        <w:shd w:fill="2E6DA4" w:val="clear"/>
        <w:spacing w:after="80" w:before="240"/>
        <w:ind w:left="120"/>
      </w:pPr>
      <w:r>
        <w:rPr>
          <w:rFonts w:ascii="Arial" w:cs="Arial" w:eastAsia="Arial" w:hAnsi="Arial"/>
          <w:b/>
          <w:bCs/>
          <w:color w:val="FFFFFF"/>
          <w:sz w:val="26"/>
          <w:szCs w:val="26"/>
        </w:rPr>
        <w:t xml:space="preserve">Auditing the NIST AI RMF</w:t>
      </w:r>
    </w:p>
    <w:p>
      <w:pPr>
        <w:pStyle w:val="Heading3"/>
        <w:pBdr>
          <w:bottom w:val="single" w:color="D6E4F0" w:sz="6"/>
        </w:pBdr>
        <w:spacing w:after="60" w:before="180"/>
      </w:pPr>
      <w:r>
        <w:rPr>
          <w:rFonts w:ascii="Arial" w:cs="Arial" w:eastAsia="Arial" w:hAnsi="Arial"/>
          <w:b/>
          <w:bCs/>
          <w:color w:val="1B3A6B"/>
          <w:sz w:val="24"/>
          <w:szCs w:val="24"/>
        </w:rPr>
        <w:t xml:space="preserve">What Makes It Different</w:t>
      </w:r>
    </w:p>
    <w:p>
      <w:pPr>
        <w:spacing w:after="60" w:before="60"/>
      </w:pPr>
      <w:r>
        <w:rPr>
          <w:rFonts w:ascii="Arial" w:cs="Arial" w:eastAsia="Arial" w:hAnsi="Arial"/>
          <w:color w:val="333333"/>
          <w:sz w:val="22"/>
          <w:szCs w:val="22"/>
        </w:rPr>
        <w:t xml:space="preserve">NIST AI RMF is a voluntary framework with no external certification. When auditing against it — typically for internal assurance, federal contract compliance, or board reporting — you are assessing maturity and conformity against a benchmark, not against a pass/fail certification standard. Your report communicates degree of implementation, not binary conformity.</w:t>
      </w:r>
    </w:p>
    <w:p>
      <w:pPr>
        <w:pStyle w:val="Heading3"/>
        <w:pBdr>
          <w:bottom w:val="single" w:color="D6E4F0" w:sz="6"/>
        </w:pBdr>
        <w:spacing w:after="60" w:before="180"/>
      </w:pPr>
      <w:r>
        <w:rPr>
          <w:rFonts w:ascii="Arial" w:cs="Arial" w:eastAsia="Arial" w:hAnsi="Arial"/>
          <w:b/>
          <w:bCs/>
          <w:color w:val="1B3A6B"/>
          <w:sz w:val="24"/>
          <w:szCs w:val="24"/>
        </w:rPr>
        <w:t xml:space="preserve">Key Evidence to Request</w:t>
      </w:r>
    </w:p>
    <w:p>
      <w:pPr>
        <w:pStyle w:val="ListParagraph"/>
        <w:numPr>
          <w:ilvl w:val="0"/>
          <w:numId w:val="2"/>
        </w:numPr>
        <w:spacing w:after="40" w:before="40"/>
      </w:pPr>
      <w:r>
        <w:rPr>
          <w:rFonts w:ascii="Arial" w:cs="Arial" w:eastAsia="Arial" w:hAnsi="Arial"/>
          <w:color w:val="333333"/>
          <w:sz w:val="22"/>
          <w:szCs w:val="22"/>
        </w:rPr>
        <w:t xml:space="preserve">AI System Inventory — complete, named owners, risk classifications.</w:t>
      </w:r>
    </w:p>
    <w:p>
      <w:pPr>
        <w:pStyle w:val="ListParagraph"/>
        <w:numPr>
          <w:ilvl w:val="0"/>
          <w:numId w:val="2"/>
        </w:numPr>
        <w:spacing w:after="40" w:before="40"/>
      </w:pPr>
      <w:r>
        <w:rPr>
          <w:rFonts w:ascii="Arial" w:cs="Arial" w:eastAsia="Arial" w:hAnsi="Arial"/>
          <w:color w:val="333333"/>
          <w:sz w:val="22"/>
          <w:szCs w:val="22"/>
        </w:rPr>
        <w:t xml:space="preserve">AI Governance Policy and Acceptable Use Policy — approved, dated, version-controlled.</w:t>
      </w:r>
    </w:p>
    <w:p>
      <w:pPr>
        <w:pStyle w:val="ListParagraph"/>
        <w:numPr>
          <w:ilvl w:val="0"/>
          <w:numId w:val="2"/>
        </w:numPr>
        <w:spacing w:after="40" w:before="40"/>
      </w:pPr>
      <w:r>
        <w:rPr>
          <w:rFonts w:ascii="Arial" w:cs="Arial" w:eastAsia="Arial" w:hAnsi="Arial"/>
          <w:color w:val="333333"/>
          <w:sz w:val="22"/>
          <w:szCs w:val="22"/>
        </w:rPr>
        <w:t xml:space="preserve">AI Governance Committee charter and meeting minutes — at least the past three meetings.</w:t>
      </w:r>
    </w:p>
    <w:p>
      <w:pPr>
        <w:pStyle w:val="ListParagraph"/>
        <w:numPr>
          <w:ilvl w:val="0"/>
          <w:numId w:val="2"/>
        </w:numPr>
        <w:spacing w:after="40" w:before="40"/>
      </w:pPr>
      <w:r>
        <w:rPr>
          <w:rFonts w:ascii="Arial" w:cs="Arial" w:eastAsia="Arial" w:hAnsi="Arial"/>
          <w:color w:val="333333"/>
          <w:sz w:val="22"/>
          <w:szCs w:val="22"/>
        </w:rPr>
        <w:t xml:space="preserve">TEVV documentation for each AI system in scope — pre-deployment test results and post-deployment monitoring logs.</w:t>
      </w:r>
    </w:p>
    <w:p>
      <w:pPr>
        <w:pStyle w:val="ListParagraph"/>
        <w:numPr>
          <w:ilvl w:val="0"/>
          <w:numId w:val="2"/>
        </w:numPr>
        <w:spacing w:after="40" w:before="40"/>
      </w:pPr>
      <w:r>
        <w:rPr>
          <w:rFonts w:ascii="Arial" w:cs="Arial" w:eastAsia="Arial" w:hAnsi="Arial"/>
          <w:color w:val="333333"/>
          <w:sz w:val="22"/>
          <w:szCs w:val="22"/>
        </w:rPr>
        <w:t xml:space="preserve">Bias and fairness testing reports — methodology, demographic groups tested, results, remediation actions taken.</w:t>
      </w:r>
    </w:p>
    <w:p>
      <w:pPr>
        <w:pStyle w:val="ListParagraph"/>
        <w:numPr>
          <w:ilvl w:val="0"/>
          <w:numId w:val="2"/>
        </w:numPr>
        <w:spacing w:after="40" w:before="40"/>
      </w:pPr>
      <w:r>
        <w:rPr>
          <w:rFonts w:ascii="Arial" w:cs="Arial" w:eastAsia="Arial" w:hAnsi="Arial"/>
          <w:color w:val="333333"/>
          <w:sz w:val="22"/>
          <w:szCs w:val="22"/>
        </w:rPr>
        <w:t xml:space="preserve">Red Team exercise results — for any high-risk AI systems.</w:t>
      </w:r>
    </w:p>
    <w:p>
      <w:pPr>
        <w:pStyle w:val="ListParagraph"/>
        <w:numPr>
          <w:ilvl w:val="0"/>
          <w:numId w:val="2"/>
        </w:numPr>
        <w:spacing w:after="40" w:before="40"/>
      </w:pPr>
      <w:r>
        <w:rPr>
          <w:rFonts w:ascii="Arial" w:cs="Arial" w:eastAsia="Arial" w:hAnsi="Arial"/>
          <w:color w:val="333333"/>
          <w:sz w:val="22"/>
          <w:szCs w:val="22"/>
        </w:rPr>
        <w:t xml:space="preserve">AI Incident log — any AI-related incidents from the audit period.</w:t>
      </w:r>
    </w:p>
    <w:p>
      <w:pPr>
        <w:pStyle w:val="Heading3"/>
        <w:pBdr>
          <w:bottom w:val="single" w:color="D6E4F0" w:sz="6"/>
        </w:pBdr>
        <w:spacing w:after="60" w:before="180"/>
      </w:pPr>
      <w:r>
        <w:rPr>
          <w:rFonts w:ascii="Arial" w:cs="Arial" w:eastAsia="Arial" w:hAnsi="Arial"/>
          <w:b/>
          <w:bCs/>
          <w:color w:val="1B3A6B"/>
          <w:sz w:val="24"/>
          <w:szCs w:val="24"/>
        </w:rPr>
        <w:t xml:space="preserve">Common Findings</w:t>
      </w:r>
    </w:p>
    <w:p>
      <w:pPr>
        <w:pStyle w:val="ListParagraph"/>
        <w:numPr>
          <w:ilvl w:val="0"/>
          <w:numId w:val="2"/>
        </w:numPr>
        <w:spacing w:after="40" w:before="40"/>
      </w:pPr>
      <w:r>
        <w:rPr>
          <w:rFonts w:ascii="Arial" w:cs="Arial" w:eastAsia="Arial" w:hAnsi="Arial"/>
          <w:color w:val="333333"/>
          <w:sz w:val="22"/>
          <w:szCs w:val="22"/>
        </w:rPr>
        <w:t xml:space="preserve">AI System Inventory exists but is incomplete — systems added without formal registration.</w:t>
      </w:r>
    </w:p>
    <w:p>
      <w:pPr>
        <w:pStyle w:val="ListParagraph"/>
        <w:numPr>
          <w:ilvl w:val="0"/>
          <w:numId w:val="2"/>
        </w:numPr>
        <w:spacing w:after="40" w:before="40"/>
      </w:pPr>
      <w:r>
        <w:rPr>
          <w:rFonts w:ascii="Arial" w:cs="Arial" w:eastAsia="Arial" w:hAnsi="Arial"/>
          <w:color w:val="333333"/>
          <w:sz w:val="22"/>
          <w:szCs w:val="22"/>
        </w:rPr>
        <w:t xml:space="preserve">Risk classification documented but not tied to any risk tolerance statement or approval authority.</w:t>
      </w:r>
    </w:p>
    <w:p>
      <w:pPr>
        <w:pStyle w:val="ListParagraph"/>
        <w:numPr>
          <w:ilvl w:val="0"/>
          <w:numId w:val="2"/>
        </w:numPr>
        <w:spacing w:after="40" w:before="40"/>
      </w:pPr>
      <w:r>
        <w:rPr>
          <w:rFonts w:ascii="Arial" w:cs="Arial" w:eastAsia="Arial" w:hAnsi="Arial"/>
          <w:color w:val="333333"/>
          <w:sz w:val="22"/>
          <w:szCs w:val="22"/>
        </w:rPr>
        <w:t xml:space="preserve">TEVV testing conducted pre-deployment but no ongoing post-deployment monitoring in place.</w:t>
      </w:r>
    </w:p>
    <w:p>
      <w:pPr>
        <w:pStyle w:val="ListParagraph"/>
        <w:numPr>
          <w:ilvl w:val="0"/>
          <w:numId w:val="2"/>
        </w:numPr>
        <w:spacing w:after="40" w:before="40"/>
      </w:pPr>
      <w:r>
        <w:rPr>
          <w:rFonts w:ascii="Arial" w:cs="Arial" w:eastAsia="Arial" w:hAnsi="Arial"/>
          <w:color w:val="333333"/>
          <w:sz w:val="22"/>
          <w:szCs w:val="22"/>
        </w:rPr>
        <w:t xml:space="preserve">Bias testing reports exist but tested only binary gender — did not cover race, age, disability status, or other protected categories.</w:t>
      </w:r>
    </w:p>
    <w:p>
      <w:pPr>
        <w:pStyle w:val="ListParagraph"/>
        <w:numPr>
          <w:ilvl w:val="0"/>
          <w:numId w:val="2"/>
        </w:numPr>
        <w:spacing w:after="40" w:before="40"/>
      </w:pPr>
      <w:r>
        <w:rPr>
          <w:rFonts w:ascii="Arial" w:cs="Arial" w:eastAsia="Arial" w:hAnsi="Arial"/>
          <w:color w:val="333333"/>
          <w:sz w:val="22"/>
          <w:szCs w:val="22"/>
        </w:rPr>
        <w:t xml:space="preserve">AI Governance Committee established but meeting minutes show attendance issues or no documented decisions.</w:t>
      </w:r>
    </w:p>
    <w:p>
      <w:pPr>
        <w:pStyle w:val="Heading2"/>
        <w:shd w:fill="2E6DA4" w:val="clear"/>
        <w:spacing w:after="80" w:before="240"/>
        <w:ind w:left="120"/>
      </w:pPr>
      <w:r>
        <w:rPr>
          <w:rFonts w:ascii="Arial" w:cs="Arial" w:eastAsia="Arial" w:hAnsi="Arial"/>
          <w:b/>
          <w:bCs/>
          <w:color w:val="FFFFFF"/>
          <w:sz w:val="26"/>
          <w:szCs w:val="26"/>
        </w:rPr>
        <w:t xml:space="preserve">Auditing ISO 42001</w:t>
      </w:r>
    </w:p>
    <w:p>
      <w:pPr>
        <w:pStyle w:val="Heading3"/>
        <w:pBdr>
          <w:bottom w:val="single" w:color="D6E4F0" w:sz="6"/>
        </w:pBdr>
        <w:spacing w:after="60" w:before="180"/>
      </w:pPr>
      <w:r>
        <w:rPr>
          <w:rFonts w:ascii="Arial" w:cs="Arial" w:eastAsia="Arial" w:hAnsi="Arial"/>
          <w:b/>
          <w:bCs/>
          <w:color w:val="1B3A6B"/>
          <w:sz w:val="24"/>
          <w:szCs w:val="24"/>
        </w:rPr>
        <w:t xml:space="preserve">What Makes It Different</w:t>
      </w:r>
    </w:p>
    <w:p>
      <w:pPr>
        <w:spacing w:after="60" w:before="60"/>
      </w:pPr>
      <w:r>
        <w:rPr>
          <w:rFonts w:ascii="Arial" w:cs="Arial" w:eastAsia="Arial" w:hAnsi="Arial"/>
          <w:color w:val="333333"/>
          <w:sz w:val="22"/>
          <w:szCs w:val="22"/>
        </w:rPr>
        <w:t xml:space="preserve">ISO 42001 is a certifiable management system standard. External audits are conducted by accredited Certification Bodies in two stages. Stage 1 is a documentation readiness review — the auditor confirms the management system is documented before agreeing to proceed to Stage 2. Stage 2 is the full implementation audit where evidence of operation is assessed. As an internal auditor preparing for external certification, your job is to make sure both stages will go smoothly.</w:t>
      </w:r>
    </w:p>
    <w:p>
      <w:pPr>
        <w:pStyle w:val="Heading3"/>
        <w:pBdr>
          <w:bottom w:val="single" w:color="D6E4F0" w:sz="6"/>
        </w:pBdr>
        <w:spacing w:after="60" w:before="180"/>
      </w:pPr>
      <w:r>
        <w:rPr>
          <w:rFonts w:ascii="Arial" w:cs="Arial" w:eastAsia="Arial" w:hAnsi="Arial"/>
          <w:b/>
          <w:bCs/>
          <w:color w:val="1B3A6B"/>
          <w:sz w:val="24"/>
          <w:szCs w:val="24"/>
        </w:rPr>
        <w:t xml:space="preserve">Stage 1 Readiness — What Must Exist on Paper</w:t>
      </w:r>
    </w:p>
    <w:p>
      <w:pPr>
        <w:pStyle w:val="ListParagraph"/>
        <w:numPr>
          <w:ilvl w:val="0"/>
          <w:numId w:val="2"/>
        </w:numPr>
        <w:spacing w:after="40" w:before="40"/>
      </w:pPr>
      <w:r>
        <w:rPr>
          <w:rFonts w:ascii="Arial" w:cs="Arial" w:eastAsia="Arial" w:hAnsi="Arial"/>
          <w:color w:val="333333"/>
          <w:sz w:val="22"/>
          <w:szCs w:val="22"/>
        </w:rPr>
        <w:t xml:space="preserve">AI Policy — approved by top management, communicated.</w:t>
      </w:r>
    </w:p>
    <w:p>
      <w:pPr>
        <w:pStyle w:val="ListParagraph"/>
        <w:numPr>
          <w:ilvl w:val="0"/>
          <w:numId w:val="2"/>
        </w:numPr>
        <w:spacing w:after="40" w:before="40"/>
      </w:pPr>
      <w:r>
        <w:rPr>
          <w:rFonts w:ascii="Arial" w:cs="Arial" w:eastAsia="Arial" w:hAnsi="Arial"/>
          <w:color w:val="333333"/>
          <w:sz w:val="22"/>
          <w:szCs w:val="22"/>
        </w:rPr>
        <w:t xml:space="preserve">AIMS Scope Statement — precise and documented.</w:t>
      </w:r>
    </w:p>
    <w:p>
      <w:pPr>
        <w:pStyle w:val="ListParagraph"/>
        <w:numPr>
          <w:ilvl w:val="0"/>
          <w:numId w:val="2"/>
        </w:numPr>
        <w:spacing w:after="40" w:before="40"/>
      </w:pPr>
      <w:r>
        <w:rPr>
          <w:rFonts w:ascii="Arial" w:cs="Arial" w:eastAsia="Arial" w:hAnsi="Arial"/>
          <w:color w:val="333333"/>
          <w:sz w:val="22"/>
          <w:szCs w:val="22"/>
        </w:rPr>
        <w:t xml:space="preserve">Statement of Applicability — all 38 Annex A controls addressed with inclusion/exclusion justifications.</w:t>
      </w:r>
    </w:p>
    <w:p>
      <w:pPr>
        <w:pStyle w:val="ListParagraph"/>
        <w:numPr>
          <w:ilvl w:val="0"/>
          <w:numId w:val="2"/>
        </w:numPr>
        <w:spacing w:after="40" w:before="40"/>
      </w:pPr>
      <w:r>
        <w:rPr>
          <w:rFonts w:ascii="Arial" w:cs="Arial" w:eastAsia="Arial" w:hAnsi="Arial"/>
          <w:color w:val="333333"/>
          <w:sz w:val="22"/>
          <w:szCs w:val="22"/>
        </w:rPr>
        <w:t xml:space="preserve">Risk Assessment methodology — documented and repeatable.</w:t>
      </w:r>
    </w:p>
    <w:p>
      <w:pPr>
        <w:pStyle w:val="ListParagraph"/>
        <w:numPr>
          <w:ilvl w:val="0"/>
          <w:numId w:val="2"/>
        </w:numPr>
        <w:spacing w:after="40" w:before="40"/>
      </w:pPr>
      <w:r>
        <w:rPr>
          <w:rFonts w:ascii="Arial" w:cs="Arial" w:eastAsia="Arial" w:hAnsi="Arial"/>
          <w:color w:val="333333"/>
          <w:sz w:val="22"/>
          <w:szCs w:val="22"/>
        </w:rPr>
        <w:t xml:space="preserve">Most recent Risk Assessment and Risk Treatment Plan.</w:t>
      </w:r>
    </w:p>
    <w:p>
      <w:pPr>
        <w:pStyle w:val="ListParagraph"/>
        <w:numPr>
          <w:ilvl w:val="0"/>
          <w:numId w:val="2"/>
        </w:numPr>
        <w:spacing w:after="40" w:before="40"/>
      </w:pPr>
      <w:r>
        <w:rPr>
          <w:rFonts w:ascii="Arial" w:cs="Arial" w:eastAsia="Arial" w:hAnsi="Arial"/>
          <w:color w:val="333333"/>
          <w:sz w:val="22"/>
          <w:szCs w:val="22"/>
        </w:rPr>
        <w:t xml:space="preserve">AI System Impact Assessments for each in-scope AI system.</w:t>
      </w:r>
    </w:p>
    <w:p>
      <w:pPr>
        <w:pStyle w:val="ListParagraph"/>
        <w:numPr>
          <w:ilvl w:val="0"/>
          <w:numId w:val="2"/>
        </w:numPr>
        <w:spacing w:after="40" w:before="40"/>
      </w:pPr>
      <w:r>
        <w:rPr>
          <w:rFonts w:ascii="Arial" w:cs="Arial" w:eastAsia="Arial" w:hAnsi="Arial"/>
          <w:color w:val="333333"/>
          <w:sz w:val="22"/>
          <w:szCs w:val="22"/>
        </w:rPr>
        <w:t xml:space="preserve">Documented roles and responsibilities for AI governance.</w:t>
      </w:r>
    </w:p>
    <w:p>
      <w:pPr>
        <w:pStyle w:val="Heading3"/>
        <w:pBdr>
          <w:bottom w:val="single" w:color="D6E4F0" w:sz="6"/>
        </w:pBdr>
        <w:spacing w:after="60" w:before="180"/>
      </w:pPr>
      <w:r>
        <w:rPr>
          <w:rFonts w:ascii="Arial" w:cs="Arial" w:eastAsia="Arial" w:hAnsi="Arial"/>
          <w:b/>
          <w:bCs/>
          <w:color w:val="1B3A6B"/>
          <w:sz w:val="24"/>
          <w:szCs w:val="24"/>
        </w:rPr>
        <w:t xml:space="preserve">Stage 2 Readiness — What Must Be Operating</w:t>
      </w:r>
    </w:p>
    <w:p>
      <w:pPr>
        <w:pStyle w:val="ListParagraph"/>
        <w:numPr>
          <w:ilvl w:val="0"/>
          <w:numId w:val="2"/>
        </w:numPr>
        <w:spacing w:after="40" w:before="40"/>
      </w:pPr>
      <w:r>
        <w:rPr>
          <w:rFonts w:ascii="Arial" w:cs="Arial" w:eastAsia="Arial" w:hAnsi="Arial"/>
          <w:color w:val="333333"/>
          <w:sz w:val="22"/>
          <w:szCs w:val="22"/>
        </w:rPr>
        <w:t xml:space="preserve">Evidence that risk assessment has actually been conducted (not just documented as a procedure).</w:t>
      </w:r>
    </w:p>
    <w:p>
      <w:pPr>
        <w:pStyle w:val="ListParagraph"/>
        <w:numPr>
          <w:ilvl w:val="0"/>
          <w:numId w:val="2"/>
        </w:numPr>
        <w:spacing w:after="40" w:before="40"/>
      </w:pPr>
      <w:r>
        <w:rPr>
          <w:rFonts w:ascii="Arial" w:cs="Arial" w:eastAsia="Arial" w:hAnsi="Arial"/>
          <w:color w:val="333333"/>
          <w:sz w:val="22"/>
          <w:szCs w:val="22"/>
        </w:rPr>
        <w:t xml:space="preserve">AI System lifecycle records with stage-gate approvals for systems deployed during the audit period.</w:t>
      </w:r>
    </w:p>
    <w:p>
      <w:pPr>
        <w:pStyle w:val="ListParagraph"/>
        <w:numPr>
          <w:ilvl w:val="0"/>
          <w:numId w:val="2"/>
        </w:numPr>
        <w:spacing w:after="40" w:before="40"/>
      </w:pPr>
      <w:r>
        <w:rPr>
          <w:rFonts w:ascii="Arial" w:cs="Arial" w:eastAsia="Arial" w:hAnsi="Arial"/>
          <w:color w:val="333333"/>
          <w:sz w:val="22"/>
          <w:szCs w:val="22"/>
        </w:rPr>
        <w:t xml:space="preserve">Training records — staff with AI-related responsibilities trained on their obligations.</w:t>
      </w:r>
    </w:p>
    <w:p>
      <w:pPr>
        <w:pStyle w:val="ListParagraph"/>
        <w:numPr>
          <w:ilvl w:val="0"/>
          <w:numId w:val="2"/>
        </w:numPr>
        <w:spacing w:after="40" w:before="40"/>
      </w:pPr>
      <w:r>
        <w:rPr>
          <w:rFonts w:ascii="Arial" w:cs="Arial" w:eastAsia="Arial" w:hAnsi="Arial"/>
          <w:color w:val="333333"/>
          <w:sz w:val="22"/>
          <w:szCs w:val="22"/>
        </w:rPr>
        <w:t xml:space="preserve">Internal audit report — conducted within the past 12 months.</w:t>
      </w:r>
    </w:p>
    <w:p>
      <w:pPr>
        <w:pStyle w:val="ListParagraph"/>
        <w:numPr>
          <w:ilvl w:val="0"/>
          <w:numId w:val="2"/>
        </w:numPr>
        <w:spacing w:after="40" w:before="40"/>
      </w:pPr>
      <w:r>
        <w:rPr>
          <w:rFonts w:ascii="Arial" w:cs="Arial" w:eastAsia="Arial" w:hAnsi="Arial"/>
          <w:color w:val="333333"/>
          <w:sz w:val="22"/>
          <w:szCs w:val="22"/>
        </w:rPr>
        <w:t xml:space="preserve">Management Review minutes — top management participated and documented decisions.</w:t>
      </w:r>
    </w:p>
    <w:p>
      <w:pPr>
        <w:pStyle w:val="ListParagraph"/>
        <w:numPr>
          <w:ilvl w:val="0"/>
          <w:numId w:val="2"/>
        </w:numPr>
        <w:spacing w:after="40" w:before="40"/>
      </w:pPr>
      <w:r>
        <w:rPr>
          <w:rFonts w:ascii="Arial" w:cs="Arial" w:eastAsia="Arial" w:hAnsi="Arial"/>
          <w:color w:val="333333"/>
          <w:sz w:val="22"/>
          <w:szCs w:val="22"/>
        </w:rPr>
        <w:t xml:space="preserve">Corrective Action Records — any open nonconformities from the internal audit have treatment plans and evidence of progress.</w:t>
      </w:r>
    </w:p>
    <w:p>
      <w:pPr>
        <w:pStyle w:val="Heading2"/>
        <w:shd w:fill="2E6DA4" w:val="clear"/>
        <w:spacing w:after="80" w:before="240"/>
        <w:ind w:left="120"/>
      </w:pPr>
      <w:r>
        <w:rPr>
          <w:rFonts w:ascii="Arial" w:cs="Arial" w:eastAsia="Arial" w:hAnsi="Arial"/>
          <w:b/>
          <w:bCs/>
          <w:color w:val="FFFFFF"/>
          <w:sz w:val="26"/>
          <w:szCs w:val="26"/>
        </w:rPr>
        <w:t xml:space="preserve">Auditing ISO 27001</w:t>
      </w:r>
    </w:p>
    <w:p>
      <w:pPr>
        <w:pStyle w:val="Heading3"/>
        <w:pBdr>
          <w:bottom w:val="single" w:color="D6E4F0" w:sz="6"/>
        </w:pBdr>
        <w:spacing w:after="60" w:before="180"/>
      </w:pPr>
      <w:r>
        <w:rPr>
          <w:rFonts w:ascii="Arial" w:cs="Arial" w:eastAsia="Arial" w:hAnsi="Arial"/>
          <w:b/>
          <w:bCs/>
          <w:color w:val="1B3A6B"/>
          <w:sz w:val="24"/>
          <w:szCs w:val="24"/>
        </w:rPr>
        <w:t xml:space="preserve">What Makes It Different</w:t>
      </w:r>
    </w:p>
    <w:p>
      <w:pPr>
        <w:spacing w:after="60" w:before="60"/>
      </w:pPr>
      <w:r>
        <w:rPr>
          <w:rFonts w:ascii="Arial" w:cs="Arial" w:eastAsia="Arial" w:hAnsi="Arial"/>
          <w:color w:val="333333"/>
          <w:sz w:val="22"/>
          <w:szCs w:val="22"/>
        </w:rPr>
        <w:t xml:space="preserve">ISO 27001 is the most mature and widely understood information security management standard. External auditors from certification bodies know it thoroughly and will probe deeply. Internal auditors preparing for surveillance or recertification audits must go beyond surface-level documentation review.</w:t>
      </w:r>
    </w:p>
    <w:p>
      <w:pPr>
        <w:pStyle w:val="Heading3"/>
        <w:pBdr>
          <w:bottom w:val="single" w:color="D6E4F0" w:sz="6"/>
        </w:pBdr>
        <w:spacing w:after="60" w:before="180"/>
      </w:pPr>
      <w:r>
        <w:rPr>
          <w:rFonts w:ascii="Arial" w:cs="Arial" w:eastAsia="Arial" w:hAnsi="Arial"/>
          <w:b/>
          <w:bCs/>
          <w:color w:val="1B3A6B"/>
          <w:sz w:val="24"/>
          <w:szCs w:val="24"/>
        </w:rPr>
        <w:t xml:space="preserve">High-Value Audit Areas for AI-Inclusive ISMS</w:t>
      </w:r>
    </w:p>
    <w:p>
      <w:pPr>
        <w:pStyle w:val="ListParagraph"/>
        <w:numPr>
          <w:ilvl w:val="0"/>
          <w:numId w:val="2"/>
        </w:numPr>
        <w:spacing w:after="40" w:before="40"/>
      </w:pPr>
      <w:r>
        <w:rPr>
          <w:rFonts w:ascii="Arial" w:cs="Arial" w:eastAsia="Arial" w:hAnsi="Arial"/>
          <w:color w:val="333333"/>
          <w:sz w:val="22"/>
          <w:szCs w:val="22"/>
        </w:rPr>
        <w:t xml:space="preserve">Statement of Applicability — is it current? Do the exclusions have documented and defensible justifications? Does it include AI-relevant controls like A.5.23 (cloud services), A.8.25 (secure development), and A.8.8 (vulnerability management)?</w:t>
      </w:r>
    </w:p>
    <w:p>
      <w:pPr>
        <w:pStyle w:val="ListParagraph"/>
        <w:numPr>
          <w:ilvl w:val="0"/>
          <w:numId w:val="2"/>
        </w:numPr>
        <w:spacing w:after="40" w:before="40"/>
      </w:pPr>
      <w:r>
        <w:rPr>
          <w:rFonts w:ascii="Arial" w:cs="Arial" w:eastAsia="Arial" w:hAnsi="Arial"/>
          <w:color w:val="333333"/>
          <w:sz w:val="22"/>
          <w:szCs w:val="22"/>
        </w:rPr>
        <w:t xml:space="preserve">Supplier Security (A.5.19–5.22) — are AI vendors and cloud AI service providers covered? Has a security assessment been conducted? Are contractual obligations documented?</w:t>
      </w:r>
    </w:p>
    <w:p>
      <w:pPr>
        <w:pStyle w:val="ListParagraph"/>
        <w:numPr>
          <w:ilvl w:val="0"/>
          <w:numId w:val="2"/>
        </w:numPr>
        <w:spacing w:after="40" w:before="40"/>
      </w:pPr>
      <w:r>
        <w:rPr>
          <w:rFonts w:ascii="Arial" w:cs="Arial" w:eastAsia="Arial" w:hAnsi="Arial"/>
          <w:color w:val="333333"/>
          <w:sz w:val="22"/>
          <w:szCs w:val="22"/>
        </w:rPr>
        <w:t xml:space="preserve">Access Control — least-privilege applied to AI training data, model repositories, and inference APIs? Access reviews conducted on schedule?</w:t>
      </w:r>
    </w:p>
    <w:p>
      <w:pPr>
        <w:pStyle w:val="ListParagraph"/>
        <w:numPr>
          <w:ilvl w:val="0"/>
          <w:numId w:val="2"/>
        </w:numPr>
        <w:spacing w:after="40" w:before="40"/>
      </w:pPr>
      <w:r>
        <w:rPr>
          <w:rFonts w:ascii="Arial" w:cs="Arial" w:eastAsia="Arial" w:hAnsi="Arial"/>
          <w:color w:val="333333"/>
          <w:sz w:val="22"/>
          <w:szCs w:val="22"/>
        </w:rPr>
        <w:t xml:space="preserve">Change Management — do changes to AI models in production go through formal change control? Are retraining events treated as changes?</w:t>
      </w:r>
    </w:p>
    <w:p>
      <w:pPr>
        <w:pStyle w:val="ListParagraph"/>
        <w:numPr>
          <w:ilvl w:val="0"/>
          <w:numId w:val="2"/>
        </w:numPr>
        <w:spacing w:after="40" w:before="40"/>
      </w:pPr>
      <w:r>
        <w:rPr>
          <w:rFonts w:ascii="Arial" w:cs="Arial" w:eastAsia="Arial" w:hAnsi="Arial"/>
          <w:color w:val="333333"/>
          <w:sz w:val="22"/>
          <w:szCs w:val="22"/>
        </w:rPr>
        <w:t xml:space="preserve">Logging and Monitoring — are AI inference logs captured? What is the retention period? Is there an alerting process for anomalies?</w:t>
      </w:r>
    </w:p>
    <w:p>
      <w:pPr>
        <w:pStyle w:val="Heading2"/>
        <w:shd w:fill="2E6DA4" w:val="clear"/>
        <w:spacing w:after="80" w:before="240"/>
        <w:ind w:left="120"/>
      </w:pPr>
      <w:r>
        <w:rPr>
          <w:rFonts w:ascii="Arial" w:cs="Arial" w:eastAsia="Arial" w:hAnsi="Arial"/>
          <w:b/>
          <w:bCs/>
          <w:color w:val="FFFFFF"/>
          <w:sz w:val="26"/>
          <w:szCs w:val="26"/>
        </w:rPr>
        <w:t xml:space="preserve">Auditing the EU AI Act</w:t>
      </w:r>
    </w:p>
    <w:p>
      <w:pPr>
        <w:pStyle w:val="Heading3"/>
        <w:pBdr>
          <w:bottom w:val="single" w:color="D6E4F0" w:sz="6"/>
        </w:pBdr>
        <w:spacing w:after="60" w:before="180"/>
      </w:pPr>
      <w:r>
        <w:rPr>
          <w:rFonts w:ascii="Arial" w:cs="Arial" w:eastAsia="Arial" w:hAnsi="Arial"/>
          <w:b/>
          <w:bCs/>
          <w:color w:val="1B3A6B"/>
          <w:sz w:val="24"/>
          <w:szCs w:val="24"/>
        </w:rPr>
        <w:t xml:space="preserve">What Makes It Different</w:t>
      </w:r>
    </w:p>
    <w:p>
      <w:pPr>
        <w:spacing w:after="60" w:before="60"/>
      </w:pPr>
      <w:r>
        <w:rPr>
          <w:rFonts w:ascii="Arial" w:cs="Arial" w:eastAsia="Arial" w:hAnsi="Arial"/>
          <w:color w:val="333333"/>
          <w:sz w:val="22"/>
          <w:szCs w:val="22"/>
        </w:rPr>
        <w:t xml:space="preserve">The EU AI Act is law, not a voluntary standard. This changes the audit framing significantly. You are not assessing 'maturity' — you are assessing whether legal obligations are met or not. Every gap is a potential regulatory violation, not just a 'finding.' Frame your internal assessments accordingly.</w:t>
      </w:r>
    </w:p>
    <w:p>
      <w:pPr>
        <w:pStyle w:val="Heading3"/>
        <w:pBdr>
          <w:bottom w:val="single" w:color="D6E4F0" w:sz="6"/>
        </w:pBdr>
        <w:spacing w:after="60" w:before="180"/>
      </w:pPr>
      <w:r>
        <w:rPr>
          <w:rFonts w:ascii="Arial" w:cs="Arial" w:eastAsia="Arial" w:hAnsi="Arial"/>
          <w:b/>
          <w:bCs/>
          <w:color w:val="1B3A6B"/>
          <w:sz w:val="24"/>
          <w:szCs w:val="24"/>
        </w:rPr>
        <w:t xml:space="preserve">The Risk Classification Audit — Start Here Every Time</w:t>
      </w:r>
    </w:p>
    <w:p>
      <w:pPr>
        <w:spacing w:after="60" w:before="60"/>
      </w:pPr>
      <w:r>
        <w:rPr>
          <w:rFonts w:ascii="Arial" w:cs="Arial" w:eastAsia="Arial" w:hAnsi="Arial"/>
          <w:color w:val="333333"/>
          <w:sz w:val="22"/>
          <w:szCs w:val="22"/>
        </w:rPr>
        <w:t xml:space="preserve">Before auditing anything else under the EU AI Act, audit the risk classification process. Every other obligation flows from classification. If a system is misclassified as Minimal Risk when it should be High Risk, every subsequent audit step is moot.</w:t>
      </w:r>
    </w:p>
    <w:p>
      <w:pPr>
        <w:pStyle w:val="ListParagraph"/>
        <w:numPr>
          <w:ilvl w:val="0"/>
          <w:numId w:val="2"/>
        </w:numPr>
        <w:spacing w:after="40" w:before="40"/>
      </w:pPr>
      <w:r>
        <w:rPr>
          <w:rFonts w:ascii="Arial" w:cs="Arial" w:eastAsia="Arial" w:hAnsi="Arial"/>
          <w:color w:val="333333"/>
          <w:sz w:val="22"/>
          <w:szCs w:val="22"/>
        </w:rPr>
        <w:t xml:space="preserve">Obtain the AI Risk Classification Register.</w:t>
      </w:r>
    </w:p>
    <w:p>
      <w:pPr>
        <w:pStyle w:val="ListParagraph"/>
        <w:numPr>
          <w:ilvl w:val="0"/>
          <w:numId w:val="2"/>
        </w:numPr>
        <w:spacing w:after="40" w:before="40"/>
      </w:pPr>
      <w:r>
        <w:rPr>
          <w:rFonts w:ascii="Arial" w:cs="Arial" w:eastAsia="Arial" w:hAnsi="Arial"/>
          <w:color w:val="333333"/>
          <w:sz w:val="22"/>
          <w:szCs w:val="22"/>
        </w:rPr>
        <w:t xml:space="preserve">For each AI system listed, review the classification rationale. Does it reference the Annex III prohibited and high-risk categories explicitly?</w:t>
      </w:r>
    </w:p>
    <w:p>
      <w:pPr>
        <w:pStyle w:val="ListParagraph"/>
        <w:numPr>
          <w:ilvl w:val="0"/>
          <w:numId w:val="2"/>
        </w:numPr>
        <w:spacing w:after="40" w:before="40"/>
      </w:pPr>
      <w:r>
        <w:rPr>
          <w:rFonts w:ascii="Arial" w:cs="Arial" w:eastAsia="Arial" w:hAnsi="Arial"/>
          <w:color w:val="333333"/>
          <w:sz w:val="22"/>
          <w:szCs w:val="22"/>
        </w:rPr>
        <w:t xml:space="preserve">For AI systems classified as Minimal or Limited Risk, challenge the rationale. Interview the classifier. Ask: 'Were the Annex III categories considered? Who made the final classification decision? Was legal counsel involved?'</w:t>
      </w:r>
    </w:p>
    <w:p>
      <w:pPr>
        <w:pStyle w:val="ListParagraph"/>
        <w:numPr>
          <w:ilvl w:val="0"/>
          <w:numId w:val="2"/>
        </w:numPr>
        <w:spacing w:after="40" w:before="40"/>
      </w:pPr>
      <w:r>
        <w:rPr>
          <w:rFonts w:ascii="Arial" w:cs="Arial" w:eastAsia="Arial" w:hAnsi="Arial"/>
          <w:color w:val="333333"/>
          <w:sz w:val="22"/>
          <w:szCs w:val="22"/>
        </w:rPr>
        <w:t xml:space="preserve">For any AI system touching hiring, credit, healthcare, benefits eligibility, law enforcement, or border control — scrutinize the classification intensely. These are the highest litigation-risk misclassifications.</w:t>
      </w:r>
    </w:p>
    <w:p>
      <w:pPr>
        <w:pStyle w:val="Heading3"/>
        <w:pBdr>
          <w:bottom w:val="single" w:color="D6E4F0" w:sz="6"/>
        </w:pBdr>
        <w:spacing w:after="60" w:before="180"/>
      </w:pPr>
      <w:r>
        <w:rPr>
          <w:rFonts w:ascii="Arial" w:cs="Arial" w:eastAsia="Arial" w:hAnsi="Arial"/>
          <w:b/>
          <w:bCs/>
          <w:color w:val="1B3A6B"/>
          <w:sz w:val="24"/>
          <w:szCs w:val="24"/>
        </w:rPr>
        <w:t xml:space="preserve">High-Risk Compliance Checklist (Audit Walk-Through Order)</w:t>
      </w:r>
    </w:p>
    <w:p>
      <w:pPr>
        <w:pStyle w:val="ListParagraph"/>
        <w:numPr>
          <w:ilvl w:val="0"/>
          <w:numId w:val="3"/>
        </w:numPr>
        <w:spacing w:after="40" w:before="40"/>
      </w:pPr>
      <w:r>
        <w:rPr>
          <w:rFonts w:ascii="Arial" w:cs="Arial" w:eastAsia="Arial" w:hAnsi="Arial"/>
          <w:color w:val="333333"/>
          <w:sz w:val="22"/>
          <w:szCs w:val="22"/>
        </w:rPr>
        <w:t xml:space="preserve">Confirm risk classification — documented rationale, appropriate approval.</w:t>
      </w:r>
    </w:p>
    <w:p>
      <w:pPr>
        <w:pStyle w:val="ListParagraph"/>
        <w:numPr>
          <w:ilvl w:val="0"/>
          <w:numId w:val="3"/>
        </w:numPr>
        <w:spacing w:after="40" w:before="40"/>
      </w:pPr>
      <w:r>
        <w:rPr>
          <w:rFonts w:ascii="Arial" w:cs="Arial" w:eastAsia="Arial" w:hAnsi="Arial"/>
          <w:color w:val="333333"/>
          <w:sz w:val="22"/>
          <w:szCs w:val="22"/>
        </w:rPr>
        <w:t xml:space="preserve">Confirm EU database registration — obtain registration confirmation for each high-risk system.</w:t>
      </w:r>
    </w:p>
    <w:p>
      <w:pPr>
        <w:pStyle w:val="ListParagraph"/>
        <w:numPr>
          <w:ilvl w:val="0"/>
          <w:numId w:val="3"/>
        </w:numPr>
        <w:spacing w:after="40" w:before="40"/>
      </w:pPr>
      <w:r>
        <w:rPr>
          <w:rFonts w:ascii="Arial" w:cs="Arial" w:eastAsia="Arial" w:hAnsi="Arial"/>
          <w:color w:val="333333"/>
          <w:sz w:val="22"/>
          <w:szCs w:val="22"/>
        </w:rPr>
        <w:t xml:space="preserve">Review Technical Documentation package — completeness against Article 11 requirements.</w:t>
      </w:r>
    </w:p>
    <w:p>
      <w:pPr>
        <w:pStyle w:val="ListParagraph"/>
        <w:numPr>
          <w:ilvl w:val="0"/>
          <w:numId w:val="3"/>
        </w:numPr>
        <w:spacing w:after="40" w:before="40"/>
      </w:pPr>
      <w:r>
        <w:rPr>
          <w:rFonts w:ascii="Arial" w:cs="Arial" w:eastAsia="Arial" w:hAnsi="Arial"/>
          <w:color w:val="333333"/>
          <w:sz w:val="22"/>
          <w:szCs w:val="22"/>
        </w:rPr>
        <w:t xml:space="preserve">Review Risk Management System documentation — ongoing process, not a one-time document.</w:t>
      </w:r>
    </w:p>
    <w:p>
      <w:pPr>
        <w:pStyle w:val="ListParagraph"/>
        <w:numPr>
          <w:ilvl w:val="0"/>
          <w:numId w:val="3"/>
        </w:numPr>
        <w:spacing w:after="40" w:before="40"/>
      </w:pPr>
      <w:r>
        <w:rPr>
          <w:rFonts w:ascii="Arial" w:cs="Arial" w:eastAsia="Arial" w:hAnsi="Arial"/>
          <w:color w:val="333333"/>
          <w:sz w:val="22"/>
          <w:szCs w:val="22"/>
        </w:rPr>
        <w:t xml:space="preserve">Review Data Governance documentation — training data sources, bias assessment, quality controls.</w:t>
      </w:r>
    </w:p>
    <w:p>
      <w:pPr>
        <w:pStyle w:val="ListParagraph"/>
        <w:numPr>
          <w:ilvl w:val="0"/>
          <w:numId w:val="3"/>
        </w:numPr>
        <w:spacing w:after="40" w:before="40"/>
      </w:pPr>
      <w:r>
        <w:rPr>
          <w:rFonts w:ascii="Arial" w:cs="Arial" w:eastAsia="Arial" w:hAnsi="Arial"/>
          <w:color w:val="333333"/>
          <w:sz w:val="22"/>
          <w:szCs w:val="22"/>
        </w:rPr>
        <w:t xml:space="preserve">Confirm logging configuration is active — pull a sample log to verify automated capture.</w:t>
      </w:r>
    </w:p>
    <w:p>
      <w:pPr>
        <w:pStyle w:val="ListParagraph"/>
        <w:numPr>
          <w:ilvl w:val="0"/>
          <w:numId w:val="3"/>
        </w:numPr>
        <w:spacing w:after="40" w:before="40"/>
      </w:pPr>
      <w:r>
        <w:rPr>
          <w:rFonts w:ascii="Arial" w:cs="Arial" w:eastAsia="Arial" w:hAnsi="Arial"/>
          <w:color w:val="333333"/>
          <w:sz w:val="22"/>
          <w:szCs w:val="22"/>
        </w:rPr>
        <w:t xml:space="preserve">Review Human Oversight procedures — documented, and staff trained on them.</w:t>
      </w:r>
    </w:p>
    <w:p>
      <w:pPr>
        <w:pStyle w:val="ListParagraph"/>
        <w:numPr>
          <w:ilvl w:val="0"/>
          <w:numId w:val="3"/>
        </w:numPr>
        <w:spacing w:after="40" w:before="40"/>
      </w:pPr>
      <w:r>
        <w:rPr>
          <w:rFonts w:ascii="Arial" w:cs="Arial" w:eastAsia="Arial" w:hAnsi="Arial"/>
          <w:color w:val="333333"/>
          <w:sz w:val="22"/>
          <w:szCs w:val="22"/>
        </w:rPr>
        <w:t xml:space="preserve">Review conformity assessment records — self-assessed or Notified Body, as appropriate.</w:t>
      </w:r>
    </w:p>
    <w:p>
      <w:pPr>
        <w:pStyle w:val="ListParagraph"/>
        <w:numPr>
          <w:ilvl w:val="0"/>
          <w:numId w:val="3"/>
        </w:numPr>
        <w:spacing w:after="40" w:before="40"/>
      </w:pPr>
      <w:r>
        <w:rPr>
          <w:rFonts w:ascii="Arial" w:cs="Arial" w:eastAsia="Arial" w:hAnsi="Arial"/>
          <w:color w:val="333333"/>
          <w:sz w:val="22"/>
          <w:szCs w:val="22"/>
        </w:rPr>
        <w:t xml:space="preserve">Review incident register — any serious incidents reported to national authority within 15 days?</w:t>
      </w:r>
    </w:p>
    <w:p>
      <w:pPr>
        <w:pStyle w:val="Heading2"/>
        <w:shd w:fill="2E6DA4" w:val="clear"/>
        <w:spacing w:after="80" w:before="240"/>
        <w:ind w:left="120"/>
      </w:pPr>
      <w:r>
        <w:rPr>
          <w:rFonts w:ascii="Arial" w:cs="Arial" w:eastAsia="Arial" w:hAnsi="Arial"/>
          <w:b/>
          <w:bCs/>
          <w:color w:val="FFFFFF"/>
          <w:sz w:val="26"/>
          <w:szCs w:val="26"/>
        </w:rPr>
        <w:t xml:space="preserve">Auditing GDPR</w:t>
      </w:r>
    </w:p>
    <w:p>
      <w:pPr>
        <w:pStyle w:val="Heading3"/>
        <w:pBdr>
          <w:bottom w:val="single" w:color="D6E4F0" w:sz="6"/>
        </w:pBdr>
        <w:spacing w:after="60" w:before="180"/>
      </w:pPr>
      <w:r>
        <w:rPr>
          <w:rFonts w:ascii="Arial" w:cs="Arial" w:eastAsia="Arial" w:hAnsi="Arial"/>
          <w:b/>
          <w:bCs/>
          <w:color w:val="1B3A6B"/>
          <w:sz w:val="24"/>
          <w:szCs w:val="24"/>
        </w:rPr>
        <w:t xml:space="preserve">What Makes It Different</w:t>
      </w:r>
    </w:p>
    <w:p>
      <w:pPr>
        <w:spacing w:after="60" w:before="60"/>
      </w:pPr>
      <w:r>
        <w:rPr>
          <w:rFonts w:ascii="Arial" w:cs="Arial" w:eastAsia="Arial" w:hAnsi="Arial"/>
          <w:color w:val="333333"/>
          <w:sz w:val="22"/>
          <w:szCs w:val="22"/>
        </w:rPr>
        <w:t xml:space="preserve">GDPR audits are ultimately about rights — the fundamental rights of individuals. This is not just a compliance exercise. When you identify a GDPR gap, you are identifying a situation where someone's right to privacy, right to access their data, or right to not be subject to automated decisions may have been violated. Keep that framing in mind.</w:t>
      </w:r>
    </w:p>
    <w:p>
      <w:pPr>
        <w:pStyle w:val="Heading3"/>
        <w:pBdr>
          <w:bottom w:val="single" w:color="D6E4F0" w:sz="6"/>
        </w:pBdr>
        <w:spacing w:after="60" w:before="180"/>
      </w:pPr>
      <w:r>
        <w:rPr>
          <w:rFonts w:ascii="Arial" w:cs="Arial" w:eastAsia="Arial" w:hAnsi="Arial"/>
          <w:b/>
          <w:bCs/>
          <w:color w:val="1B3A6B"/>
          <w:sz w:val="24"/>
          <w:szCs w:val="24"/>
        </w:rPr>
        <w:t xml:space="preserve">The RoPA Audit — Your Starting Point</w:t>
      </w:r>
    </w:p>
    <w:p>
      <w:pPr>
        <w:spacing w:after="60" w:before="60"/>
      </w:pPr>
      <w:r>
        <w:rPr>
          <w:rFonts w:ascii="Arial" w:cs="Arial" w:eastAsia="Arial" w:hAnsi="Arial"/>
          <w:color w:val="333333"/>
          <w:sz w:val="22"/>
          <w:szCs w:val="22"/>
        </w:rPr>
        <w:t xml:space="preserve">The Record of Processing Activities (RoPA) is the map of everything GDPR touches in the organization. Start every GDPR audit here. If the RoPA is incomplete or out of date, every subsequent test is compromised because you do not know what you are looking at.</w:t>
      </w:r>
    </w:p>
    <w:p>
      <w:pPr>
        <w:pStyle w:val="ListParagraph"/>
        <w:numPr>
          <w:ilvl w:val="0"/>
          <w:numId w:val="2"/>
        </w:numPr>
        <w:spacing w:after="40" w:before="40"/>
      </w:pPr>
      <w:r>
        <w:rPr>
          <w:rFonts w:ascii="Arial" w:cs="Arial" w:eastAsia="Arial" w:hAnsi="Arial"/>
          <w:color w:val="333333"/>
          <w:sz w:val="22"/>
          <w:szCs w:val="22"/>
        </w:rPr>
        <w:t xml:space="preserve">Obtain the current RoPA. Confirm it was reviewed and updated within the past 12 months.</w:t>
      </w:r>
    </w:p>
    <w:p>
      <w:pPr>
        <w:pStyle w:val="ListParagraph"/>
        <w:numPr>
          <w:ilvl w:val="0"/>
          <w:numId w:val="2"/>
        </w:numPr>
        <w:spacing w:after="40" w:before="40"/>
      </w:pPr>
      <w:r>
        <w:rPr>
          <w:rFonts w:ascii="Arial" w:cs="Arial" w:eastAsia="Arial" w:hAnsi="Arial"/>
          <w:color w:val="333333"/>
          <w:sz w:val="22"/>
          <w:szCs w:val="22"/>
        </w:rPr>
        <w:t xml:space="preserve">Cross-reference the RoPA against the AI System Inventory (if NIST AI RMF or ISO 42001 is also in scope). Every AI system that processes personal data must appear in the RoPA.</w:t>
      </w:r>
    </w:p>
    <w:p>
      <w:pPr>
        <w:pStyle w:val="ListParagraph"/>
        <w:numPr>
          <w:ilvl w:val="0"/>
          <w:numId w:val="2"/>
        </w:numPr>
        <w:spacing w:after="40" w:before="40"/>
      </w:pPr>
      <w:r>
        <w:rPr>
          <w:rFonts w:ascii="Arial" w:cs="Arial" w:eastAsia="Arial" w:hAnsi="Arial"/>
          <w:color w:val="333333"/>
          <w:sz w:val="22"/>
          <w:szCs w:val="22"/>
        </w:rPr>
        <w:t xml:space="preserve">For each entry in the RoPA, confirm a lawful basis is documented. Blank lawful basis fields are immediate findings.</w:t>
      </w:r>
    </w:p>
    <w:p>
      <w:pPr>
        <w:pStyle w:val="ListParagraph"/>
        <w:numPr>
          <w:ilvl w:val="0"/>
          <w:numId w:val="2"/>
        </w:numPr>
        <w:spacing w:after="40" w:before="40"/>
      </w:pPr>
      <w:r>
        <w:rPr>
          <w:rFonts w:ascii="Arial" w:cs="Arial" w:eastAsia="Arial" w:hAnsi="Arial"/>
          <w:color w:val="333333"/>
          <w:sz w:val="22"/>
          <w:szCs w:val="22"/>
        </w:rPr>
        <w:t xml:space="preserve">For entries listing Consent as the lawful basis, request consent records. Confirm consent was freely given, specific, informed, and unambiguous.</w:t>
      </w:r>
    </w:p>
    <w:p>
      <w:pPr>
        <w:pStyle w:val="ListParagraph"/>
        <w:numPr>
          <w:ilvl w:val="0"/>
          <w:numId w:val="2"/>
        </w:numPr>
        <w:spacing w:after="40" w:before="40"/>
      </w:pPr>
      <w:r>
        <w:rPr>
          <w:rFonts w:ascii="Arial" w:cs="Arial" w:eastAsia="Arial" w:hAnsi="Arial"/>
          <w:color w:val="333333"/>
          <w:sz w:val="22"/>
          <w:szCs w:val="22"/>
        </w:rPr>
        <w:t xml:space="preserve">For entries listing Legitimate Interests, request the Legitimate Interests Assessment (LIA). The LIA must document the balancing test.</w:t>
      </w:r>
    </w:p>
    <w:p>
      <w:pPr>
        <w:pStyle w:val="Heading3"/>
        <w:pBdr>
          <w:bottom w:val="single" w:color="D6E4F0" w:sz="6"/>
        </w:pBdr>
        <w:spacing w:after="60" w:before="180"/>
      </w:pPr>
      <w:r>
        <w:rPr>
          <w:rFonts w:ascii="Arial" w:cs="Arial" w:eastAsia="Arial" w:hAnsi="Arial"/>
          <w:b/>
          <w:bCs/>
          <w:color w:val="1B3A6B"/>
          <w:sz w:val="24"/>
          <w:szCs w:val="24"/>
        </w:rPr>
        <w:t xml:space="preserve">Article 22 Automated Decision-Making Audit</w:t>
      </w:r>
    </w:p>
    <w:p>
      <w:pPr>
        <w:spacing w:after="60" w:before="60"/>
      </w:pPr>
      <w:r>
        <w:rPr>
          <w:rFonts w:ascii="Arial" w:cs="Arial" w:eastAsia="Arial" w:hAnsi="Arial"/>
          <w:color w:val="333333"/>
          <w:sz w:val="22"/>
          <w:szCs w:val="22"/>
        </w:rPr>
        <w:t xml:space="preserve">For any AI system that makes or informs decisions about individuals, assess Article 22 compliance:</w:t>
      </w:r>
    </w:p>
    <w:p>
      <w:pPr>
        <w:pStyle w:val="ListParagraph"/>
        <w:numPr>
          <w:ilvl w:val="0"/>
          <w:numId w:val="2"/>
        </w:numPr>
        <w:spacing w:after="40" w:before="40"/>
      </w:pPr>
      <w:r>
        <w:rPr>
          <w:rFonts w:ascii="Arial" w:cs="Arial" w:eastAsia="Arial" w:hAnsi="Arial"/>
          <w:color w:val="333333"/>
          <w:sz w:val="22"/>
          <w:szCs w:val="22"/>
        </w:rPr>
        <w:t xml:space="preserve">Does the AI system make decisions with legal or similarly significant effects on individuals (employment, credit, benefits, services)?</w:t>
      </w:r>
    </w:p>
    <w:p>
      <w:pPr>
        <w:pStyle w:val="ListParagraph"/>
        <w:numPr>
          <w:ilvl w:val="0"/>
          <w:numId w:val="2"/>
        </w:numPr>
        <w:spacing w:after="40" w:before="40"/>
      </w:pPr>
      <w:r>
        <w:rPr>
          <w:rFonts w:ascii="Arial" w:cs="Arial" w:eastAsia="Arial" w:hAnsi="Arial"/>
          <w:color w:val="333333"/>
          <w:sz w:val="22"/>
          <w:szCs w:val="22"/>
        </w:rPr>
        <w:t xml:space="preserve">Are those decisions made without meaningful human involvement (fully automated)?</w:t>
      </w:r>
    </w:p>
    <w:p>
      <w:pPr>
        <w:pStyle w:val="ListParagraph"/>
        <w:numPr>
          <w:ilvl w:val="0"/>
          <w:numId w:val="2"/>
        </w:numPr>
        <w:spacing w:after="40" w:before="40"/>
      </w:pPr>
      <w:r>
        <w:rPr>
          <w:rFonts w:ascii="Arial" w:cs="Arial" w:eastAsia="Arial" w:hAnsi="Arial"/>
          <w:color w:val="333333"/>
          <w:sz w:val="22"/>
          <w:szCs w:val="22"/>
        </w:rPr>
        <w:t xml:space="preserve">If both answers are yes: what is the lawful basis for Article 22 processing? Is it consent, contract necessity, or Union law authorization?</w:t>
      </w:r>
    </w:p>
    <w:p>
      <w:pPr>
        <w:pStyle w:val="ListParagraph"/>
        <w:numPr>
          <w:ilvl w:val="0"/>
          <w:numId w:val="2"/>
        </w:numPr>
        <w:spacing w:after="40" w:before="40"/>
      </w:pPr>
      <w:r>
        <w:rPr>
          <w:rFonts w:ascii="Arial" w:cs="Arial" w:eastAsia="Arial" w:hAnsi="Arial"/>
          <w:color w:val="333333"/>
          <w:sz w:val="22"/>
          <w:szCs w:val="22"/>
        </w:rPr>
        <w:t xml:space="preserve">Are individuals notified that automated decision-making is occurring?</w:t>
      </w:r>
    </w:p>
    <w:p>
      <w:pPr>
        <w:pStyle w:val="ListParagraph"/>
        <w:numPr>
          <w:ilvl w:val="0"/>
          <w:numId w:val="2"/>
        </w:numPr>
        <w:spacing w:after="40" w:before="40"/>
      </w:pPr>
      <w:r>
        <w:rPr>
          <w:rFonts w:ascii="Arial" w:cs="Arial" w:eastAsia="Arial" w:hAnsi="Arial"/>
          <w:color w:val="333333"/>
          <w:sz w:val="22"/>
          <w:szCs w:val="22"/>
        </w:rPr>
        <w:t xml:space="preserve">Do individuals have a mechanism to request human review, express their view, and contest the decision?</w:t>
      </w:r>
    </w:p>
    <w:p>
      <w:pPr>
        <w:pStyle w:val="ListParagraph"/>
        <w:numPr>
          <w:ilvl w:val="0"/>
          <w:numId w:val="2"/>
        </w:numPr>
        <w:spacing w:after="40" w:before="40"/>
      </w:pPr>
      <w:r>
        <w:rPr>
          <w:rFonts w:ascii="Arial" w:cs="Arial" w:eastAsia="Arial" w:hAnsi="Arial"/>
          <w:color w:val="333333"/>
          <w:sz w:val="22"/>
          <w:szCs w:val="22"/>
        </w:rPr>
        <w:t xml:space="preserve">Is there evidence those mechanisms actually work — has anyone exercised them, and was the request processed correctly?</w:t>
      </w:r>
    </w:p>
    <w:p>
      <w:pPr>
        <w:pStyle w:val="Heading3"/>
        <w:pBdr>
          <w:bottom w:val="single" w:color="D6E4F0" w:sz="6"/>
        </w:pBdr>
        <w:spacing w:after="60" w:before="180"/>
      </w:pPr>
      <w:r>
        <w:rPr>
          <w:rFonts w:ascii="Arial" w:cs="Arial" w:eastAsia="Arial" w:hAnsi="Arial"/>
          <w:b/>
          <w:bCs/>
          <w:color w:val="1B3A6B"/>
          <w:sz w:val="24"/>
          <w:szCs w:val="24"/>
        </w:rPr>
        <w:t xml:space="preserve">Cross-Border Data Transfers — SCCs and Transfer Impact Assessments</w:t>
      </w:r>
    </w:p>
    <w:p>
      <w:pPr>
        <w:spacing w:after="60" w:before="60"/>
      </w:pPr>
      <w:r>
        <w:rPr>
          <w:rFonts w:ascii="Arial" w:cs="Arial" w:eastAsia="Arial" w:hAnsi="Arial"/>
          <w:color w:val="333333"/>
          <w:sz w:val="22"/>
          <w:szCs w:val="22"/>
        </w:rPr>
        <w:t xml:space="preserve">For organizations using cloud-based AI providers headquartered outside the EU — which covers virtually every organization using OpenAI, AWS, Microsoft Azure, or Google Cloud for AI workloads — GDPR Chapter V governs cross-border personal data transfers. This is one of the most commonly under-audited GDPR areas in AI governance. Two key mechanisms apply:</w:t>
      </w:r>
    </w:p>
    <w:p>
      <w:pPr>
        <w:pStyle w:val="ListParagraph"/>
        <w:numPr>
          <w:ilvl w:val="0"/>
          <w:numId w:val="2"/>
        </w:numPr>
        <w:spacing w:after="40" w:before="40"/>
      </w:pPr>
      <w:r>
        <w:rPr>
          <w:rFonts w:ascii="Arial" w:cs="Arial" w:eastAsia="Arial" w:hAnsi="Arial"/>
          <w:b/>
          <w:bCs/>
          <w:color w:val="333333"/>
          <w:sz w:val="22"/>
          <w:szCs w:val="22"/>
        </w:rPr>
        <w:t xml:space="preserve">Standard Contractual Clauses (SCCs) </w:t>
      </w:r>
      <w:r>
        <w:rPr>
          <w:rFonts w:ascii="Arial" w:cs="Arial" w:eastAsia="Arial" w:hAnsi="Arial"/>
          <w:color w:val="333333"/>
          <w:sz w:val="22"/>
          <w:szCs w:val="22"/>
        </w:rPr>
        <w:t xml:space="preserve">— EU Commission-approved contractual clauses that provide a legal mechanism for transferring personal data to third countries without an EU adequacy decision. When auditing GDPR for AI systems, request evidence that SCCs are in place with every non-EU AI vendor processing personal data. Absence of SCCs where required is a Major finding.</w:t>
      </w:r>
    </w:p>
    <w:p>
      <w:pPr>
        <w:pStyle w:val="ListParagraph"/>
        <w:numPr>
          <w:ilvl w:val="0"/>
          <w:numId w:val="2"/>
        </w:numPr>
        <w:spacing w:after="40" w:before="40"/>
      </w:pPr>
      <w:r>
        <w:rPr>
          <w:rFonts w:ascii="Arial" w:cs="Arial" w:eastAsia="Arial" w:hAnsi="Arial"/>
          <w:b/>
          <w:bCs/>
          <w:color w:val="333333"/>
          <w:sz w:val="22"/>
          <w:szCs w:val="22"/>
        </w:rPr>
        <w:t xml:space="preserve">Transfer Impact Assessment (TIA) </w:t>
      </w:r>
      <w:r>
        <w:rPr>
          <w:rFonts w:ascii="Arial" w:cs="Arial" w:eastAsia="Arial" w:hAnsi="Arial"/>
          <w:color w:val="333333"/>
          <w:sz w:val="22"/>
          <w:szCs w:val="22"/>
        </w:rPr>
        <w:t xml:space="preserve">— A documented assessment of whether the legal framework of the destination country adequately protects the data being transferred. Following the Schrems II ruling, SCCs alone are no longer sufficient — a TIA must evaluate whether the destination country’s law undermines the SCC protections in practice. When auditing, request TIAs for all significant AI vendor relationships involving non-EU data processing. An organization using a US-based LLM provider to process EU personal data without a current TIA has a compliance gap.</w:t>
      </w:r>
    </w:p>
    <w:p>
      <w:pPr>
        <w:pBdr>
          <w:bottom w:val="single" w:color="D6E4F0" w:sz="6"/>
        </w:pBdr>
        <w:spacing w:after="120" w:before="120"/>
      </w:pPr>
      <w:r>
        <w:rPr>
          <w:rFonts w:ascii="Arial" w:cs="Arial" w:eastAsia="Arial" w:hAnsi="Arial"/>
          <w:color w:val="333333"/>
          <w:sz w:val="22"/>
          <w:szCs w:val="22"/>
        </w:rPr>
        <w:t xml:space="preserve"/>
      </w:r>
    </w:p>
    <w:p>
      <w:pPr>
        <w:pStyle w:val="Heading2"/>
        <w:shd w:fill="2E6DA4" w:val="clear"/>
        <w:spacing w:after="80" w:before="240"/>
        <w:ind w:left="120"/>
      </w:pPr>
      <w:r>
        <w:rPr>
          <w:rFonts w:ascii="Arial" w:cs="Arial" w:eastAsia="Arial" w:hAnsi="Arial"/>
          <w:b/>
          <w:bCs/>
          <w:color w:val="FFFFFF"/>
          <w:sz w:val="26"/>
          <w:szCs w:val="26"/>
        </w:rPr>
        <w:t xml:space="preserve">When Frameworks Overlap in a Single Audit</w:t>
      </w:r>
    </w:p>
    <w:p>
      <w:pPr>
        <w:spacing w:after="60" w:before="60"/>
      </w:pPr>
      <w:r>
        <w:rPr>
          <w:rFonts w:ascii="Arial" w:cs="Arial" w:eastAsia="Arial" w:hAnsi="Arial"/>
          <w:color w:val="333333"/>
          <w:sz w:val="22"/>
          <w:szCs w:val="22"/>
        </w:rPr>
        <w:t xml:space="preserve">In practice, you will rarely audit a single framework in isolation. The most common combinations are ISO 27001 + ISO 42001 (increasingly integrated as a combined ISMS/AIMS), and EU AI Act + GDPR (which almost always co-occur for any AI system processing personal data in the EU). Here is how to manage overlapping scope without doubling your workload or leaving gaps.</w:t>
      </w:r>
    </w:p>
    <w:p>
      <w:pPr>
        <w:pStyle w:val="Heading3"/>
        <w:pBdr>
          <w:bottom w:val="single" w:color="D6E4F0" w:sz="6"/>
        </w:pBdr>
        <w:spacing w:after="60" w:before="180"/>
      </w:pPr>
      <w:r>
        <w:rPr>
          <w:rFonts w:ascii="Arial" w:cs="Arial" w:eastAsia="Arial" w:hAnsi="Arial"/>
          <w:b/>
          <w:bCs/>
          <w:color w:val="1B3A6B"/>
          <w:sz w:val="24"/>
          <w:szCs w:val="24"/>
        </w:rPr>
        <w:t xml:space="preserve">ISO 27001 + ISO 42001 (Integrated ISMS/AIMS)</w:t>
      </w:r>
    </w:p>
    <w:p>
      <w:pPr>
        <w:pStyle w:val="ListParagraph"/>
        <w:numPr>
          <w:ilvl w:val="0"/>
          <w:numId w:val="2"/>
        </w:numPr>
        <w:spacing w:after="40" w:before="40"/>
      </w:pPr>
      <w:r>
        <w:rPr>
          <w:rFonts w:ascii="Arial" w:cs="Arial" w:eastAsia="Arial" w:hAnsi="Arial"/>
          <w:color w:val="333333"/>
          <w:sz w:val="22"/>
          <w:szCs w:val="22"/>
        </w:rPr>
        <w:t xml:space="preserve">Use a single Risk Assessment process that satisfies both Clause 6.1 requirements. The methodology document, risk register, and risk treatment plan can be structured once and referenced in both SoAs.</w:t>
      </w:r>
    </w:p>
    <w:p>
      <w:pPr>
        <w:pStyle w:val="ListParagraph"/>
        <w:numPr>
          <w:ilvl w:val="0"/>
          <w:numId w:val="2"/>
        </w:numPr>
        <w:spacing w:after="40" w:before="40"/>
      </w:pPr>
      <w:r>
        <w:rPr>
          <w:rFonts w:ascii="Arial" w:cs="Arial" w:eastAsia="Arial" w:hAnsi="Arial"/>
          <w:color w:val="333333"/>
          <w:sz w:val="22"/>
          <w:szCs w:val="22"/>
        </w:rPr>
        <w:t xml:space="preserve">Conduct a single Internal Audit program that covers both management systems. Issue a combined audit report with framework-specific findings sections. This is accepted practice under both standards.</w:t>
      </w:r>
    </w:p>
    <w:p>
      <w:pPr>
        <w:pStyle w:val="ListParagraph"/>
        <w:numPr>
          <w:ilvl w:val="0"/>
          <w:numId w:val="2"/>
        </w:numPr>
        <w:spacing w:after="40" w:before="40"/>
      </w:pPr>
      <w:r>
        <w:rPr>
          <w:rFonts w:ascii="Arial" w:cs="Arial" w:eastAsia="Arial" w:hAnsi="Arial"/>
          <w:color w:val="333333"/>
          <w:sz w:val="22"/>
          <w:szCs w:val="22"/>
        </w:rPr>
        <w:t xml:space="preserve">Hold a single Management Review that satisfies both Clause 9.3 requirements. Management Review minutes should explicitly note that both the ISMS and AIMS were reviewed.</w:t>
      </w:r>
    </w:p>
    <w:p>
      <w:pPr>
        <w:pStyle w:val="ListParagraph"/>
        <w:numPr>
          <w:ilvl w:val="0"/>
          <w:numId w:val="2"/>
        </w:numPr>
        <w:spacing w:after="40" w:before="40"/>
      </w:pPr>
      <w:r>
        <w:rPr>
          <w:rFonts w:ascii="Arial" w:cs="Arial" w:eastAsia="Arial" w:hAnsi="Arial"/>
          <w:color w:val="333333"/>
          <w:sz w:val="22"/>
          <w:szCs w:val="22"/>
        </w:rPr>
        <w:t xml:space="preserve">Supplier Management evidence (vendor assessments, contractual clauses) satisfies both ISO 27001 Annex A controls A.5.19–5.22 and ISO 42001 third-party management controls simultaneously. Request it once, cite it twice.</w:t>
      </w:r>
    </w:p>
    <w:p>
      <w:pPr>
        <w:pStyle w:val="Heading3"/>
        <w:pBdr>
          <w:bottom w:val="single" w:color="D6E4F0" w:sz="6"/>
        </w:pBdr>
        <w:spacing w:after="60" w:before="180"/>
      </w:pPr>
      <w:r>
        <w:rPr>
          <w:rFonts w:ascii="Arial" w:cs="Arial" w:eastAsia="Arial" w:hAnsi="Arial"/>
          <w:b/>
          <w:bCs/>
          <w:color w:val="1B3A6B"/>
          <w:sz w:val="24"/>
          <w:szCs w:val="24"/>
        </w:rPr>
        <w:t xml:space="preserve">EU AI Act + GDPR (High-Risk AI Processing Personal Data)</w:t>
      </w:r>
    </w:p>
    <w:p>
      <w:pPr>
        <w:pStyle w:val="ListParagraph"/>
        <w:numPr>
          <w:ilvl w:val="0"/>
          <w:numId w:val="2"/>
        </w:numPr>
        <w:spacing w:after="40" w:before="40"/>
      </w:pPr>
      <w:r>
        <w:rPr>
          <w:rFonts w:ascii="Arial" w:cs="Arial" w:eastAsia="Arial" w:hAnsi="Arial"/>
          <w:color w:val="333333"/>
          <w:sz w:val="22"/>
          <w:szCs w:val="22"/>
        </w:rPr>
        <w:t xml:space="preserve">The EU AI Act Article 9 Risk Management System and the GDPR Article 35 DPIA serve overlapping but distinct purposes. The EU AI Act focuses on AI system risk to fundamental rights broadly; GDPR DPIA focuses specifically on risks to personal data. For high-risk AI systems that process personal data, both are required. Do not substitute one for the other — produce both, but cross-reference them to avoid duplicating the underlying analysis.</w:t>
      </w:r>
    </w:p>
    <w:p>
      <w:pPr>
        <w:pStyle w:val="ListParagraph"/>
        <w:numPr>
          <w:ilvl w:val="0"/>
          <w:numId w:val="2"/>
        </w:numPr>
        <w:spacing w:after="40" w:before="40"/>
      </w:pPr>
      <w:r>
        <w:rPr>
          <w:rFonts w:ascii="Arial" w:cs="Arial" w:eastAsia="Arial" w:hAnsi="Arial"/>
          <w:color w:val="333333"/>
          <w:sz w:val="22"/>
          <w:szCs w:val="22"/>
        </w:rPr>
        <w:t xml:space="preserve">EU AI Act Article 10 data governance requirements and GDPR data quality obligations (Article 5(1)(d)) are closely aligned. A single data governance documentation package, covering data sources, quality controls, bias assessment, and retention policies, can satisfy both. Reference it in both audit workpapers.</w:t>
      </w:r>
    </w:p>
    <w:p>
      <w:pPr>
        <w:pStyle w:val="ListParagraph"/>
        <w:numPr>
          <w:ilvl w:val="0"/>
          <w:numId w:val="2"/>
        </w:numPr>
        <w:spacing w:after="40" w:before="40"/>
      </w:pPr>
      <w:r>
        <w:rPr>
          <w:rFonts w:ascii="Arial" w:cs="Arial" w:eastAsia="Arial" w:hAnsi="Arial"/>
          <w:color w:val="333333"/>
          <w:sz w:val="22"/>
          <w:szCs w:val="22"/>
        </w:rPr>
        <w:t xml:space="preserve">EU AI Act Article 14 (Human Oversight) and GDPR Article 22 (right to human review of automated decisions) both require human intervention mechanisms. The technical implementation — an override function, a human review queue, a documented escalation path — satisfies both. Test it once, document it in both frameworks’ workpapers.</w:t>
      </w:r>
    </w:p>
    <w:p>
      <w:pPr>
        <w:pStyle w:val="ListParagraph"/>
        <w:numPr>
          <w:ilvl w:val="0"/>
          <w:numId w:val="2"/>
        </w:numPr>
        <w:spacing w:after="40" w:before="40"/>
      </w:pPr>
      <w:r>
        <w:rPr>
          <w:rFonts w:ascii="Arial" w:cs="Arial" w:eastAsia="Arial" w:hAnsi="Arial"/>
          <w:color w:val="333333"/>
          <w:sz w:val="22"/>
          <w:szCs w:val="22"/>
        </w:rPr>
        <w:t xml:space="preserve">Incident reporting timelines differ: EU AI Act requires serious incident notification within 15 calendar days; GDPR requires personal data breach notification within 72 hours. Where an incident involves both a serious AI malfunction and a personal data breach — which is common — the 72-hour GDPR clock governs. Build your incident response procedure to meet the faster deadline and document compliance with both obligations in the same incident record.</w:t>
      </w:r>
    </w:p>
    <w:p>
      <w:r>
        <w:br/>
      </w:r>
    </w:p>
    <w:p>
      <w:pPr>
        <w:pStyle w:val="Heading1"/>
        <w:pBdr>
          <w:bottom w:val="single" w:color="C8960C" w:sz="8"/>
        </w:pBdr>
        <w:shd w:fill="1B3A6B" w:val="clear"/>
        <w:spacing w:after="120" w:before="360"/>
        <w:ind w:left="180" w:right="180"/>
      </w:pPr>
      <w:r>
        <w:rPr>
          <w:rFonts w:ascii="Arial" w:cs="Arial" w:eastAsia="Arial" w:hAnsi="Arial"/>
          <w:b/>
          <w:bCs/>
          <w:color w:val="FFFFFF"/>
          <w:sz w:val="32"/>
          <w:szCs w:val="32"/>
        </w:rPr>
        <w:t xml:space="preserve">Chapter 7: Working Paper and Report Templates</w:t>
      </w:r>
    </w:p>
    <w:p>
      <w:pPr>
        <w:spacing w:after="60" w:before="60"/>
      </w:pPr>
      <w:r>
        <w:rPr>
          <w:rFonts w:ascii="Arial" w:cs="Arial" w:eastAsia="Arial" w:hAnsi="Arial"/>
          <w:color w:val="333333"/>
          <w:sz w:val="22"/>
          <w:szCs w:val="22"/>
        </w:rPr>
        <w:t xml:space="preserve">Templates are not shortcuts — they are guardrails that ensure you capture the right information consistently. The templates below represent the minimum required structure. Add detail as needed for complex findings.</w:t>
      </w:r>
    </w:p>
    <w:p>
      <w:pPr>
        <w:pStyle w:val="Heading2"/>
        <w:shd w:fill="2E6DA4" w:val="clear"/>
        <w:spacing w:after="80" w:before="240"/>
        <w:ind w:left="120"/>
      </w:pPr>
      <w:r>
        <w:rPr>
          <w:rFonts w:ascii="Arial" w:cs="Arial" w:eastAsia="Arial" w:hAnsi="Arial"/>
          <w:b/>
          <w:bCs/>
          <w:color w:val="FFFFFF"/>
          <w:sz w:val="26"/>
          <w:szCs w:val="26"/>
        </w:rPr>
        <w:t xml:space="preserve">Template 1: Audit Working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9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Content</w:t>
            </w:r>
          </w:p>
        </w:tc>
      </w:tr>
      <w:tr>
        <w:tc>
          <w:tcPr>
            <w:tcW w:type="dxa" w:w="2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Working Paper Reference</w:t>
            </w:r>
          </w:p>
        </w:tc>
        <w:tc>
          <w:tcPr>
            <w:tcW w:type="dxa" w:w="69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[Audit ID]-[WP Number] e.g., ISO42001-2026-WP04</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Audit Program Step</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Step reference from the test plan. e.g., Step 2.3 — AI System Lifecycle Controls</w:t>
            </w:r>
          </w:p>
        </w:tc>
      </w:tr>
      <w:tr>
        <w:tc>
          <w:tcPr>
            <w:tcW w:type="dxa" w:w="2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Control / Requirement</w:t>
            </w:r>
          </w:p>
        </w:tc>
        <w:tc>
          <w:tcPr>
            <w:tcW w:type="dxa" w:w="69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Exact clause or control: ISO 42001 Clause 8 / Annex A Control A-6.2.3</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Population Defined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All AI systems deployed to production between January 1, 2025 and December 31, 2025. Total: 7 systems.</w:t>
            </w:r>
          </w:p>
        </w:tc>
      </w:tr>
      <w:tr>
        <w:tc>
          <w:tcPr>
            <w:tcW w:type="dxa" w:w="2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Sample Selected</w:t>
            </w:r>
          </w:p>
        </w:tc>
        <w:tc>
          <w:tcPr>
            <w:tcW w:type="dxa" w:w="69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3 systems selected using random number generation: Systems A, C, F. Selection documented in Attachment WP04-A.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Evidence Reviewed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AI System Inventory v3.1 (dated Jan 15, 2026). Lifecycle records for Systems A, C, F (provided by IT Governance Manager, Jan 28, 2026).</w:t>
            </w:r>
          </w:p>
        </w:tc>
      </w:tr>
      <w:tr>
        <w:tc>
          <w:tcPr>
            <w:tcW w:type="dxa" w:w="2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Procedure Performed</w:t>
            </w:r>
          </w:p>
        </w:tc>
        <w:tc>
          <w:tcPr>
            <w:tcW w:type="dxa" w:w="69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Reviewed lifecycle records for each sampled system. Confirmed presence of documented stage-gate approvals at: Design Review, Pre-Development Risk Assessment, Pre-Deployment Testing, and Production Approval stages.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Results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System A: All 4 stage-gate approvals documented. System C: Design Review and Pre-Development approvals present. Pre-Deployment Testing approval missing. Production Approval present but predates missing test approval — inconsistency noted. System F: All 4 stage-gate approvals documented.</w:t>
            </w:r>
          </w:p>
        </w:tc>
      </w:tr>
      <w:tr>
        <w:tc>
          <w:tcPr>
            <w:tcW w:type="dxa" w:w="2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Exceptions</w:t>
            </w:r>
          </w:p>
        </w:tc>
        <w:tc>
          <w:tcPr>
            <w:tcW w:type="dxa" w:w="69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1 exception: System C — Pre-Deployment Testing stage-gate approval not documented. Production Approval obtained without evidence of completed testing.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Conclusion</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Partially Conforming. 2 of 3 sampled systems (67%) have complete lifecycle documentation. 1 exception identified. See Finding Draft WP04-F1.</w:t>
            </w:r>
          </w:p>
        </w:tc>
      </w:tr>
      <w:tr>
        <w:tc>
          <w:tcPr>
            <w:tcW w:type="dxa" w:w="2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Auditor / Date</w:t>
            </w:r>
          </w:p>
        </w:tc>
        <w:tc>
          <w:tcPr>
            <w:tcW w:type="dxa" w:w="69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[Name], [Date]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Reviewed By / Date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[Audit Lead Name], [Date]</w:t>
            </w:r>
          </w:p>
        </w:tc>
      </w:tr>
    </w:tbl>
    <w:p>
      <w:pPr>
        <w:spacing w:after="0" w:before="240"/>
      </w:pPr>
      <w:r>
        <w:rPr>
          <w:rFonts w:ascii="Arial" w:cs="Arial" w:eastAsia="Arial" w:hAnsi="Arial"/>
          <w:color w:val="333333"/>
          <w:sz w:val="22"/>
          <w:szCs w:val="22"/>
        </w:rPr>
        <w:t xml:space="preserve"/>
      </w:r>
    </w:p>
    <w:p>
      <w:pPr>
        <w:pStyle w:val="Heading2"/>
        <w:shd w:fill="2E6DA4" w:val="clear"/>
        <w:spacing w:after="80" w:before="240"/>
        <w:ind w:left="120"/>
      </w:pPr>
      <w:r>
        <w:rPr>
          <w:rFonts w:ascii="Arial" w:cs="Arial" w:eastAsia="Arial" w:hAnsi="Arial"/>
          <w:b/>
          <w:bCs/>
          <w:color w:val="FFFFFF"/>
          <w:sz w:val="26"/>
          <w:szCs w:val="26"/>
        </w:rPr>
        <w:t xml:space="preserve">Template 2: Finding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9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Content</w:t>
            </w:r>
          </w:p>
        </w:tc>
      </w:tr>
      <w:tr>
        <w:tc>
          <w:tcPr>
            <w:tcW w:type="dxa" w:w="2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Finding ID</w:t>
            </w:r>
          </w:p>
        </w:tc>
        <w:tc>
          <w:tcPr>
            <w:tcW w:type="dxa" w:w="69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[Audit ID]-F[Number] e.g., ISO42001-2026-F03</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Classification</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Major Nonconformity / Minor Nonconformity / Observation</w:t>
            </w:r>
          </w:p>
        </w:tc>
      </w:tr>
      <w:tr>
        <w:tc>
          <w:tcPr>
            <w:tcW w:type="dxa" w:w="2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Criterion</w:t>
            </w:r>
          </w:p>
        </w:tc>
        <w:tc>
          <w:tcPr>
            <w:tcW w:type="dxa" w:w="69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Exact standard clause and control. e.g., ISO 42001:2023 Clause 8, Annex A Control A-6.2.3 — AI System Lifecycle.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Condition (What We Found)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State the gap factually. 'AI System C, deployed to production on [date], lacks documented Pre-Deployment Testing stage-gate approval. Production Approval was obtained on [date] prior to completion of required testing documentation.'</w:t>
            </w:r>
          </w:p>
        </w:tc>
      </w:tr>
      <w:tr>
        <w:tc>
          <w:tcPr>
            <w:tcW w:type="dxa" w:w="2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Evidence</w:t>
            </w:r>
          </w:p>
        </w:tc>
        <w:tc>
          <w:tcPr>
            <w:tcW w:type="dxa" w:w="69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AI System C Lifecycle Record (obtained Jan 28, 2026). AI System Inventory v3.1. Production Approval Sign-off dated [date]. No Pre-Deployment Testing record exists in the system file.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Risk (Why It Matters)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Without documented Pre-Deployment Testing approval, there is no assurance that System C met the organization's quality and risk standards prior to production deployment. This creates the risk that undiscovered defects, biases, or security vulnerabilities may be operating in a production environment without management awareness.</w:t>
            </w:r>
          </w:p>
        </w:tc>
      </w:tr>
      <w:tr>
        <w:tc>
          <w:tcPr>
            <w:tcW w:type="dxa" w:w="2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Recommendation</w:t>
            </w:r>
          </w:p>
        </w:tc>
        <w:tc>
          <w:tcPr>
            <w:tcW w:type="dxa" w:w="69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Conduct a retrospective review of System C's testing status. If testing was conducted, retrieve or reconstruct documentation. If testing was not conducted, conduct testing and document results before the system processes further high-volume transactions. Implement a lifecycle control gate that technically prevents production deployment without a completed and approved Pre-Deployment Testing record.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Auditee Response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[To be completed at closing meeting]</w:t>
            </w:r>
          </w:p>
        </w:tc>
      </w:tr>
      <w:tr>
        <w:tc>
          <w:tcPr>
            <w:tcW w:type="dxa" w:w="24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Auditor Note</w:t>
            </w:r>
          </w:p>
        </w:tc>
        <w:tc>
          <w:tcPr>
            <w:tcW w:type="dxa" w:w="696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pPr>
              <w:spacing w:after="0" w:before="0"/>
            </w:pPr>
            <w:r>
              <w:rPr>
                <w:rFonts w:ascii="Arial" w:cs="Arial" w:eastAsia="Arial" w:hAnsi="Arial"/>
                <w:color w:val="333333"/>
                <w:sz w:val="22"/>
                <w:szCs w:val="22"/>
              </w:rPr>
              <w:t xml:space="preserve">[Confirm or adjust finding based on auditee response]</w:t>
            </w:r>
          </w:p>
        </w:tc>
      </w:tr>
    </w:tbl>
    <w:p>
      <w:pPr>
        <w:spacing w:after="0" w:before="240"/>
      </w:pPr>
      <w:r>
        <w:rPr>
          <w:rFonts w:ascii="Arial" w:cs="Arial" w:eastAsia="Arial" w:hAnsi="Arial"/>
          <w:color w:val="333333"/>
          <w:sz w:val="22"/>
          <w:szCs w:val="22"/>
        </w:rPr>
        <w:t xml:space="preserve"/>
      </w:r>
    </w:p>
    <w:p>
      <w:pPr>
        <w:pStyle w:val="Heading2"/>
        <w:shd w:fill="2E6DA4" w:val="clear"/>
        <w:spacing w:after="80" w:before="240"/>
        <w:ind w:left="120"/>
      </w:pPr>
      <w:r>
        <w:rPr>
          <w:rFonts w:ascii="Arial" w:cs="Arial" w:eastAsia="Arial" w:hAnsi="Arial"/>
          <w:b/>
          <w:bCs/>
          <w:color w:val="FFFFFF"/>
          <w:sz w:val="26"/>
          <w:szCs w:val="26"/>
        </w:rPr>
        <w:t xml:space="preserve">Template 3: Corrective Action Record (CAR) Review Checklist</w:t>
      </w:r>
    </w:p>
    <w:p>
      <w:pPr>
        <w:spacing w:after="60" w:before="60"/>
      </w:pPr>
      <w:r>
        <w:rPr>
          <w:rFonts w:ascii="Arial" w:cs="Arial" w:eastAsia="Arial" w:hAnsi="Arial"/>
          <w:color w:val="333333"/>
          <w:sz w:val="22"/>
          <w:szCs w:val="22"/>
        </w:rPr>
        <w:t xml:space="preserve">Use this checklist when reviewing a CAR submitted by the auditee in response to a finding. A CAR is only adequate if all items check out:</w:t>
      </w:r>
    </w:p>
    <w:p>
      <w:pPr>
        <w:pStyle w:val="ListParagraph"/>
        <w:numPr>
          <w:ilvl w:val="0"/>
          <w:numId w:val="2"/>
        </w:numPr>
        <w:spacing w:after="40" w:before="40"/>
      </w:pPr>
      <w:r>
        <w:rPr>
          <w:rFonts w:ascii="Arial" w:cs="Arial" w:eastAsia="Arial" w:hAnsi="Arial"/>
          <w:color w:val="333333"/>
          <w:sz w:val="22"/>
          <w:szCs w:val="22"/>
        </w:rPr>
        <w:t xml:space="preserve">The corrective action addresses the root cause, not just the symptom.</w:t>
      </w:r>
    </w:p>
    <w:p>
      <w:pPr>
        <w:pStyle w:val="ListParagraph"/>
        <w:numPr>
          <w:ilvl w:val="0"/>
          <w:numId w:val="2"/>
        </w:numPr>
        <w:spacing w:after="40" w:before="40"/>
      </w:pPr>
      <w:r>
        <w:rPr>
          <w:rFonts w:ascii="Arial" w:cs="Arial" w:eastAsia="Arial" w:hAnsi="Arial"/>
          <w:color w:val="333333"/>
          <w:sz w:val="22"/>
          <w:szCs w:val="22"/>
        </w:rPr>
        <w:t xml:space="preserve">A specific individual is named as accountable for implementation.</w:t>
      </w:r>
    </w:p>
    <w:p>
      <w:pPr>
        <w:pStyle w:val="ListParagraph"/>
        <w:numPr>
          <w:ilvl w:val="0"/>
          <w:numId w:val="2"/>
        </w:numPr>
        <w:spacing w:after="40" w:before="40"/>
      </w:pPr>
      <w:r>
        <w:rPr>
          <w:rFonts w:ascii="Arial" w:cs="Arial" w:eastAsia="Arial" w:hAnsi="Arial"/>
          <w:color w:val="333333"/>
          <w:sz w:val="22"/>
          <w:szCs w:val="22"/>
        </w:rPr>
        <w:t xml:space="preserve">A target completion date is set and is realistic given the complexity of the action.</w:t>
      </w:r>
    </w:p>
    <w:p>
      <w:pPr>
        <w:pStyle w:val="ListParagraph"/>
        <w:numPr>
          <w:ilvl w:val="0"/>
          <w:numId w:val="2"/>
        </w:numPr>
        <w:spacing w:after="40" w:before="40"/>
      </w:pPr>
      <w:r>
        <w:rPr>
          <w:rFonts w:ascii="Arial" w:cs="Arial" w:eastAsia="Arial" w:hAnsi="Arial"/>
          <w:color w:val="333333"/>
          <w:sz w:val="22"/>
          <w:szCs w:val="22"/>
        </w:rPr>
        <w:t xml:space="preserve">The evidence of completion is defined — the auditee has committed to producing a specific artifact that proves the action was taken.</w:t>
      </w:r>
    </w:p>
    <w:p>
      <w:pPr>
        <w:pStyle w:val="ListParagraph"/>
        <w:numPr>
          <w:ilvl w:val="0"/>
          <w:numId w:val="2"/>
        </w:numPr>
        <w:spacing w:after="40" w:before="40"/>
      </w:pPr>
      <w:r>
        <w:rPr>
          <w:rFonts w:ascii="Arial" w:cs="Arial" w:eastAsia="Arial" w:hAnsi="Arial"/>
          <w:color w:val="333333"/>
          <w:sz w:val="22"/>
          <w:szCs w:val="22"/>
        </w:rPr>
        <w:t xml:space="preserve">The corrective action is proportionate to the severity of the finding — a Major Nonconformity should not have a 6-month remediation timeline without a documented interim compensating control.</w:t>
      </w:r>
    </w:p>
    <w:p>
      <w:pPr>
        <w:pStyle w:val="ListParagraph"/>
        <w:numPr>
          <w:ilvl w:val="0"/>
          <w:numId w:val="2"/>
        </w:numPr>
        <w:spacing w:after="40" w:before="40"/>
      </w:pPr>
      <w:r>
        <w:rPr>
          <w:rFonts w:ascii="Arial" w:cs="Arial" w:eastAsia="Arial" w:hAnsi="Arial"/>
          <w:color w:val="333333"/>
          <w:sz w:val="22"/>
          <w:szCs w:val="22"/>
        </w:rPr>
        <w:t xml:space="preserve">If the root cause involves a systemic process failure, the corrective action includes a systemic fix — not just addressing the specific instances identified in the finding.</w:t>
      </w:r>
    </w:p>
    <w:p>
      <w:pPr>
        <w:pBdr>
          <w:bottom w:val="single" w:color="D6E4F0" w:sz="6"/>
        </w:pBdr>
        <w:spacing w:after="120" w:before="120"/>
      </w:pPr>
      <w:r>
        <w:rPr>
          <w:rFonts w:ascii="Arial" w:cs="Arial" w:eastAsia="Arial" w:hAnsi="Arial"/>
          <w:color w:val="333333"/>
          <w:sz w:val="22"/>
          <w:szCs w:val="22"/>
        </w:rPr>
        <w:t xml:space="preserve"/>
      </w:r>
    </w:p>
    <w:p>
      <w:r>
        <w:br/>
      </w:r>
    </w:p>
    <w:p>
      <w:pPr>
        <w:pStyle w:val="Heading1"/>
        <w:pBdr>
          <w:bottom w:val="single" w:color="C8960C" w:sz="8"/>
        </w:pBdr>
        <w:shd w:fill="1B3A6B" w:val="clear"/>
        <w:spacing w:after="120" w:before="360"/>
        <w:ind w:left="180" w:right="180"/>
      </w:pPr>
      <w:r>
        <w:rPr>
          <w:rFonts w:ascii="Arial" w:cs="Arial" w:eastAsia="Arial" w:hAnsi="Arial"/>
          <w:b/>
          <w:bCs/>
          <w:color w:val="FFFFFF"/>
          <w:sz w:val="32"/>
          <w:szCs w:val="32"/>
        </w:rPr>
        <w:t xml:space="preserve">Chapter 8: The 10 Most Common Junior Auditor Mistakes</w:t>
      </w:r>
    </w:p>
    <w:p>
      <w:pPr>
        <w:spacing w:after="60" w:before="60"/>
      </w:pPr>
      <w:r>
        <w:rPr>
          <w:rFonts w:ascii="Arial" w:cs="Arial" w:eastAsia="Arial" w:hAnsi="Arial"/>
          <w:color w:val="333333"/>
          <w:sz w:val="22"/>
          <w:szCs w:val="22"/>
        </w:rPr>
        <w:t xml:space="preserve">Every mistake on this list was made by a real auditor — including, at various points in the past, me. Learn from the list so you do not have to learn from the experience.</w:t>
      </w:r>
    </w:p>
    <w:p>
      <w:pPr>
        <w:pStyle w:val="Heading3"/>
        <w:pBdr>
          <w:bottom w:val="single" w:color="D6E4F0" w:sz="6"/>
        </w:pBdr>
        <w:spacing w:after="60" w:before="180"/>
      </w:pPr>
      <w:r>
        <w:rPr>
          <w:rFonts w:ascii="Arial" w:cs="Arial" w:eastAsia="Arial" w:hAnsi="Arial"/>
          <w:b/>
          <w:bCs/>
          <w:color w:val="1B3A6B"/>
          <w:sz w:val="24"/>
          <w:szCs w:val="24"/>
        </w:rPr>
        <w:t xml:space="preserve">Mistake 1: Accepting the First Answer</w:t>
      </w:r>
    </w:p>
    <w:p>
      <w:pPr>
        <w:spacing w:after="60" w:before="60"/>
      </w:pPr>
      <w:r>
        <w:rPr>
          <w:rFonts w:ascii="Arial" w:cs="Arial" w:eastAsia="Arial" w:hAnsi="Arial"/>
          <w:color w:val="333333"/>
          <w:sz w:val="22"/>
          <w:szCs w:val="22"/>
        </w:rPr>
        <w:t xml:space="preserve">The auditee tells you the control is in place. You mark it conforming and move on. Do not. Always ask to see the evidence. 'Can you show me the most recent example?' is a sentence you will say dozens of times per audit. Verbal assurance without documentary corroboration is not audit evidence.</w:t>
      </w:r>
    </w:p>
    <w:p>
      <w:pPr>
        <w:pStyle w:val="Heading3"/>
        <w:pBdr>
          <w:bottom w:val="single" w:color="D6E4F0" w:sz="6"/>
        </w:pBdr>
        <w:spacing w:after="60" w:before="180"/>
      </w:pPr>
      <w:r>
        <w:rPr>
          <w:rFonts w:ascii="Arial" w:cs="Arial" w:eastAsia="Arial" w:hAnsi="Arial"/>
          <w:b/>
          <w:bCs/>
          <w:color w:val="1B3A6B"/>
          <w:sz w:val="24"/>
          <w:szCs w:val="24"/>
        </w:rPr>
        <w:t xml:space="preserve">Mistake 2: Letting the Auditee Select the Sample</w:t>
      </w:r>
    </w:p>
    <w:p>
      <w:pPr>
        <w:spacing w:after="60" w:before="60"/>
      </w:pPr>
      <w:r>
        <w:rPr>
          <w:rFonts w:ascii="Arial" w:cs="Arial" w:eastAsia="Arial" w:hAnsi="Arial"/>
          <w:color w:val="333333"/>
          <w:sz w:val="22"/>
          <w:szCs w:val="22"/>
        </w:rPr>
        <w:t xml:space="preserve">You ask for a sample of access reviews. The auditee hands you 10 pristine records. The problem: they picked the 10 best ones. You must either select the sample yourself or witness the selection from the full population. If you let the auditee select, your sample is meaningless and your conclusions are indefensible.</w:t>
      </w:r>
    </w:p>
    <w:p>
      <w:pPr>
        <w:pStyle w:val="Heading3"/>
        <w:pBdr>
          <w:bottom w:val="single" w:color="D6E4F0" w:sz="6"/>
        </w:pBdr>
        <w:spacing w:after="60" w:before="180"/>
      </w:pPr>
      <w:r>
        <w:rPr>
          <w:rFonts w:ascii="Arial" w:cs="Arial" w:eastAsia="Arial" w:hAnsi="Arial"/>
          <w:b/>
          <w:bCs/>
          <w:color w:val="1B3A6B"/>
          <w:sz w:val="24"/>
          <w:szCs w:val="24"/>
        </w:rPr>
        <w:t xml:space="preserve">Mistake 3: Scope Creep During Fieldwork</w:t>
      </w:r>
    </w:p>
    <w:p>
      <w:pPr>
        <w:spacing w:after="60" w:before="60"/>
      </w:pPr>
      <w:r>
        <w:rPr>
          <w:rFonts w:ascii="Arial" w:cs="Arial" w:eastAsia="Arial" w:hAnsi="Arial"/>
          <w:color w:val="333333"/>
          <w:sz w:val="22"/>
          <w:szCs w:val="22"/>
        </w:rPr>
        <w:t xml:space="preserve">You are auditing Clause 9 of ISO 42001 and during an interview you discover a potential issue with Clause 6 that is outside your scope. You cannot audit it now — it was not in your scope, you did not request relevant evidence, and you do not have a documented test plan for it. Note it as an observation, flag it for the next audit cycle, and stay in scope.</w:t>
      </w:r>
    </w:p>
    <w:p>
      <w:pPr>
        <w:pStyle w:val="Heading3"/>
        <w:pBdr>
          <w:bottom w:val="single" w:color="D6E4F0" w:sz="6"/>
        </w:pBdr>
        <w:spacing w:after="60" w:before="180"/>
      </w:pPr>
      <w:r>
        <w:rPr>
          <w:rFonts w:ascii="Arial" w:cs="Arial" w:eastAsia="Arial" w:hAnsi="Arial"/>
          <w:b/>
          <w:bCs/>
          <w:color w:val="1B3A6B"/>
          <w:sz w:val="24"/>
          <w:szCs w:val="24"/>
        </w:rPr>
        <w:t xml:space="preserve">Mistake 4: Springing Findings in the Report</w:t>
      </w:r>
    </w:p>
    <w:p>
      <w:pPr>
        <w:spacing w:after="60" w:before="60"/>
      </w:pPr>
      <w:r>
        <w:rPr>
          <w:rFonts w:ascii="Arial" w:cs="Arial" w:eastAsia="Arial" w:hAnsi="Arial"/>
          <w:color w:val="333333"/>
          <w:sz w:val="22"/>
          <w:szCs w:val="22"/>
        </w:rPr>
        <w:t xml:space="preserve">You found a significant issue during fieldwork. You did not mention it at the closing meeting. The auditee reads your report and disputes the finding — because they had responsive evidence you never asked for. Always present findings at the closing meeting and confirm facts before reporting.</w:t>
      </w:r>
    </w:p>
    <w:p>
      <w:pPr>
        <w:pStyle w:val="Heading3"/>
        <w:pBdr>
          <w:bottom w:val="single" w:color="D6E4F0" w:sz="6"/>
        </w:pBdr>
        <w:spacing w:after="60" w:before="180"/>
      </w:pPr>
      <w:r>
        <w:rPr>
          <w:rFonts w:ascii="Arial" w:cs="Arial" w:eastAsia="Arial" w:hAnsi="Arial"/>
          <w:b/>
          <w:bCs/>
          <w:color w:val="1B3A6B"/>
          <w:sz w:val="24"/>
          <w:szCs w:val="24"/>
        </w:rPr>
        <w:t xml:space="preserve">Mistake 5: Vague Finding Language</w:t>
      </w:r>
    </w:p>
    <w:p>
      <w:pPr>
        <w:spacing w:after="60" w:before="60"/>
      </w:pPr>
      <w:r>
        <w:rPr>
          <w:rFonts w:ascii="Arial" w:cs="Arial" w:eastAsia="Arial" w:hAnsi="Arial"/>
          <w:color w:val="333333"/>
          <w:sz w:val="22"/>
          <w:szCs w:val="22"/>
        </w:rPr>
        <w:t xml:space="preserve">'The organization's AI governance practices need improvement' is not a finding. It is an opinion. Findings must be specific: what was missing, where, when, in what evidence, against what criterion. If you cannot write a finding that clearly identifies the gap, you do not yet have enough evidence.</w:t>
      </w:r>
    </w:p>
    <w:p>
      <w:pPr>
        <w:pStyle w:val="Heading3"/>
        <w:pBdr>
          <w:bottom w:val="single" w:color="D6E4F0" w:sz="6"/>
        </w:pBdr>
        <w:spacing w:after="60" w:before="180"/>
      </w:pPr>
      <w:r>
        <w:rPr>
          <w:rFonts w:ascii="Arial" w:cs="Arial" w:eastAsia="Arial" w:hAnsi="Arial"/>
          <w:b/>
          <w:bCs/>
          <w:color w:val="1B3A6B"/>
          <w:sz w:val="24"/>
          <w:szCs w:val="24"/>
        </w:rPr>
        <w:t xml:space="preserve">Mistake 6: Confusing the Root Cause with the Symptom</w:t>
      </w:r>
    </w:p>
    <w:p>
      <w:pPr>
        <w:spacing w:after="60" w:before="60"/>
      </w:pPr>
      <w:r>
        <w:rPr>
          <w:rFonts w:ascii="Arial" w:cs="Arial" w:eastAsia="Arial" w:hAnsi="Arial"/>
          <w:color w:val="333333"/>
          <w:sz w:val="22"/>
          <w:szCs w:val="22"/>
        </w:rPr>
        <w:t xml:space="preserve">The finding is 'training records are missing for three employees.' The corrective action is 'conduct training for those three employees.' That is a symptom fix. The root cause might be that training is scheduled but completion is never verified, or that new hires are not enrolled in the training program. Fix the system.</w:t>
      </w:r>
    </w:p>
    <w:p>
      <w:pPr>
        <w:pStyle w:val="Heading3"/>
        <w:pBdr>
          <w:bottom w:val="single" w:color="D6E4F0" w:sz="6"/>
        </w:pBdr>
        <w:spacing w:after="60" w:before="180"/>
      </w:pPr>
      <w:r>
        <w:rPr>
          <w:rFonts w:ascii="Arial" w:cs="Arial" w:eastAsia="Arial" w:hAnsi="Arial"/>
          <w:b/>
          <w:bCs/>
          <w:color w:val="1B3A6B"/>
          <w:sz w:val="24"/>
          <w:szCs w:val="24"/>
        </w:rPr>
        <w:t xml:space="preserve">Mistake 7: Over-Classifying or Under-Classifying</w:t>
      </w:r>
    </w:p>
    <w:p>
      <w:pPr>
        <w:spacing w:after="60" w:before="60"/>
      </w:pPr>
      <w:r>
        <w:rPr>
          <w:rFonts w:ascii="Arial" w:cs="Arial" w:eastAsia="Arial" w:hAnsi="Arial"/>
          <w:color w:val="333333"/>
          <w:sz w:val="22"/>
          <w:szCs w:val="22"/>
        </w:rPr>
        <w:t xml:space="preserve">Calling an isolated procedural gap a Major Nonconformity alarms management unnecessarily and damages your credibility. Calling a complete absence of a required control an Observation protects no one. Classification must be proportionate and defensible. When in doubt, discuss with your team lead.</w:t>
      </w:r>
    </w:p>
    <w:p>
      <w:pPr>
        <w:pStyle w:val="Heading3"/>
        <w:pBdr>
          <w:bottom w:val="single" w:color="D6E4F0" w:sz="6"/>
        </w:pBdr>
        <w:spacing w:after="60" w:before="180"/>
      </w:pPr>
      <w:r>
        <w:rPr>
          <w:rFonts w:ascii="Arial" w:cs="Arial" w:eastAsia="Arial" w:hAnsi="Arial"/>
          <w:b/>
          <w:bCs/>
          <w:color w:val="1B3A6B"/>
          <w:sz w:val="24"/>
          <w:szCs w:val="24"/>
        </w:rPr>
        <w:t xml:space="preserve">Mistake 8: Auditing Alone Without a Witness</w:t>
      </w:r>
    </w:p>
    <w:p>
      <w:pPr>
        <w:spacing w:after="60" w:before="60"/>
      </w:pPr>
      <w:r>
        <w:rPr>
          <w:rFonts w:ascii="Arial" w:cs="Arial" w:eastAsia="Arial" w:hAnsi="Arial"/>
          <w:color w:val="333333"/>
          <w:sz w:val="22"/>
          <w:szCs w:val="22"/>
        </w:rPr>
        <w:t xml:space="preserve">For significant findings, especially those involving interviews, always have a second team member present. Solo auditors have no corroboration if an auditee disputes what was said in an interview. Two sets of notes are always better than one.</w:t>
      </w:r>
    </w:p>
    <w:p>
      <w:pPr>
        <w:pStyle w:val="Heading3"/>
        <w:pBdr>
          <w:bottom w:val="single" w:color="D6E4F0" w:sz="6"/>
        </w:pBdr>
        <w:spacing w:after="60" w:before="180"/>
      </w:pPr>
      <w:r>
        <w:rPr>
          <w:rFonts w:ascii="Arial" w:cs="Arial" w:eastAsia="Arial" w:hAnsi="Arial"/>
          <w:b/>
          <w:bCs/>
          <w:color w:val="1B3A6B"/>
          <w:sz w:val="24"/>
          <w:szCs w:val="24"/>
        </w:rPr>
        <w:t xml:space="preserve">Mistake 9: Failing to Follow Up on Prior Findings</w:t>
      </w:r>
    </w:p>
    <w:p>
      <w:pPr>
        <w:spacing w:after="60" w:before="60"/>
      </w:pPr>
      <w:r>
        <w:rPr>
          <w:rFonts w:ascii="Arial" w:cs="Arial" w:eastAsia="Arial" w:hAnsi="Arial"/>
          <w:color w:val="333333"/>
          <w:sz w:val="22"/>
          <w:szCs w:val="22"/>
        </w:rPr>
        <w:t xml:space="preserve">Every audit should begin with a review of prior audit findings and the status of corrective actions. If you do not close the loop on prior findings, they accumulate. Repeat findings are a red flag to certification bodies and regulators — they suggest the organization is finding but not fixing, which is arguably worse than never having found the gap.</w:t>
      </w:r>
    </w:p>
    <w:p>
      <w:pPr>
        <w:pStyle w:val="Heading3"/>
        <w:pBdr>
          <w:bottom w:val="single" w:color="D6E4F0" w:sz="6"/>
        </w:pBdr>
        <w:spacing w:after="60" w:before="180"/>
      </w:pPr>
      <w:r>
        <w:rPr>
          <w:rFonts w:ascii="Arial" w:cs="Arial" w:eastAsia="Arial" w:hAnsi="Arial"/>
          <w:b/>
          <w:bCs/>
          <w:color w:val="1B3A6B"/>
          <w:sz w:val="24"/>
          <w:szCs w:val="24"/>
        </w:rPr>
        <w:t xml:space="preserve">Mistake 10: Treating Compliance as the Goal</w:t>
      </w:r>
    </w:p>
    <w:p>
      <w:pPr>
        <w:spacing w:after="60" w:before="60"/>
      </w:pPr>
      <w:r>
        <w:rPr>
          <w:rFonts w:ascii="Arial" w:cs="Arial" w:eastAsia="Arial" w:hAnsi="Arial"/>
          <w:color w:val="333333"/>
          <w:sz w:val="22"/>
          <w:szCs w:val="22"/>
        </w:rPr>
        <w:t xml:space="preserve">The goal is not a clean audit report. The goal is an organization that actually manages its AI governance, information security, and privacy obligations effectively. If you approach auditing as a checkbox exercise — finding the minimum evidence to mark controls conforming — you are not auditing. You are creating false assurance. That false assurance can be more dangerous than a finding.</w:t>
      </w:r>
    </w:p>
    <w:tbl>
      <w:tblPr>
        <w:tblW w:type="dxa" w:w="9360"/>
        <w:tblBorders>
          <w:top w:val="single" w:color="C8960C" w:sz="8"/>
          <w:left w:val="single" w:color="C8960C" w:sz="8"/>
          <w:bottom w:val="single" w:color="C8960C" w:sz="8"/>
          <w:right w:val="single" w:color="C8960C" w:sz="8"/>
          <w:insideH w:val="single" w:color="auto" w:sz="4"/>
          <w:insideV w:val="single" w:color="auto" w:sz="4"/>
        </w:tblBorders>
      </w:tblPr>
      <w:tblGrid>
        <w:gridCol w:w="200"/>
        <w:gridCol w:w="9160"/>
      </w:tblGrid>
      <w:tr>
        <w:tc>
          <w:tcPr>
            <w:tcW w:type="dxa" w:w="200"/>
            <w:tcBorders>
              <w:top w:val="nil"/>
              <w:left w:val="nil"/>
              <w:bottom w:val="nil"/>
              <w:right w:val="nil"/>
            </w:tcBorders>
            <w:shd w:fill="C8960C" w:val="clear"/>
            <w:tcMar>
              <w:top w:type="dxa" w:w="80"/>
              <w:left w:type="dxa" w:w="80"/>
              <w:bottom w:type="dxa" w:w="80"/>
              <w:right w:type="dxa" w:w="80"/>
            </w:tcMar>
            <w:vAlign w:val="center"/>
          </w:tcPr>
          <w:p>
            <w:r>
              <w:rPr>
                <w:rFonts w:ascii="Arial" w:cs="Arial" w:eastAsia="Arial" w:hAnsi="Arial"/>
                <w:b/>
                <w:bCs/>
                <w:color w:val="FFFFFF"/>
                <w:sz w:val="22"/>
                <w:szCs w:val="22"/>
              </w:rPr>
              <w:t xml:space="preserve">★</w:t>
            </w:r>
          </w:p>
        </w:tc>
        <w:tc>
          <w:tcPr>
            <w:tcW w:type="dxa" w:w="9160"/>
            <w:tcBorders>
              <w:top w:val="nil"/>
              <w:left w:val="nil"/>
              <w:bottom w:val="nil"/>
              <w:right w:val="nil"/>
            </w:tcBorders>
            <w:shd w:fill="D6E4F0" w:val="clear"/>
            <w:tcMar>
              <w:top w:type="dxa" w:w="80"/>
              <w:left w:type="dxa" w:w="160"/>
              <w:bottom w:type="dxa" w:w="80"/>
              <w:right w:type="dxa" w:w="120"/>
            </w:tcMar>
          </w:tcPr>
          <w:p>
            <w:pPr>
              <w:spacing w:after="0" w:before="0"/>
            </w:pPr>
            <w:r>
              <w:rPr>
                <w:rFonts w:ascii="Arial" w:cs="Arial" w:eastAsia="Arial" w:hAnsi="Arial"/>
                <w:b/>
                <w:bCs/>
                <w:color w:val="1B3A6B"/>
                <w:sz w:val="22"/>
                <w:szCs w:val="22"/>
              </w:rPr>
              <w:t xml:space="preserve">The Final Word on Mistakes: </w:t>
            </w:r>
            <w:r>
              <w:rPr>
                <w:rFonts w:ascii="Arial" w:cs="Arial" w:eastAsia="Arial" w:hAnsi="Arial"/>
                <w:color w:val="333333"/>
                <w:sz w:val="22"/>
                <w:szCs w:val="22"/>
              </w:rPr>
              <w:t xml:space="preserve">Every experienced auditor has a list of mistakes they made early in their career. The difference between a junior auditor and a senior auditor is not that seniors make fewer mistakes — it is that seniors recognize mistakes faster, correct them before they become problems, and learn from them permanently. Stay humble, stay curious, and never stop asking 'how do I know that?'</w:t>
            </w:r>
          </w:p>
        </w:tc>
      </w:tr>
    </w:tbl>
    <w:p>
      <w:pPr>
        <w:pBdr>
          <w:bottom w:val="single" w:color="D6E4F0" w:sz="6"/>
        </w:pBdr>
        <w:spacing w:after="120" w:before="120"/>
      </w:pPr>
      <w:r>
        <w:rPr>
          <w:rFonts w:ascii="Arial" w:cs="Arial" w:eastAsia="Arial" w:hAnsi="Arial"/>
          <w:color w:val="333333"/>
          <w:sz w:val="22"/>
          <w:szCs w:val="22"/>
        </w:rPr>
        <w:t xml:space="preserve"/>
      </w:r>
    </w:p>
    <w:p>
      <w:pPr>
        <w:spacing w:after="120" w:before="360"/>
        <w:jc w:val="center"/>
      </w:pPr>
      <w:r>
        <w:rPr>
          <w:rFonts w:ascii="Arial" w:cs="Arial" w:eastAsia="Arial" w:hAnsi="Arial"/>
          <w:b/>
          <w:bCs/>
          <w:color w:val="666666"/>
          <w:sz w:val="28"/>
          <w:szCs w:val="28"/>
        </w:rPr>
        <w:t xml:space="preserve">Part Two: Complete</w:t>
      </w:r>
    </w:p>
    <w:p>
      <w:pPr>
        <w:spacing w:after="240" w:before="0"/>
        <w:jc w:val="center"/>
      </w:pPr>
      <w:r>
        <w:rPr>
          <w:rFonts w:ascii="Arial" w:cs="Arial" w:eastAsia="Arial" w:hAnsi="Arial"/>
          <w:i/>
          <w:iCs/>
          <w:color w:val="666666"/>
          <w:sz w:val="22"/>
          <w:szCs w:val="22"/>
        </w:rPr>
        <w:t xml:space="preserve">Use Part One for framework reference. Use Part Two for audit execution.</w:t>
      </w:r>
    </w:p>
    <w:p>
      <w:pPr>
        <w:pBdr>
          <w:top w:val="single" w:color="D6E4F0" w:sz="6"/>
        </w:pBdr>
        <w:spacing w:after="0" w:before="480"/>
        <w:jc w:val="center"/>
      </w:pPr>
      <w:r>
        <w:rPr>
          <w:rFonts w:ascii="Arial" w:cs="Arial" w:eastAsia="Arial" w:hAnsi="Arial"/>
          <w:i/>
          <w:iCs/>
          <w:color w:val="666666"/>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6"/>
      </w:pBdr>
      <w:tabs>
        <w:tab w:val="right" w:pos="9360"/>
      </w:tabs>
      <w:spacing w:after="0" w:before="80"/>
    </w:pPr>
    <w:r>
      <w:rPr>
        <w:rFonts w:ascii="Arial" w:cs="Arial" w:eastAsia="Arial" w:hAnsi="Arial"/>
        <w:color w:val="666666"/>
        <w:sz w:val="18"/>
        <w:szCs w:val="18"/>
      </w:rPr>
      <w:t xml:space="preserve">GRC Manager Training Series  ·  AI Governance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0C" w:sz="6"/>
      </w:pBdr>
      <w:tabs>
        <w:tab w:val="right" w:pos="9360"/>
      </w:tabs>
      <w:spacing w:after="80" w:before="0"/>
    </w:pPr>
    <w:r>
      <w:rPr>
        <w:rFonts w:ascii="Arial" w:cs="Arial" w:eastAsia="Arial" w:hAnsi="Arial"/>
        <w:color w:val="666666"/>
        <w:sz w:val="18"/>
        <w:szCs w:val="18"/>
      </w:rPr>
      <w:t xml:space="preserve">Global AI Governance Frameworks — GRC Manager Reference Guide</w:t>
    </w:r>
    <w:r>
      <w:rPr>
        <w:rFonts w:ascii="Arial" w:cs="Arial" w:eastAsia="Arial" w:hAnsi="Arial"/>
      </w:rPr>
      <w:t xml:space="preserve">	</w:t>
    </w:r>
    <w:r>
      <w:rPr>
        <w:rFonts w:ascii="Arial" w:cs="Arial" w:eastAsia="Arial" w:hAnsi="Arial"/>
        <w:b/>
        <w:bCs/>
        <w:color w:val="C8960C"/>
        <w:sz w:val="18"/>
        <w:szCs w:val="18"/>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FFFFFF"/>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2026-06-27T18:34:44.350Z</dcterms:created>
  <dcterms:modified xsi:type="dcterms:W3CDTF">2026-06-27T18:34:44.351Z</dcterms:modified>
</cp:coreProperties>
</file>

<file path=docProps/custom.xml><?xml version="1.0" encoding="utf-8"?>
<Properties xmlns="http://schemas.openxmlformats.org/officeDocument/2006/custom-properties" xmlns:vt="http://schemas.openxmlformats.org/officeDocument/2006/docPropsVTypes"/>
</file>