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6"/>
          <w:szCs w:val="56"/>
        </w:rPr>
        <w:t xml:space="preserve">ISO/IEC 27001 AUDIT HANDBOOK</w:t>
      </w:r>
    </w:p>
    <w:p>
      <w:pPr>
        <w:spacing w:after="300" w:before="300"/>
        <w:jc w:val="center"/>
      </w:pPr>
      <w:r>
        <w:rPr>
          <w:rFonts w:ascii="Calibri" w:cs="Calibri" w:eastAsia="Calibri" w:hAnsi="Calibri"/>
          <w:color w:val="2E5395"/>
          <w:sz w:val="30"/>
          <w:szCs w:val="30"/>
        </w:rPr>
        <w:t xml:space="preserve">A Beginner's Step-by-Step Guide to Auditing an Information Security Management System</w:t>
      </w:r>
    </w:p>
    <w:p>
      <w:pPr>
        <w:spacing w:before="200"/>
        <w:jc w:val="center"/>
      </w:pPr>
      <w:r>
        <w:rPr>
          <w:rFonts w:ascii="Calibri" w:cs="Calibri" w:eastAsia="Calibri" w:hAnsi="Calibri"/>
          <w:i/>
          <w:iCs/>
          <w:color w:val="595959"/>
          <w:sz w:val="24"/>
          <w:szCs w:val="24"/>
        </w:rPr>
        <w:t xml:space="preserve">For new risk &amp; audit professionals conducting or preparing for third-party ISO/IEC 27001:2022 certification audits</w:t>
      </w:r>
    </w:p>
    <w:p>
      <w:pPr>
        <w:spacing w:before="800"/>
        <w:jc w:val="center"/>
      </w:pPr>
      <w:r>
        <w:rPr>
          <w:rFonts w:ascii="Calibri" w:cs="Calibri" w:eastAsia="Calibri" w:hAnsi="Calibri"/>
          <w:color w:val="595959"/>
          <w:sz w:val="22"/>
          <w:szCs w:val="22"/>
        </w:rPr>
        <w:t xml:space="preserve">Companion to: ISO 27001 Audit Toolkit.xlsx</w:t>
      </w:r>
    </w:p>
    <w:p>
      <w:pPr>
        <w:spacing w:before="4000"/>
        <w:jc w:val="center"/>
      </w:pPr>
      <w:r>
        <w:rPr>
          <w:rFonts w:ascii="Calibri" w:cs="Calibri" w:eastAsia="Calibri" w:hAnsi="Calibri"/>
          <w:color w:val="595959"/>
          <w:sz w:val="20"/>
          <w:szCs w:val="20"/>
        </w:rPr>
        <w:t xml:space="preserve">Prepared August 2026</w:t>
      </w:r>
    </w:p>
    <w:p>
      <w:r>
        <w:br w:type="page"/>
      </w:r>
    </w:p>
    <w:p>
      <w:pPr>
        <w:pStyle w:val="Heading1"/>
        <w:spacing w:after="200" w:before="400"/>
      </w:pPr>
      <w:r>
        <w:t xml:space="preserve">Table of Contents</w:t>
      </w:r>
    </w:p>
    <w:p>
      <w:pPr>
        <w:spacing w:after="200"/>
      </w:pPr>
      <w:r>
        <w:rPr>
          <w:rFonts w:ascii="Calibri" w:cs="Calibri" w:eastAsia="Calibri" w:hAnsi="Calibri"/>
          <w:i/>
          <w:iCs/>
          <w:color w:val="595959"/>
          <w:sz w:val="20"/>
          <w:szCs w:val="20"/>
        </w:rPr>
        <w:t xml:space="preserve">(In Word, right-click below and choose "Update Field" — or press Ctrl+A then F9 — to populate this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How to Use This Handbook</w:t>
      </w:r>
    </w:p>
    <w:p>
      <w:pPr>
        <w:spacing w:after="160" w:line="276"/>
      </w:pPr>
      <w:r>
        <w:rPr>
          <w:rFonts w:ascii="Calibri" w:cs="Calibri" w:eastAsia="Calibri" w:hAnsi="Calibri"/>
          <w:sz w:val="22"/>
          <w:szCs w:val="22"/>
        </w:rPr>
        <w:t xml:space="preserve">This handbook is written for someone who is new to both risk/audit work and to ISO/IEC 27001. It assumes no prior auditing background and builds up from first principles to a full, repeatable audit process.</w:t>
      </w:r>
    </w:p>
    <w:p>
      <w:pPr>
        <w:spacing w:after="160" w:line="276"/>
      </w:pPr>
      <w:r>
        <w:rPr>
          <w:rFonts w:ascii="Calibri" w:cs="Calibri" w:eastAsia="Calibri" w:hAnsi="Calibri"/>
          <w:sz w:val="22"/>
          <w:szCs w:val="22"/>
        </w:rPr>
        <w:t xml:space="preserve">It is organized in five parts:</w:t>
      </w:r>
    </w:p>
    <w:p>
      <w:pPr>
        <w:pStyle w:val="ListParagraph"/>
        <w:numPr>
          <w:ilvl w:val="0"/>
          <w:numId w:val="2"/>
        </w:numPr>
        <w:spacing w:after="100"/>
      </w:pPr>
      <w:r>
        <w:rPr>
          <w:rFonts w:ascii="Calibri" w:cs="Calibri" w:eastAsia="Calibri" w:hAnsi="Calibri"/>
          <w:sz w:val="22"/>
          <w:szCs w:val="22"/>
        </w:rPr>
        <w:t xml:space="preserve">Part One – Auditing fundamentals: what an audit is, key terminology, and the auditor's code of conduct.</w:t>
      </w:r>
    </w:p>
    <w:p>
      <w:pPr>
        <w:pStyle w:val="ListParagraph"/>
        <w:numPr>
          <w:ilvl w:val="0"/>
          <w:numId w:val="2"/>
        </w:numPr>
        <w:spacing w:after="100"/>
      </w:pPr>
      <w:r>
        <w:rPr>
          <w:rFonts w:ascii="Calibri" w:cs="Calibri" w:eastAsia="Calibri" w:hAnsi="Calibri"/>
          <w:sz w:val="22"/>
          <w:szCs w:val="22"/>
        </w:rPr>
        <w:t xml:space="preserve">Part Two – Understanding ISO/IEC 27001: the structure of an Information Security Management System (ISMS), explained clause by clause and control by control.</w:t>
      </w:r>
    </w:p>
    <w:p>
      <w:pPr>
        <w:pStyle w:val="ListParagraph"/>
        <w:numPr>
          <w:ilvl w:val="0"/>
          <w:numId w:val="2"/>
        </w:numPr>
        <w:spacing w:after="100"/>
      </w:pPr>
      <w:r>
        <w:rPr>
          <w:rFonts w:ascii="Calibri" w:cs="Calibri" w:eastAsia="Calibri" w:hAnsi="Calibri"/>
          <w:sz w:val="22"/>
          <w:szCs w:val="22"/>
        </w:rPr>
        <w:t xml:space="preserve">Part Three – The certification audit journey end to end, from application through to recertification, plus how to run this same process as an internal audit.</w:t>
      </w:r>
    </w:p>
    <w:p>
      <w:pPr>
        <w:pStyle w:val="ListParagraph"/>
        <w:numPr>
          <w:ilvl w:val="0"/>
          <w:numId w:val="2"/>
        </w:numPr>
        <w:spacing w:after="100"/>
      </w:pPr>
      <w:r>
        <w:rPr>
          <w:rFonts w:ascii="Calibri" w:cs="Calibri" w:eastAsia="Calibri" w:hAnsi="Calibri"/>
          <w:sz w:val="22"/>
          <w:szCs w:val="22"/>
        </w:rPr>
        <w:t xml:space="preserve">Part Four – Twelve step-by-step walkthroughs, each tied to a fillable template in the companion Excel workbook, “ISO 27001 Audit Toolkit.xlsx.”</w:t>
      </w:r>
    </w:p>
    <w:p>
      <w:pPr>
        <w:pStyle w:val="ListParagraph"/>
        <w:numPr>
          <w:ilvl w:val="0"/>
          <w:numId w:val="2"/>
        </w:numPr>
        <w:spacing w:after="100"/>
      </w:pPr>
      <w:r>
        <w:rPr>
          <w:rFonts w:ascii="Calibri" w:cs="Calibri" w:eastAsia="Calibri" w:hAnsi="Calibri"/>
          <w:sz w:val="22"/>
          <w:szCs w:val="22"/>
        </w:rPr>
        <w:t xml:space="preserve">Part Five – How to reuse and mature the toolkit across future audits.</w:t>
      </w:r>
    </w:p>
    <w:p>
      <w:pPr>
        <w:spacing w:after="160" w:line="276"/>
      </w:pPr>
      <w:r>
        <w:rPr>
          <w:rFonts w:ascii="Calibri" w:cs="Calibri" w:eastAsia="Calibri" w:hAnsi="Calibri"/>
          <w:sz w:val="22"/>
          <w:szCs w:val="22"/>
        </w:rPr>
        <w:t xml:space="preserve">Throughout Part Four you will see boxes like the one below — they tell you exactly which tab of the companion workbook to have open.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Example: "Open 'Template 1 - Audit Program' in the ISO 27001 Audit Toolkit workbook."</w:t>
            </w:r>
          </w:p>
        </w:tc>
      </w:tr>
    </w:tbl>
    <w:p>
      <w:pPr>
        <w:spacing w:after="120"/>
      </w:pPr>
    </w:p>
    <w:p>
      <w:pPr>
        <w:spacing w:after="160" w:line="276"/>
      </w:pPr>
      <w:r>
        <w:rPr>
          <w:rFonts w:ascii="Calibri" w:cs="Calibri" w:eastAsia="Calibri" w:hAnsi="Calibri"/>
          <w:sz w:val="22"/>
          <w:szCs w:val="22"/>
        </w:rPr>
        <w:t xml:space="preserve">This handbook focuses on third-party (certification body) audits, since that develops the full skill set. Section 3.6 explains what changes — and what doesn't — when you run this same process as an internal (first-party) audit instead.</w:t>
      </w:r>
    </w:p>
    <w:p>
      <w:pPr>
        <w:pStyle w:val="Heading1"/>
        <w:spacing w:after="200" w:before="400"/>
      </w:pPr>
      <w:r>
        <w:t xml:space="preserve">Part One – Auditing Fundamentals</w:t>
      </w:r>
    </w:p>
    <w:p>
      <w:pPr>
        <w:pStyle w:val="Heading2"/>
        <w:spacing w:after="150" w:before="300"/>
      </w:pPr>
      <w:r>
        <w:t xml:space="preserve">1.1 What an Audit Actually Is</w:t>
      </w:r>
    </w:p>
    <w:p>
      <w:pPr>
        <w:spacing w:after="160" w:line="276"/>
      </w:pPr>
      <w:r>
        <w:rPr>
          <w:rFonts w:ascii="Calibri" w:cs="Calibri" w:eastAsia="Calibri" w:hAnsi="Calibri"/>
          <w:sz w:val="22"/>
          <w:szCs w:val="22"/>
        </w:rPr>
        <w:t xml:space="preserve">ISO 19011 (the international guideline for auditing management systems) defines an audit as a “systematic, independent and documented process for obtaining objective evidence and evaluating it objectively to determine the extent to which the audit criteria are fulfilled.” Unpack that sentence and you have the whole job:</w:t>
      </w:r>
    </w:p>
    <w:p>
      <w:pPr>
        <w:pStyle w:val="ListParagraph"/>
        <w:numPr>
          <w:ilvl w:val="0"/>
          <w:numId w:val="2"/>
        </w:numPr>
        <w:spacing w:after="100"/>
      </w:pPr>
      <w:r>
        <w:rPr>
          <w:rFonts w:ascii="Calibri" w:cs="Calibri" w:eastAsia="Calibri" w:hAnsi="Calibri"/>
          <w:sz w:val="22"/>
          <w:szCs w:val="22"/>
        </w:rPr>
        <w:t xml:space="preserve">Systematic – you follow a planned process, not an ad-hoc conversation.</w:t>
      </w:r>
    </w:p>
    <w:p>
      <w:pPr>
        <w:pStyle w:val="ListParagraph"/>
        <w:numPr>
          <w:ilvl w:val="0"/>
          <w:numId w:val="2"/>
        </w:numPr>
        <w:spacing w:after="100"/>
      </w:pPr>
      <w:r>
        <w:rPr>
          <w:rFonts w:ascii="Calibri" w:cs="Calibri" w:eastAsia="Calibri" w:hAnsi="Calibri"/>
          <w:sz w:val="22"/>
          <w:szCs w:val="22"/>
        </w:rPr>
        <w:t xml:space="preserve">Independent – you have no stake in the outcome and no responsibility for the thing you're auditing.</w:t>
      </w:r>
    </w:p>
    <w:p>
      <w:pPr>
        <w:pStyle w:val="ListParagraph"/>
        <w:numPr>
          <w:ilvl w:val="0"/>
          <w:numId w:val="2"/>
        </w:numPr>
        <w:spacing w:after="100"/>
      </w:pPr>
      <w:r>
        <w:rPr>
          <w:rFonts w:ascii="Calibri" w:cs="Calibri" w:eastAsia="Calibri" w:hAnsi="Calibri"/>
          <w:sz w:val="22"/>
          <w:szCs w:val="22"/>
        </w:rPr>
        <w:t xml:space="preserve">Documented – every step and conclusion is recorded and traceable.</w:t>
      </w:r>
    </w:p>
    <w:p>
      <w:pPr>
        <w:pStyle w:val="ListParagraph"/>
        <w:numPr>
          <w:ilvl w:val="0"/>
          <w:numId w:val="2"/>
        </w:numPr>
        <w:spacing w:after="100"/>
      </w:pPr>
      <w:r>
        <w:rPr>
          <w:rFonts w:ascii="Calibri" w:cs="Calibri" w:eastAsia="Calibri" w:hAnsi="Calibri"/>
          <w:sz w:val="22"/>
          <w:szCs w:val="22"/>
        </w:rPr>
        <w:t xml:space="preserve">Objective evidence – you look at facts (records, logs, observed behaviour), not assurances or opinions.</w:t>
      </w:r>
    </w:p>
    <w:p>
      <w:pPr>
        <w:pStyle w:val="ListParagraph"/>
        <w:numPr>
          <w:ilvl w:val="0"/>
          <w:numId w:val="2"/>
        </w:numPr>
        <w:spacing w:after="100"/>
      </w:pPr>
      <w:r>
        <w:rPr>
          <w:rFonts w:ascii="Calibri" w:cs="Calibri" w:eastAsia="Calibri" w:hAnsi="Calibri"/>
          <w:sz w:val="22"/>
          <w:szCs w:val="22"/>
        </w:rPr>
        <w:t xml:space="preserve">Audit criteria – you compare what you find against a defined reference: here, ISO/IEC 27001 plus the organization's own ISMS documentation.</w:t>
      </w:r>
    </w:p>
    <w:p>
      <w:pPr>
        <w:spacing w:after="160" w:line="276"/>
      </w:pPr>
      <w:r>
        <w:rPr>
          <w:rFonts w:ascii="Calibri" w:cs="Calibri" w:eastAsia="Calibri" w:hAnsi="Calibri"/>
          <w:sz w:val="22"/>
          <w:szCs w:val="22"/>
        </w:rPr>
        <w:t xml:space="preserve">An audit is not a consulting engagement, a witch hunt, or a test of individuals. You are testing whether a management system works — people are simply one source of evidence about that.</w:t>
      </w:r>
    </w:p>
    <w:p>
      <w:pPr>
        <w:pStyle w:val="Heading2"/>
        <w:spacing w:after="150" w:before="300"/>
      </w:pPr>
      <w:r>
        <w:t xml:space="preserve">1.2 First-, Second- and Third-Party Audits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4200"/>
      </w:tblGrid>
      <w:tr>
        <w:trPr>
          <w:cantSplit/>
          <w:tblHeader/>
        </w:trPr>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Type</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Who audits whom</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Typical purpose</w:t>
            </w:r>
          </w:p>
        </w:tc>
      </w:tr>
      <w:tr>
        <w:trPr>
          <w:cantSplit/>
        </w:trP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First-party (internal)</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 audits itself</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Maintain and improve its own ISMS; required by Clause 9.2 of ISO 27001 itself</w:t>
            </w:r>
          </w:p>
        </w:tc>
      </w:tr>
      <w:tr>
        <w:trPr>
          <w:cantSplit/>
        </w:trP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Second-party</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customer audits its supplier</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Due diligence before or during a commercial relationship involving information handling</w:t>
            </w:r>
          </w:p>
        </w:tc>
      </w:tr>
      <w:tr>
        <w:trPr>
          <w:cantSplit/>
        </w:trP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Third-party (certification)</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accredited, independent certification body audits the organization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Issue and maintain a certificate of conformity to ISO/IEC 27001</w:t>
            </w:r>
          </w:p>
        </w:tc>
      </w:tr>
    </w:tbl>
    <w:p>
      <w:pPr>
        <w:spacing w:after="160" w:line="276"/>
      </w:pPr>
      <w:r>
        <w:rPr>
          <w:rFonts w:ascii="Calibri" w:cs="Calibri" w:eastAsia="Calibri" w:hAnsi="Calibri"/>
          <w:sz w:val="22"/>
          <w:szCs w:val="22"/>
        </w:rPr>
        <w:t xml:space="preserve">This handbook is written primarily from the third-party auditor's chair, because it is the most rigorous version of the job and every skill transfers downward to first- and second-party audits.</w:t>
      </w:r>
    </w:p>
    <w:p>
      <w:pPr>
        <w:pStyle w:val="Heading2"/>
        <w:spacing w:after="150" w:before="300"/>
      </w:pPr>
      <w:r>
        <w:t xml:space="preserve">1.3 Key Terms You Need Before You Start</w:t>
      </w:r>
    </w:p>
    <w:p>
      <w:pPr>
        <w:spacing w:after="160" w:line="276"/>
      </w:pPr>
      <w:r>
        <w:rPr>
          <w:rFonts w:ascii="Calibri" w:cs="Calibri" w:eastAsia="Calibri" w:hAnsi="Calibri"/>
          <w:b/>
          <w:bCs/>
          <w:i w:val="false"/>
          <w:iCs w:val="false"/>
          <w:sz w:val="22"/>
          <w:szCs w:val="22"/>
        </w:rPr>
        <w:t xml:space="preserve">ISMS: </w:t>
      </w:r>
      <w:r>
        <w:rPr>
          <w:rFonts w:ascii="Calibri" w:cs="Calibri" w:eastAsia="Calibri" w:hAnsi="Calibri"/>
          <w:b w:val="false"/>
          <w:bCs w:val="false"/>
          <w:i w:val="false"/>
          <w:iCs w:val="false"/>
          <w:sz w:val="22"/>
          <w:szCs w:val="22"/>
        </w:rPr>
        <w:t xml:space="preserve">Information Security Management System – the set of policies, processes, roles and controls an organization uses to protect the confidentiality, integrity and availability of information, per ISO/IEC 27001.</w:t>
      </w:r>
    </w:p>
    <w:p>
      <w:pPr>
        <w:spacing w:after="160" w:line="276"/>
      </w:pPr>
      <w:r>
        <w:rPr>
          <w:rFonts w:ascii="Calibri" w:cs="Calibri" w:eastAsia="Calibri" w:hAnsi="Calibri"/>
          <w:b/>
          <w:bCs/>
          <w:i w:val="false"/>
          <w:iCs w:val="false"/>
          <w:sz w:val="22"/>
          <w:szCs w:val="22"/>
        </w:rPr>
        <w:t xml:space="preserve">Audit criteria: </w:t>
      </w:r>
      <w:r>
        <w:rPr>
          <w:rFonts w:ascii="Calibri" w:cs="Calibri" w:eastAsia="Calibri" w:hAnsi="Calibri"/>
          <w:b w:val="false"/>
          <w:bCs w:val="false"/>
          <w:i w:val="false"/>
          <w:iCs w:val="false"/>
          <w:sz w:val="22"/>
          <w:szCs w:val="22"/>
        </w:rPr>
        <w:t xml:space="preserve">The set of requirements used as a reference against which evidence is compared — for an ISO 27001 audit, this is the standard's clauses plus the organization's own ISMS documentation.</w:t>
      </w:r>
    </w:p>
    <w:p>
      <w:pPr>
        <w:spacing w:after="160" w:line="276"/>
      </w:pPr>
      <w:r>
        <w:rPr>
          <w:rFonts w:ascii="Calibri" w:cs="Calibri" w:eastAsia="Calibri" w:hAnsi="Calibri"/>
          <w:b/>
          <w:bCs/>
          <w:i w:val="false"/>
          <w:iCs w:val="false"/>
          <w:sz w:val="22"/>
          <w:szCs w:val="22"/>
        </w:rPr>
        <w:t xml:space="preserve">Audit evidence: </w:t>
      </w:r>
      <w:r>
        <w:rPr>
          <w:rFonts w:ascii="Calibri" w:cs="Calibri" w:eastAsia="Calibri" w:hAnsi="Calibri"/>
          <w:b w:val="false"/>
          <w:bCs w:val="false"/>
          <w:i w:val="false"/>
          <w:iCs w:val="false"/>
          <w:sz w:val="22"/>
          <w:szCs w:val="22"/>
        </w:rPr>
        <w:t xml:space="preserve">Records, statements of fact, or other verifiable information relevant to the audit criteria (ISO 19011). Must be objective, not opinion.</w:t>
      </w:r>
    </w:p>
    <w:p>
      <w:pPr>
        <w:spacing w:after="160" w:line="276"/>
      </w:pPr>
      <w:r>
        <w:rPr>
          <w:rFonts w:ascii="Calibri" w:cs="Calibri" w:eastAsia="Calibri" w:hAnsi="Calibri"/>
          <w:b/>
          <w:bCs/>
          <w:i w:val="false"/>
          <w:iCs w:val="false"/>
          <w:sz w:val="22"/>
          <w:szCs w:val="22"/>
        </w:rPr>
        <w:t xml:space="preserve">Audit finding: </w:t>
      </w:r>
      <w:r>
        <w:rPr>
          <w:rFonts w:ascii="Calibri" w:cs="Calibri" w:eastAsia="Calibri" w:hAnsi="Calibri"/>
          <w:b w:val="false"/>
          <w:bCs w:val="false"/>
          <w:i w:val="false"/>
          <w:iCs w:val="false"/>
          <w:sz w:val="22"/>
          <w:szCs w:val="22"/>
        </w:rPr>
        <w:t xml:space="preserve">The result of evaluating evidence against criteria: conformity, nonconformity, or an opportunity for improvement (OFI).</w:t>
      </w:r>
    </w:p>
    <w:p>
      <w:pPr>
        <w:spacing w:after="160" w:line="276"/>
      </w:pPr>
      <w:r>
        <w:rPr>
          <w:rFonts w:ascii="Calibri" w:cs="Calibri" w:eastAsia="Calibri" w:hAnsi="Calibri"/>
          <w:b/>
          <w:bCs/>
          <w:i w:val="false"/>
          <w:iCs w:val="false"/>
          <w:sz w:val="22"/>
          <w:szCs w:val="22"/>
        </w:rPr>
        <w:t xml:space="preserve">Nonconformity (NC): </w:t>
      </w:r>
      <w:r>
        <w:rPr>
          <w:rFonts w:ascii="Calibri" w:cs="Calibri" w:eastAsia="Calibri" w:hAnsi="Calibri"/>
          <w:b w:val="false"/>
          <w:bCs w:val="false"/>
          <w:i w:val="false"/>
          <w:iCs w:val="false"/>
          <w:sz w:val="22"/>
          <w:szCs w:val="22"/>
        </w:rPr>
        <w:t xml:space="preserve">Non-fulfilment of a requirement. Graded Major (systemic failure, absence of a required process, or a cluster of minors indicating breakdown) or Minor (an isolated lapse that does not indicate the process has failed).</w:t>
      </w:r>
    </w:p>
    <w:p>
      <w:pPr>
        <w:spacing w:after="160" w:line="276"/>
      </w:pPr>
      <w:r>
        <w:rPr>
          <w:rFonts w:ascii="Calibri" w:cs="Calibri" w:eastAsia="Calibri" w:hAnsi="Calibri"/>
          <w:b/>
          <w:bCs/>
          <w:i w:val="false"/>
          <w:iCs w:val="false"/>
          <w:sz w:val="22"/>
          <w:szCs w:val="22"/>
        </w:rPr>
        <w:t xml:space="preserve">Observation / OFI: </w:t>
      </w:r>
      <w:r>
        <w:rPr>
          <w:rFonts w:ascii="Calibri" w:cs="Calibri" w:eastAsia="Calibri" w:hAnsi="Calibri"/>
          <w:b w:val="false"/>
          <w:bCs w:val="false"/>
          <w:i w:val="false"/>
          <w:iCs w:val="false"/>
          <w:sz w:val="22"/>
          <w:szCs w:val="22"/>
        </w:rPr>
        <w:t xml:space="preserve">Not a nonconformity — a noted opportunity for improvement the auditee may choose to act on.</w:t>
      </w:r>
    </w:p>
    <w:p>
      <w:pPr>
        <w:spacing w:after="160" w:line="276"/>
      </w:pPr>
      <w:r>
        <w:rPr>
          <w:rFonts w:ascii="Calibri" w:cs="Calibri" w:eastAsia="Calibri" w:hAnsi="Calibri"/>
          <w:b/>
          <w:bCs/>
          <w:i w:val="false"/>
          <w:iCs w:val="false"/>
          <w:sz w:val="22"/>
          <w:szCs w:val="22"/>
        </w:rPr>
        <w:t xml:space="preserve">Objective evidence: </w:t>
      </w:r>
      <w:r>
        <w:rPr>
          <w:rFonts w:ascii="Calibri" w:cs="Calibri" w:eastAsia="Calibri" w:hAnsi="Calibri"/>
          <w:b w:val="false"/>
          <w:bCs w:val="false"/>
          <w:i w:val="false"/>
          <w:iCs w:val="false"/>
          <w:sz w:val="22"/>
          <w:szCs w:val="22"/>
        </w:rPr>
        <w:t xml:space="preserve">Data supporting the existence or truth of something, verifiable through observation, measurement, testing or other means — not the auditor's opinion or the auditee's assurance alone.</w:t>
      </w:r>
    </w:p>
    <w:p>
      <w:pPr>
        <w:spacing w:after="160" w:line="276"/>
      </w:pPr>
      <w:r>
        <w:rPr>
          <w:rFonts w:ascii="Calibri" w:cs="Calibri" w:eastAsia="Calibri" w:hAnsi="Calibri"/>
          <w:b/>
          <w:bCs/>
          <w:i w:val="false"/>
          <w:iCs w:val="false"/>
          <w:sz w:val="22"/>
          <w:szCs w:val="22"/>
        </w:rPr>
        <w:t xml:space="preserve">Audit trail: </w:t>
      </w:r>
      <w:r>
        <w:rPr>
          <w:rFonts w:ascii="Calibri" w:cs="Calibri" w:eastAsia="Calibri" w:hAnsi="Calibri"/>
          <w:b w:val="false"/>
          <w:bCs w:val="false"/>
          <w:i w:val="false"/>
          <w:iCs w:val="false"/>
          <w:sz w:val="22"/>
          <w:szCs w:val="22"/>
        </w:rPr>
        <w:t xml:space="preserve">The path an auditor follows to trace a requirement through to practice (or vice-versa), e.g. following one information asset from the risk register through to its access review and monitoring logs.</w:t>
      </w:r>
    </w:p>
    <w:p>
      <w:pPr>
        <w:spacing w:after="160" w:line="276"/>
      </w:pPr>
      <w:r>
        <w:rPr>
          <w:rFonts w:ascii="Calibri" w:cs="Calibri" w:eastAsia="Calibri" w:hAnsi="Calibri"/>
          <w:b/>
          <w:bCs/>
          <w:i w:val="false"/>
          <w:iCs w:val="false"/>
          <w:sz w:val="22"/>
          <w:szCs w:val="22"/>
        </w:rPr>
        <w:t xml:space="preserve">Sampling: </w:t>
      </w:r>
      <w:r>
        <w:rPr>
          <w:rFonts w:ascii="Calibri" w:cs="Calibri" w:eastAsia="Calibri" w:hAnsi="Calibri"/>
          <w:b w:val="false"/>
          <w:bCs w:val="false"/>
          <w:i w:val="false"/>
          <w:iCs w:val="false"/>
          <w:sz w:val="22"/>
          <w:szCs w:val="22"/>
        </w:rPr>
        <w:t xml:space="preserve">Selecting a representative subset of records, systems or interviews to examine, because auditing 100% of everything is rarely feasible.</w:t>
      </w:r>
    </w:p>
    <w:p>
      <w:pPr>
        <w:spacing w:after="160" w:line="276"/>
      </w:pPr>
      <w:r>
        <w:rPr>
          <w:rFonts w:ascii="Calibri" w:cs="Calibri" w:eastAsia="Calibri" w:hAnsi="Calibri"/>
          <w:sz w:val="22"/>
          <w:szCs w:val="22"/>
        </w:rPr>
        <w:t xml:space="preserve">(The full glossary, including certification-cycle terms, appears at the end of this handbook.)</w:t>
      </w:r>
    </w:p>
    <w:p>
      <w:pPr>
        <w:pStyle w:val="Heading2"/>
        <w:spacing w:after="150" w:before="300"/>
      </w:pPr>
      <w:r>
        <w:t xml:space="preserve">1.4 The Auditor's Code of Conduct (ISO 19011 Principles)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Principle</w:t>
            </w:r>
          </w:p>
        </w:tc>
        <w:tc>
          <w:tcPr>
            <w:tcW w:type="dxa" w:w="8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means in practice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Integrity</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honest, diligent, and only take on work you're competent to do.</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Fair presentation</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 truthfully and accurately — including significant obstacles or unresolved disagreements.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Due professional care</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Apply diligence and judgement proportionate to the importance of the task and the confidence placed in you.</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Confidentiality</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information you gain access to; don't use it for personal gain or to harm the auditee.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Independence</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free of bias and conflict of interest; if you built the control you're auditing, you cannot audit it.</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Evidence-based approach</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Conclusions must rest on verifiable evidence, not gut feel, gathered through a rational sampling process.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Risk-based approach</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Focus audit effort on what matters most — the information assets and controls with the highest potential impact.</w:t>
            </w:r>
          </w:p>
        </w:tc>
      </w:tr>
    </w:tbl>
    <w:p>
      <w:pPr>
        <w:pStyle w:val="Heading2"/>
        <w:spacing w:after="150" w:before="300"/>
      </w:pPr>
      <w:r>
        <w:t xml:space="preserve">1.5 The Audit Cycle at a Glance</w:t>
      </w:r>
    </w:p>
    <w:p>
      <w:pPr>
        <w:spacing w:after="160" w:line="276"/>
      </w:pPr>
      <w:r>
        <w:rPr>
          <w:rFonts w:ascii="Calibri" w:cs="Calibri" w:eastAsia="Calibri" w:hAnsi="Calibri"/>
          <w:sz w:val="22"/>
          <w:szCs w:val="22"/>
        </w:rPr>
        <w:t xml:space="preserve">Every audit — internal or third-party, ISO 27001 or any other management system standard — follows the same five phases. Part Four of this handbook gives you a template for each one.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rPr>
          <w:cantSplit/>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Phase</w:t>
            </w:r>
          </w:p>
        </w:tc>
        <w:tc>
          <w:tcPr>
            <w:tcW w:type="dxa" w:w="8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Plan</w:t>
            </w:r>
          </w:p>
        </w:tc>
        <w:tc>
          <w:tcPr>
            <w:tcW w:type="dxa" w:w="8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Define objectives, scope, criteria, team and schedule (Template 1).</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Prepare</w:t>
            </w:r>
          </w:p>
        </w:tc>
        <w:tc>
          <w:tcPr>
            <w:tcW w:type="dxa" w:w="8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Review documentation in advance; build checklists (Templates 2–4).</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Conduct</w:t>
            </w:r>
          </w:p>
        </w:tc>
        <w:tc>
          <w:tcPr>
            <w:tcW w:type="dxa" w:w="8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Opening meeting, gather evidence, hold closing meeting (Templates 5, 7).</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Report</w:t>
            </w:r>
          </w:p>
        </w:tc>
        <w:tc>
          <w:tcPr>
            <w:tcW w:type="dxa" w:w="8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Write up findings and an overall recommendation (Templates 6, 8).</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Follow up</w:t>
            </w:r>
          </w:p>
        </w:tc>
        <w:tc>
          <w:tcPr>
            <w:tcW w:type="dxa" w:w="8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 corrective actions to verified closure; feed lessons into the next audit (Templates 9–11).</w:t>
            </w:r>
          </w:p>
        </w:tc>
      </w:tr>
    </w:tbl>
    <w:p>
      <w:r>
        <w:br w:type="page"/>
      </w:r>
    </w:p>
    <w:p>
      <w:pPr>
        <w:pStyle w:val="Heading1"/>
        <w:spacing w:after="200" w:before="400"/>
      </w:pPr>
      <w:r>
        <w:t xml:space="preserve">Part Two – Understanding ISO/IEC 27001 and the ISMS</w:t>
      </w:r>
    </w:p>
    <w:p>
      <w:pPr>
        <w:pStyle w:val="Heading2"/>
        <w:spacing w:after="150" w:before="300"/>
      </w:pPr>
      <w:r>
        <w:t xml:space="preserve">2.1 What ISO/IEC 27001 Is, and Why It Exists</w:t>
      </w:r>
    </w:p>
    <w:p>
      <w:pPr>
        <w:spacing w:after="160" w:line="276"/>
      </w:pPr>
      <w:r>
        <w:rPr>
          <w:rFonts w:ascii="Calibri" w:cs="Calibri" w:eastAsia="Calibri" w:hAnsi="Calibri"/>
          <w:sz w:val="22"/>
          <w:szCs w:val="22"/>
        </w:rPr>
        <w:t xml:space="preserve">ISO/IEC 27001 is the world's best-known international standard for information security management. It gives organizations of any size or sector a structured way to protect the confidentiality, integrity and availability of information — covering people, process and technology, alongside the usual management-system disciplines of leadership, planning, support, operation, evaluation and improvement.</w:t>
      </w:r>
    </w:p>
    <w:p>
      <w:pPr>
        <w:spacing w:after="160" w:line="276"/>
      </w:pPr>
      <w:r>
        <w:rPr>
          <w:rFonts w:ascii="Calibri" w:cs="Calibri" w:eastAsia="Calibri" w:hAnsi="Calibri"/>
          <w:sz w:val="22"/>
          <w:szCs w:val="22"/>
        </w:rPr>
        <w:t xml:space="preserve">It follows the same “Harmonized Structure” (formerly Annex SL) used by ISO 9001, ISO 22301 and, more recently, ISO/IEC 42001 — clauses 4 through 10 — which is good news for anyone who has audited one of those standards before: the skeleton is identical, and only the information-security-specific content in the flesh changes.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Currency note — as of August 2026:  </w:t>
            </w:r>
            <w:r>
              <w:rPr>
                <w:rFonts w:ascii="Calibri" w:cs="Calibri" w:eastAsia="Calibri" w:hAnsi="Calibri"/>
                <w:sz w:val="22"/>
                <w:szCs w:val="22"/>
              </w:rPr>
              <w:t xml:space="preserve">ISO/IEC 27001:2022 (the 3rd edition, published October 2022) is the only current edition. It superseded and withdrew ISO/IEC 27001:2013. The transition deadline for organizations still certified under the 2013 edition was 31 October 2025 — a deadline that has now passed. As of today, every active or newly issued ISO/IEC 27001 certificate must be against the 2022 edition; any organization still holding an unmigrated 2013 certificate is out of compliance and its certificate should be treated as invalid.</w:t>
            </w:r>
          </w:p>
        </w:tc>
      </w:tr>
    </w:tbl>
    <w:p>
      <w:pPr>
        <w:pStyle w:val="Heading2"/>
        <w:spacing w:after="150" w:before="300"/>
      </w:pPr>
      <w:r>
        <w:t xml:space="preserve">2.2 The Anatomy of the Standard</w:t>
      </w:r>
    </w:p>
    <w:p>
      <w:pPr>
        <w:pStyle w:val="ListParagraph"/>
        <w:numPr>
          <w:ilvl w:val="0"/>
          <w:numId w:val="2"/>
        </w:numPr>
        <w:spacing w:after="100"/>
      </w:pPr>
      <w:r>
        <w:rPr>
          <w:rFonts w:ascii="Calibri" w:cs="Calibri" w:eastAsia="Calibri" w:hAnsi="Calibri"/>
          <w:sz w:val="22"/>
          <w:szCs w:val="22"/>
        </w:rPr>
        <w:t xml:space="preserve">Clauses 1–3 – Scope, normative references, terms and definitions (not directly auditable requirements).</w:t>
      </w:r>
    </w:p>
    <w:p>
      <w:pPr>
        <w:pStyle w:val="ListParagraph"/>
        <w:numPr>
          <w:ilvl w:val="0"/>
          <w:numId w:val="2"/>
        </w:numPr>
        <w:spacing w:after="100"/>
      </w:pPr>
      <w:r>
        <w:rPr>
          <w:rFonts w:ascii="Calibri" w:cs="Calibri" w:eastAsia="Calibri" w:hAnsi="Calibri"/>
          <w:sz w:val="22"/>
          <w:szCs w:val="22"/>
        </w:rPr>
        <w:t xml:space="preserve">Clauses 4–10 – The mandatory management-system requirements. Every certified organization must satisfy all of these.</w:t>
      </w:r>
    </w:p>
    <w:p>
      <w:pPr>
        <w:pStyle w:val="ListParagraph"/>
        <w:numPr>
          <w:ilvl w:val="0"/>
          <w:numId w:val="2"/>
        </w:numPr>
        <w:spacing w:after="100"/>
      </w:pPr>
      <w:r>
        <w:rPr>
          <w:rFonts w:ascii="Calibri" w:cs="Calibri" w:eastAsia="Calibri" w:hAnsi="Calibri"/>
          <w:sz w:val="22"/>
          <w:szCs w:val="22"/>
        </w:rPr>
        <w:t xml:space="preserve">Annex A – A reference set of 93 information security controls across 4 themes (organizational, people, physical, technological). Controls are selected as “applicable” based on the organization's own risk assessment, not applied wholesale.</w:t>
      </w:r>
    </w:p>
    <w:p>
      <w:pPr>
        <w:pStyle w:val="ListParagraph"/>
        <w:numPr>
          <w:ilvl w:val="0"/>
          <w:numId w:val="2"/>
        </w:numPr>
        <w:spacing w:after="100"/>
      </w:pPr>
      <w:r>
        <w:rPr>
          <w:rFonts w:ascii="Calibri" w:cs="Calibri" w:eastAsia="Calibri" w:hAnsi="Calibri"/>
          <w:sz w:val="22"/>
          <w:szCs w:val="22"/>
        </w:rPr>
        <w:t xml:space="preserve">ISO/IEC 27002:2022 – A separate companion standard (not an annex within 27001 itself) giving detailed implementation guidance for every Annex A control.</w:t>
      </w:r>
    </w:p>
    <w:p>
      <w:pPr>
        <w:pStyle w:val="ListParagraph"/>
        <w:numPr>
          <w:ilvl w:val="0"/>
          <w:numId w:val="2"/>
        </w:numPr>
        <w:spacing w:after="100"/>
      </w:pPr>
      <w:r>
        <w:rPr>
          <w:rFonts w:ascii="Calibri" w:cs="Calibri" w:eastAsia="Calibri" w:hAnsi="Calibri"/>
          <w:sz w:val="22"/>
          <w:szCs w:val="22"/>
        </w:rPr>
        <w:t xml:space="preserve">ISO/IEC 27006 – The standard governing accreditation of the certification bodies that issue ISO/IEC 27001 certificates.</w:t>
      </w:r>
    </w:p>
    <w:p>
      <w:pPr>
        <w:pStyle w:val="Heading2"/>
        <w:spacing w:after="150" w:before="300"/>
      </w:pPr>
      <w:r>
        <w:t xml:space="preserve">2.3 Clauses 4–10, Explained in Plain Language</w:t>
      </w:r>
    </w:p>
    <w:p>
      <w:pPr>
        <w:spacing w:after="160" w:line="276"/>
      </w:pPr>
      <w:r>
        <w:rPr>
          <w:rFonts w:ascii="Calibri" w:cs="Calibri" w:eastAsia="Calibri" w:hAnsi="Calibri"/>
          <w:sz w:val="22"/>
          <w:szCs w:val="22"/>
        </w:rPr>
        <w:t xml:space="preserve">This is the table you will use constantly. “What an auditor checks” becomes the backbone of Template 3 in the companion workbook.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200"/>
        <w:gridCol w:w="3600"/>
      </w:tblGrid>
      <w:tr>
        <w:trPr>
          <w:cantSplit/>
          <w:tblHeader/>
        </w:trPr>
        <w:tc>
          <w:tcPr>
            <w:tcW w:type="dxa" w:w="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Clause</w:t>
            </w:r>
          </w:p>
        </w:tc>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Title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requires (plain language)</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an auditor checks</w:t>
            </w:r>
          </w:p>
        </w:tc>
      </w:tr>
      <w:tr>
        <w:trPr>
          <w:cantSplit/>
        </w:trP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Context of the Organization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Identify internal/external issues affecting the ISMS; identify interested parties (regulators, customers, staff, suppliers) and their requirements; determine and document the ISMS scope; establish, implement, maintain and continually improve the ISMS, including how its processes interact.</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Scope statement; issues log (e.g. SWOT/PESTLE); interested-parties register; justification for any exclusions; confirmation the ISMS covers the organization's actual information assets and processes.</w:t>
            </w:r>
          </w:p>
        </w:tc>
      </w:tr>
      <w:tr>
        <w:trPr>
          <w:cantSplit/>
        </w:trP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Leadership</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Top management demonstrates commitment (resources, integration into business strategy); a documented Information Security Policy exists and is communicated; ISMS roles, responsibilities and authorities are assigned.</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Management review minutes; Information Security Policy document; organization chart / RACI for ISMS roles; evidence leadership actively engages (budget approvals, steering committee minutes).</w:t>
            </w:r>
          </w:p>
        </w:tc>
      </w:tr>
      <w:tr>
        <w:trPr>
          <w:cantSplit/>
        </w:trP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Planning</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and opportunity assessment methodology; information security risk assessment (6.1.2) and risk treatment (6.1.3), including the Statement of Applicability; measurable information security objectives and plans to achieve them (6.2); planning of changes to the ISMS (6.3, new in the 2022 edition).</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assessment procedure &amp; risk register; Statement of Applicability with justified inclusions/exclusions; risk treatment plan; documented objectives with owners, timelines and metrics; evidence that ISMS changes are planned, not ad hoc.</w:t>
            </w:r>
          </w:p>
        </w:tc>
      </w:tr>
      <w:tr>
        <w:trPr>
          <w:cantSplit/>
        </w:trP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Adequate resources (people, tools, budget); staff competence and security awareness; internal/external communication relevant to the ISMS; control of documented information — general requirements, creation/updating, and control (7.5.1-7.5.3).</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Training records / competence matrix; security-awareness program evidence; communications plan and evidence of execution; document register with version history and access controls.</w:t>
            </w:r>
          </w:p>
        </w:tc>
      </w:tr>
      <w:tr>
        <w:trPr>
          <w:cantSplit/>
        </w:trP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Operation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ISMS processes are planned, implemented and controlled, including outsourced processes and change management; risk assessments (8.2) and risk treatment (8.3) are actually carried out in operation, not just planned on paper.</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Change logs; risk assessments triggered by real changes; evidence the Clause 6 plan is actually being executed operationally, with outputs retained as evidence.</w:t>
            </w:r>
          </w:p>
        </w:tc>
      </w:tr>
      <w:tr>
        <w:trPr>
          <w:cantSplit/>
        </w:trP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Performance Evaluation</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Monitoring, measurement, analysis and evaluation of ISMS performance (9.1); a programmed internal audit function, split in the 2022 edition into a general requirement (9.2.1) and the audit programme itself (9.2.2); management review at planned intervals, likewise split into general (9.3.1), required inputs (9.3.2) and required results (9.3.3).</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KPI dashboards / monitoring logs; internal audit program, plans and reports; management review minutes containing the required inputs and documented outputs/decisions.</w:t>
            </w:r>
          </w:p>
        </w:tc>
      </w:tr>
      <w:tr>
        <w:trPr>
          <w:cantSplit/>
        </w:trP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Improvement</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Continual improvement of the ISMS's suitability, adequacy and effectiveness (10.1); when nonconformities occur, the organization reacts, corrects, root-causes, and reviews the effectiveness of corrective action (10.2). Note: the 2022 edition presents 10.1 Improvement before 10.2 Nonconformity — the reverse of the 2013 edition's order.</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Nonconformity / corrective action log; root cause analysis records; trend data showing the ISMS improving over time; auditor awareness that the clause order changed from 2013 to 2022.</w:t>
            </w:r>
          </w:p>
        </w:tc>
      </w:tr>
    </w:tbl>
    <w:p>
      <w:pPr>
        <w:pStyle w:val="Heading2"/>
        <w:spacing w:after="150" w:before="300"/>
      </w:pPr>
      <w:r>
        <w:t xml:space="preserve">2.4 Annex A: The 93 Controls, in Plain Language</w:t>
      </w:r>
    </w:p>
    <w:p>
      <w:pPr>
        <w:spacing w:after="160" w:line="276"/>
      </w:pPr>
      <w:r>
        <w:rPr>
          <w:rFonts w:ascii="Calibri" w:cs="Calibri" w:eastAsia="Calibri" w:hAnsi="Calibri"/>
          <w:sz w:val="22"/>
          <w:szCs w:val="22"/>
        </w:rPr>
        <w:t xml:space="preserve">Annex A of the 2022 edition reorganized what used to be 114 controls across 14 sections (in the 2013 edition) into 93 controls across just 4 themes. Not every control will be applicable to every organization — applicability is decided in the Statement of Applicability (SoA), described next.</w:t>
      </w:r>
    </w:p>
    <w:p>
      <w:pPr>
        <w:pStyle w:val="Heading3"/>
        <w:spacing w:after="120" w:before="240"/>
      </w:pPr>
      <w:r>
        <w:t xml:space="preserve">A.5 – Organizational controls (37 controls)</w:t>
      </w:r>
    </w:p>
    <w:p>
      <w:pPr>
        <w:spacing w:after="160" w:line="276"/>
      </w:pPr>
      <w:r>
        <w:rPr>
          <w:rFonts w:ascii="Calibri" w:cs="Calibri" w:eastAsia="Calibri" w:hAnsi="Calibri"/>
          <w:sz w:val="22"/>
          <w:szCs w:val="22"/>
        </w:rPr>
        <w:t xml:space="preserve">The largest theme by far, covering policy, organization, supplier and incident management, business continuity and compliance — the connective tissue between the ISMS's clauses and its technical controls.</w:t>
      </w:r>
    </w:p>
    <w:p>
      <w:pPr>
        <w:pStyle w:val="ListParagraph"/>
        <w:numPr>
          <w:ilvl w:val="0"/>
          <w:numId w:val="2"/>
        </w:numPr>
        <w:spacing w:after="100"/>
      </w:pPr>
      <w:r>
        <w:rPr>
          <w:rFonts w:ascii="Calibri" w:cs="Calibri" w:eastAsia="Calibri" w:hAnsi="Calibri"/>
          <w:sz w:val="22"/>
          <w:szCs w:val="22"/>
        </w:rPr>
        <w:t xml:space="preserve">A.5.1 Policies for information security</w:t>
      </w:r>
    </w:p>
    <w:p>
      <w:pPr>
        <w:pStyle w:val="ListParagraph"/>
        <w:numPr>
          <w:ilvl w:val="0"/>
          <w:numId w:val="2"/>
        </w:numPr>
        <w:spacing w:after="100"/>
      </w:pPr>
      <w:r>
        <w:rPr>
          <w:rFonts w:ascii="Calibri" w:cs="Calibri" w:eastAsia="Calibri" w:hAnsi="Calibri"/>
          <w:sz w:val="22"/>
          <w:szCs w:val="22"/>
        </w:rPr>
        <w:t xml:space="preserve">A.5.2 Information security roles and responsibilities</w:t>
      </w:r>
    </w:p>
    <w:p>
      <w:pPr>
        <w:pStyle w:val="ListParagraph"/>
        <w:numPr>
          <w:ilvl w:val="0"/>
          <w:numId w:val="2"/>
        </w:numPr>
        <w:spacing w:after="100"/>
      </w:pPr>
      <w:r>
        <w:rPr>
          <w:rFonts w:ascii="Calibri" w:cs="Calibri" w:eastAsia="Calibri" w:hAnsi="Calibri"/>
          <w:sz w:val="22"/>
          <w:szCs w:val="22"/>
        </w:rPr>
        <w:t xml:space="preserve">A.5.3 Segregation of duties</w:t>
      </w:r>
    </w:p>
    <w:p>
      <w:pPr>
        <w:pStyle w:val="ListParagraph"/>
        <w:numPr>
          <w:ilvl w:val="0"/>
          <w:numId w:val="2"/>
        </w:numPr>
        <w:spacing w:after="100"/>
      </w:pPr>
      <w:r>
        <w:rPr>
          <w:rFonts w:ascii="Calibri" w:cs="Calibri" w:eastAsia="Calibri" w:hAnsi="Calibri"/>
          <w:sz w:val="22"/>
          <w:szCs w:val="22"/>
        </w:rPr>
        <w:t xml:space="preserve">A.5.4 Management responsibilities</w:t>
      </w:r>
    </w:p>
    <w:p>
      <w:pPr>
        <w:pStyle w:val="ListParagraph"/>
        <w:numPr>
          <w:ilvl w:val="0"/>
          <w:numId w:val="2"/>
        </w:numPr>
        <w:spacing w:after="100"/>
      </w:pPr>
      <w:r>
        <w:rPr>
          <w:rFonts w:ascii="Calibri" w:cs="Calibri" w:eastAsia="Calibri" w:hAnsi="Calibri"/>
          <w:sz w:val="22"/>
          <w:szCs w:val="22"/>
        </w:rPr>
        <w:t xml:space="preserve">A.5.5 Contact with authorities</w:t>
      </w:r>
    </w:p>
    <w:p>
      <w:pPr>
        <w:pStyle w:val="ListParagraph"/>
        <w:numPr>
          <w:ilvl w:val="0"/>
          <w:numId w:val="2"/>
        </w:numPr>
        <w:spacing w:after="100"/>
      </w:pPr>
      <w:r>
        <w:rPr>
          <w:rFonts w:ascii="Calibri" w:cs="Calibri" w:eastAsia="Calibri" w:hAnsi="Calibri"/>
          <w:sz w:val="22"/>
          <w:szCs w:val="22"/>
        </w:rPr>
        <w:t xml:space="preserve">A.5.6 Contact with special interest groups</w:t>
      </w:r>
    </w:p>
    <w:p>
      <w:pPr>
        <w:pStyle w:val="ListParagraph"/>
        <w:numPr>
          <w:ilvl w:val="0"/>
          <w:numId w:val="2"/>
        </w:numPr>
        <w:spacing w:after="100"/>
      </w:pPr>
      <w:r>
        <w:rPr>
          <w:rFonts w:ascii="Calibri" w:cs="Calibri" w:eastAsia="Calibri" w:hAnsi="Calibri"/>
          <w:sz w:val="22"/>
          <w:szCs w:val="22"/>
        </w:rPr>
        <w:t xml:space="preserve">A.5.7 Threat intelligence</w:t>
      </w:r>
    </w:p>
    <w:p>
      <w:pPr>
        <w:pStyle w:val="ListParagraph"/>
        <w:numPr>
          <w:ilvl w:val="0"/>
          <w:numId w:val="2"/>
        </w:numPr>
        <w:spacing w:after="100"/>
      </w:pPr>
      <w:r>
        <w:rPr>
          <w:rFonts w:ascii="Calibri" w:cs="Calibri" w:eastAsia="Calibri" w:hAnsi="Calibri"/>
          <w:sz w:val="22"/>
          <w:szCs w:val="22"/>
        </w:rPr>
        <w:t xml:space="preserve">A.5.8 Information security in project management</w:t>
      </w:r>
    </w:p>
    <w:p>
      <w:pPr>
        <w:pStyle w:val="ListParagraph"/>
        <w:numPr>
          <w:ilvl w:val="0"/>
          <w:numId w:val="2"/>
        </w:numPr>
        <w:spacing w:after="100"/>
      </w:pPr>
      <w:r>
        <w:rPr>
          <w:rFonts w:ascii="Calibri" w:cs="Calibri" w:eastAsia="Calibri" w:hAnsi="Calibri"/>
          <w:sz w:val="22"/>
          <w:szCs w:val="22"/>
        </w:rPr>
        <w:t xml:space="preserve">A.5.9 Inventory of information and other associated assets</w:t>
      </w:r>
    </w:p>
    <w:p>
      <w:pPr>
        <w:pStyle w:val="ListParagraph"/>
        <w:numPr>
          <w:ilvl w:val="0"/>
          <w:numId w:val="2"/>
        </w:numPr>
        <w:spacing w:after="100"/>
      </w:pPr>
      <w:r>
        <w:rPr>
          <w:rFonts w:ascii="Calibri" w:cs="Calibri" w:eastAsia="Calibri" w:hAnsi="Calibri"/>
          <w:sz w:val="22"/>
          <w:szCs w:val="22"/>
        </w:rPr>
        <w:t xml:space="preserve">A.5.10 Acceptable use of information and other associated assets</w:t>
      </w:r>
    </w:p>
    <w:p>
      <w:pPr>
        <w:pStyle w:val="ListParagraph"/>
        <w:numPr>
          <w:ilvl w:val="0"/>
          <w:numId w:val="2"/>
        </w:numPr>
        <w:spacing w:after="100"/>
      </w:pPr>
      <w:r>
        <w:rPr>
          <w:rFonts w:ascii="Calibri" w:cs="Calibri" w:eastAsia="Calibri" w:hAnsi="Calibri"/>
          <w:sz w:val="22"/>
          <w:szCs w:val="22"/>
        </w:rPr>
        <w:t xml:space="preserve">A.5.11 Return of assets</w:t>
      </w:r>
    </w:p>
    <w:p>
      <w:pPr>
        <w:pStyle w:val="ListParagraph"/>
        <w:numPr>
          <w:ilvl w:val="0"/>
          <w:numId w:val="2"/>
        </w:numPr>
        <w:spacing w:after="100"/>
      </w:pPr>
      <w:r>
        <w:rPr>
          <w:rFonts w:ascii="Calibri" w:cs="Calibri" w:eastAsia="Calibri" w:hAnsi="Calibri"/>
          <w:sz w:val="22"/>
          <w:szCs w:val="22"/>
        </w:rPr>
        <w:t xml:space="preserve">A.5.12 Classification of information</w:t>
      </w:r>
    </w:p>
    <w:p>
      <w:pPr>
        <w:pStyle w:val="ListParagraph"/>
        <w:numPr>
          <w:ilvl w:val="0"/>
          <w:numId w:val="2"/>
        </w:numPr>
        <w:spacing w:after="100"/>
      </w:pPr>
      <w:r>
        <w:rPr>
          <w:rFonts w:ascii="Calibri" w:cs="Calibri" w:eastAsia="Calibri" w:hAnsi="Calibri"/>
          <w:sz w:val="22"/>
          <w:szCs w:val="22"/>
        </w:rPr>
        <w:t xml:space="preserve">A.5.13 Labelling of information</w:t>
      </w:r>
    </w:p>
    <w:p>
      <w:pPr>
        <w:pStyle w:val="ListParagraph"/>
        <w:numPr>
          <w:ilvl w:val="0"/>
          <w:numId w:val="2"/>
        </w:numPr>
        <w:spacing w:after="100"/>
      </w:pPr>
      <w:r>
        <w:rPr>
          <w:rFonts w:ascii="Calibri" w:cs="Calibri" w:eastAsia="Calibri" w:hAnsi="Calibri"/>
          <w:sz w:val="22"/>
          <w:szCs w:val="22"/>
        </w:rPr>
        <w:t xml:space="preserve">A.5.14 Information transfer</w:t>
      </w:r>
    </w:p>
    <w:p>
      <w:pPr>
        <w:pStyle w:val="ListParagraph"/>
        <w:numPr>
          <w:ilvl w:val="0"/>
          <w:numId w:val="2"/>
        </w:numPr>
        <w:spacing w:after="100"/>
      </w:pPr>
      <w:r>
        <w:rPr>
          <w:rFonts w:ascii="Calibri" w:cs="Calibri" w:eastAsia="Calibri" w:hAnsi="Calibri"/>
          <w:sz w:val="22"/>
          <w:szCs w:val="22"/>
        </w:rPr>
        <w:t xml:space="preserve">A.5.15 Access control</w:t>
      </w:r>
    </w:p>
    <w:p>
      <w:pPr>
        <w:pStyle w:val="ListParagraph"/>
        <w:numPr>
          <w:ilvl w:val="0"/>
          <w:numId w:val="2"/>
        </w:numPr>
        <w:spacing w:after="100"/>
      </w:pPr>
      <w:r>
        <w:rPr>
          <w:rFonts w:ascii="Calibri" w:cs="Calibri" w:eastAsia="Calibri" w:hAnsi="Calibri"/>
          <w:sz w:val="22"/>
          <w:szCs w:val="22"/>
        </w:rPr>
        <w:t xml:space="preserve">A.5.16 Identity management</w:t>
      </w:r>
    </w:p>
    <w:p>
      <w:pPr>
        <w:pStyle w:val="ListParagraph"/>
        <w:numPr>
          <w:ilvl w:val="0"/>
          <w:numId w:val="2"/>
        </w:numPr>
        <w:spacing w:after="100"/>
      </w:pPr>
      <w:r>
        <w:rPr>
          <w:rFonts w:ascii="Calibri" w:cs="Calibri" w:eastAsia="Calibri" w:hAnsi="Calibri"/>
          <w:sz w:val="22"/>
          <w:szCs w:val="22"/>
        </w:rPr>
        <w:t xml:space="preserve">A.5.17 Authentication information</w:t>
      </w:r>
    </w:p>
    <w:p>
      <w:pPr>
        <w:pStyle w:val="ListParagraph"/>
        <w:numPr>
          <w:ilvl w:val="0"/>
          <w:numId w:val="2"/>
        </w:numPr>
        <w:spacing w:after="100"/>
      </w:pPr>
      <w:r>
        <w:rPr>
          <w:rFonts w:ascii="Calibri" w:cs="Calibri" w:eastAsia="Calibri" w:hAnsi="Calibri"/>
          <w:sz w:val="22"/>
          <w:szCs w:val="22"/>
        </w:rPr>
        <w:t xml:space="preserve">A.5.18 Access rights</w:t>
      </w:r>
    </w:p>
    <w:p>
      <w:pPr>
        <w:pStyle w:val="ListParagraph"/>
        <w:numPr>
          <w:ilvl w:val="0"/>
          <w:numId w:val="2"/>
        </w:numPr>
        <w:spacing w:after="100"/>
      </w:pPr>
      <w:r>
        <w:rPr>
          <w:rFonts w:ascii="Calibri" w:cs="Calibri" w:eastAsia="Calibri" w:hAnsi="Calibri"/>
          <w:sz w:val="22"/>
          <w:szCs w:val="22"/>
        </w:rPr>
        <w:t xml:space="preserve">A.5.19 Information security in supplier relationships</w:t>
      </w:r>
    </w:p>
    <w:p>
      <w:pPr>
        <w:pStyle w:val="ListParagraph"/>
        <w:numPr>
          <w:ilvl w:val="0"/>
          <w:numId w:val="2"/>
        </w:numPr>
        <w:spacing w:after="100"/>
      </w:pPr>
      <w:r>
        <w:rPr>
          <w:rFonts w:ascii="Calibri" w:cs="Calibri" w:eastAsia="Calibri" w:hAnsi="Calibri"/>
          <w:sz w:val="22"/>
          <w:szCs w:val="22"/>
        </w:rPr>
        <w:t xml:space="preserve">A.5.20 Addressing information security within supplier agreements</w:t>
      </w:r>
    </w:p>
    <w:p>
      <w:pPr>
        <w:pStyle w:val="ListParagraph"/>
        <w:numPr>
          <w:ilvl w:val="0"/>
          <w:numId w:val="2"/>
        </w:numPr>
        <w:spacing w:after="100"/>
      </w:pPr>
      <w:r>
        <w:rPr>
          <w:rFonts w:ascii="Calibri" w:cs="Calibri" w:eastAsia="Calibri" w:hAnsi="Calibri"/>
          <w:sz w:val="22"/>
          <w:szCs w:val="22"/>
        </w:rPr>
        <w:t xml:space="preserve">A.5.21 Managing information security in the ICT supply chain</w:t>
      </w:r>
    </w:p>
    <w:p>
      <w:pPr>
        <w:pStyle w:val="ListParagraph"/>
        <w:numPr>
          <w:ilvl w:val="0"/>
          <w:numId w:val="2"/>
        </w:numPr>
        <w:spacing w:after="100"/>
      </w:pPr>
      <w:r>
        <w:rPr>
          <w:rFonts w:ascii="Calibri" w:cs="Calibri" w:eastAsia="Calibri" w:hAnsi="Calibri"/>
          <w:sz w:val="22"/>
          <w:szCs w:val="22"/>
        </w:rPr>
        <w:t xml:space="preserve">A.5.22 Monitoring, review and change management of supplier services</w:t>
      </w:r>
    </w:p>
    <w:p>
      <w:pPr>
        <w:pStyle w:val="ListParagraph"/>
        <w:numPr>
          <w:ilvl w:val="0"/>
          <w:numId w:val="2"/>
        </w:numPr>
        <w:spacing w:after="100"/>
      </w:pPr>
      <w:r>
        <w:rPr>
          <w:rFonts w:ascii="Calibri" w:cs="Calibri" w:eastAsia="Calibri" w:hAnsi="Calibri"/>
          <w:sz w:val="22"/>
          <w:szCs w:val="22"/>
        </w:rPr>
        <w:t xml:space="preserve">A.5.23 Information security for use of cloud services</w:t>
      </w:r>
    </w:p>
    <w:p>
      <w:pPr>
        <w:pStyle w:val="ListParagraph"/>
        <w:numPr>
          <w:ilvl w:val="0"/>
          <w:numId w:val="2"/>
        </w:numPr>
        <w:spacing w:after="100"/>
      </w:pPr>
      <w:r>
        <w:rPr>
          <w:rFonts w:ascii="Calibri" w:cs="Calibri" w:eastAsia="Calibri" w:hAnsi="Calibri"/>
          <w:sz w:val="22"/>
          <w:szCs w:val="22"/>
        </w:rPr>
        <w:t xml:space="preserve">A.5.24 Information security incident management planning and preparation</w:t>
      </w:r>
    </w:p>
    <w:p>
      <w:pPr>
        <w:pStyle w:val="ListParagraph"/>
        <w:numPr>
          <w:ilvl w:val="0"/>
          <w:numId w:val="2"/>
        </w:numPr>
        <w:spacing w:after="100"/>
      </w:pPr>
      <w:r>
        <w:rPr>
          <w:rFonts w:ascii="Calibri" w:cs="Calibri" w:eastAsia="Calibri" w:hAnsi="Calibri"/>
          <w:sz w:val="22"/>
          <w:szCs w:val="22"/>
        </w:rPr>
        <w:t xml:space="preserve">A.5.25 Assessment and decision on information security events</w:t>
      </w:r>
    </w:p>
    <w:p>
      <w:pPr>
        <w:pStyle w:val="ListParagraph"/>
        <w:numPr>
          <w:ilvl w:val="0"/>
          <w:numId w:val="2"/>
        </w:numPr>
        <w:spacing w:after="100"/>
      </w:pPr>
      <w:r>
        <w:rPr>
          <w:rFonts w:ascii="Calibri" w:cs="Calibri" w:eastAsia="Calibri" w:hAnsi="Calibri"/>
          <w:sz w:val="22"/>
          <w:szCs w:val="22"/>
        </w:rPr>
        <w:t xml:space="preserve">A.5.26 Response to information security incidents</w:t>
      </w:r>
    </w:p>
    <w:p>
      <w:pPr>
        <w:pStyle w:val="ListParagraph"/>
        <w:numPr>
          <w:ilvl w:val="0"/>
          <w:numId w:val="2"/>
        </w:numPr>
        <w:spacing w:after="100"/>
      </w:pPr>
      <w:r>
        <w:rPr>
          <w:rFonts w:ascii="Calibri" w:cs="Calibri" w:eastAsia="Calibri" w:hAnsi="Calibri"/>
          <w:sz w:val="22"/>
          <w:szCs w:val="22"/>
        </w:rPr>
        <w:t xml:space="preserve">A.5.27 Learning from information security incidents</w:t>
      </w:r>
    </w:p>
    <w:p>
      <w:pPr>
        <w:pStyle w:val="ListParagraph"/>
        <w:numPr>
          <w:ilvl w:val="0"/>
          <w:numId w:val="2"/>
        </w:numPr>
        <w:spacing w:after="100"/>
      </w:pPr>
      <w:r>
        <w:rPr>
          <w:rFonts w:ascii="Calibri" w:cs="Calibri" w:eastAsia="Calibri" w:hAnsi="Calibri"/>
          <w:sz w:val="22"/>
          <w:szCs w:val="22"/>
        </w:rPr>
        <w:t xml:space="preserve">A.5.28 Collection of evidence</w:t>
      </w:r>
    </w:p>
    <w:p>
      <w:pPr>
        <w:pStyle w:val="ListParagraph"/>
        <w:numPr>
          <w:ilvl w:val="0"/>
          <w:numId w:val="2"/>
        </w:numPr>
        <w:spacing w:after="100"/>
      </w:pPr>
      <w:r>
        <w:rPr>
          <w:rFonts w:ascii="Calibri" w:cs="Calibri" w:eastAsia="Calibri" w:hAnsi="Calibri"/>
          <w:sz w:val="22"/>
          <w:szCs w:val="22"/>
        </w:rPr>
        <w:t xml:space="preserve">A.5.29 Information security during disruption</w:t>
      </w:r>
    </w:p>
    <w:p>
      <w:pPr>
        <w:pStyle w:val="ListParagraph"/>
        <w:numPr>
          <w:ilvl w:val="0"/>
          <w:numId w:val="2"/>
        </w:numPr>
        <w:spacing w:after="100"/>
      </w:pPr>
      <w:r>
        <w:rPr>
          <w:rFonts w:ascii="Calibri" w:cs="Calibri" w:eastAsia="Calibri" w:hAnsi="Calibri"/>
          <w:sz w:val="22"/>
          <w:szCs w:val="22"/>
        </w:rPr>
        <w:t xml:space="preserve">A.5.30 ICT readiness for business continuity</w:t>
      </w:r>
    </w:p>
    <w:p>
      <w:pPr>
        <w:pStyle w:val="ListParagraph"/>
        <w:numPr>
          <w:ilvl w:val="0"/>
          <w:numId w:val="2"/>
        </w:numPr>
        <w:spacing w:after="100"/>
      </w:pPr>
      <w:r>
        <w:rPr>
          <w:rFonts w:ascii="Calibri" w:cs="Calibri" w:eastAsia="Calibri" w:hAnsi="Calibri"/>
          <w:sz w:val="22"/>
          <w:szCs w:val="22"/>
        </w:rPr>
        <w:t xml:space="preserve">A.5.31 Legal, statutory, regulatory and contractual requirements</w:t>
      </w:r>
    </w:p>
    <w:p>
      <w:pPr>
        <w:pStyle w:val="ListParagraph"/>
        <w:numPr>
          <w:ilvl w:val="0"/>
          <w:numId w:val="2"/>
        </w:numPr>
        <w:spacing w:after="100"/>
      </w:pPr>
      <w:r>
        <w:rPr>
          <w:rFonts w:ascii="Calibri" w:cs="Calibri" w:eastAsia="Calibri" w:hAnsi="Calibri"/>
          <w:sz w:val="22"/>
          <w:szCs w:val="22"/>
        </w:rPr>
        <w:t xml:space="preserve">A.5.32 Intellectual property rights</w:t>
      </w:r>
    </w:p>
    <w:p>
      <w:pPr>
        <w:pStyle w:val="ListParagraph"/>
        <w:numPr>
          <w:ilvl w:val="0"/>
          <w:numId w:val="2"/>
        </w:numPr>
        <w:spacing w:after="100"/>
      </w:pPr>
      <w:r>
        <w:rPr>
          <w:rFonts w:ascii="Calibri" w:cs="Calibri" w:eastAsia="Calibri" w:hAnsi="Calibri"/>
          <w:sz w:val="22"/>
          <w:szCs w:val="22"/>
        </w:rPr>
        <w:t xml:space="preserve">A.5.33 Protection of records</w:t>
      </w:r>
    </w:p>
    <w:p>
      <w:pPr>
        <w:pStyle w:val="ListParagraph"/>
        <w:numPr>
          <w:ilvl w:val="0"/>
          <w:numId w:val="2"/>
        </w:numPr>
        <w:spacing w:after="100"/>
      </w:pPr>
      <w:r>
        <w:rPr>
          <w:rFonts w:ascii="Calibri" w:cs="Calibri" w:eastAsia="Calibri" w:hAnsi="Calibri"/>
          <w:sz w:val="22"/>
          <w:szCs w:val="22"/>
        </w:rPr>
        <w:t xml:space="preserve">A.5.34 Privacy and protection of PII</w:t>
      </w:r>
    </w:p>
    <w:p>
      <w:pPr>
        <w:pStyle w:val="ListParagraph"/>
        <w:numPr>
          <w:ilvl w:val="0"/>
          <w:numId w:val="2"/>
        </w:numPr>
        <w:spacing w:after="100"/>
      </w:pPr>
      <w:r>
        <w:rPr>
          <w:rFonts w:ascii="Calibri" w:cs="Calibri" w:eastAsia="Calibri" w:hAnsi="Calibri"/>
          <w:sz w:val="22"/>
          <w:szCs w:val="22"/>
        </w:rPr>
        <w:t xml:space="preserve">A.5.35 Independent review of information security</w:t>
      </w:r>
    </w:p>
    <w:p>
      <w:pPr>
        <w:pStyle w:val="ListParagraph"/>
        <w:numPr>
          <w:ilvl w:val="0"/>
          <w:numId w:val="2"/>
        </w:numPr>
        <w:spacing w:after="100"/>
      </w:pPr>
      <w:r>
        <w:rPr>
          <w:rFonts w:ascii="Calibri" w:cs="Calibri" w:eastAsia="Calibri" w:hAnsi="Calibri"/>
          <w:sz w:val="22"/>
          <w:szCs w:val="22"/>
        </w:rPr>
        <w:t xml:space="preserve">A.5.36 Compliance with policies, rules and standards for information security</w:t>
      </w:r>
    </w:p>
    <w:p>
      <w:pPr>
        <w:pStyle w:val="ListParagraph"/>
        <w:numPr>
          <w:ilvl w:val="0"/>
          <w:numId w:val="2"/>
        </w:numPr>
        <w:spacing w:after="100"/>
      </w:pPr>
      <w:r>
        <w:rPr>
          <w:rFonts w:ascii="Calibri" w:cs="Calibri" w:eastAsia="Calibri" w:hAnsi="Calibri"/>
          <w:sz w:val="22"/>
          <w:szCs w:val="22"/>
        </w:rPr>
        <w:t xml:space="preserve">A.5.37 Documented operating procedures</w:t>
      </w:r>
    </w:p>
    <w:p>
      <w:pPr>
        <w:pStyle w:val="Heading3"/>
        <w:spacing w:after="120" w:before="240"/>
      </w:pPr>
      <w:r>
        <w:t xml:space="preserve">A.6 – People controls (8 controls)</w:t>
      </w:r>
    </w:p>
    <w:p>
      <w:pPr>
        <w:spacing w:after="160" w:line="276"/>
      </w:pPr>
      <w:r>
        <w:rPr>
          <w:rFonts w:ascii="Calibri" w:cs="Calibri" w:eastAsia="Calibri" w:hAnsi="Calibri"/>
          <w:sz w:val="22"/>
          <w:szCs w:val="22"/>
        </w:rPr>
        <w:t xml:space="preserve">Controls addressing personnel across the employment lifecycle — before, during and after employment — plus remote-working security and event reporting.</w:t>
      </w:r>
    </w:p>
    <w:p>
      <w:pPr>
        <w:pStyle w:val="ListParagraph"/>
        <w:numPr>
          <w:ilvl w:val="0"/>
          <w:numId w:val="2"/>
        </w:numPr>
        <w:spacing w:after="100"/>
      </w:pPr>
      <w:r>
        <w:rPr>
          <w:rFonts w:ascii="Calibri" w:cs="Calibri" w:eastAsia="Calibri" w:hAnsi="Calibri"/>
          <w:sz w:val="22"/>
          <w:szCs w:val="22"/>
        </w:rPr>
        <w:t xml:space="preserve">A.6.1 Screening</w:t>
      </w:r>
    </w:p>
    <w:p>
      <w:pPr>
        <w:pStyle w:val="ListParagraph"/>
        <w:numPr>
          <w:ilvl w:val="0"/>
          <w:numId w:val="2"/>
        </w:numPr>
        <w:spacing w:after="100"/>
      </w:pPr>
      <w:r>
        <w:rPr>
          <w:rFonts w:ascii="Calibri" w:cs="Calibri" w:eastAsia="Calibri" w:hAnsi="Calibri"/>
          <w:sz w:val="22"/>
          <w:szCs w:val="22"/>
        </w:rPr>
        <w:t xml:space="preserve">A.6.2 Terms and conditions of employment</w:t>
      </w:r>
    </w:p>
    <w:p>
      <w:pPr>
        <w:pStyle w:val="ListParagraph"/>
        <w:numPr>
          <w:ilvl w:val="0"/>
          <w:numId w:val="2"/>
        </w:numPr>
        <w:spacing w:after="100"/>
      </w:pPr>
      <w:r>
        <w:rPr>
          <w:rFonts w:ascii="Calibri" w:cs="Calibri" w:eastAsia="Calibri" w:hAnsi="Calibri"/>
          <w:sz w:val="22"/>
          <w:szCs w:val="22"/>
        </w:rPr>
        <w:t xml:space="preserve">A.6.3 Information security awareness, education and training</w:t>
      </w:r>
    </w:p>
    <w:p>
      <w:pPr>
        <w:pStyle w:val="ListParagraph"/>
        <w:numPr>
          <w:ilvl w:val="0"/>
          <w:numId w:val="2"/>
        </w:numPr>
        <w:spacing w:after="100"/>
      </w:pPr>
      <w:r>
        <w:rPr>
          <w:rFonts w:ascii="Calibri" w:cs="Calibri" w:eastAsia="Calibri" w:hAnsi="Calibri"/>
          <w:sz w:val="22"/>
          <w:szCs w:val="22"/>
        </w:rPr>
        <w:t xml:space="preserve">A.6.4 Disciplinary process</w:t>
      </w:r>
    </w:p>
    <w:p>
      <w:pPr>
        <w:pStyle w:val="ListParagraph"/>
        <w:numPr>
          <w:ilvl w:val="0"/>
          <w:numId w:val="2"/>
        </w:numPr>
        <w:spacing w:after="100"/>
      </w:pPr>
      <w:r>
        <w:rPr>
          <w:rFonts w:ascii="Calibri" w:cs="Calibri" w:eastAsia="Calibri" w:hAnsi="Calibri"/>
          <w:sz w:val="22"/>
          <w:szCs w:val="22"/>
        </w:rPr>
        <w:t xml:space="preserve">A.6.5 Responsibilities after termination or change of employment</w:t>
      </w:r>
    </w:p>
    <w:p>
      <w:pPr>
        <w:pStyle w:val="ListParagraph"/>
        <w:numPr>
          <w:ilvl w:val="0"/>
          <w:numId w:val="2"/>
        </w:numPr>
        <w:spacing w:after="100"/>
      </w:pPr>
      <w:r>
        <w:rPr>
          <w:rFonts w:ascii="Calibri" w:cs="Calibri" w:eastAsia="Calibri" w:hAnsi="Calibri"/>
          <w:sz w:val="22"/>
          <w:szCs w:val="22"/>
        </w:rPr>
        <w:t xml:space="preserve">A.6.6 Confidentiality or non-disclosure agreements</w:t>
      </w:r>
    </w:p>
    <w:p>
      <w:pPr>
        <w:pStyle w:val="ListParagraph"/>
        <w:numPr>
          <w:ilvl w:val="0"/>
          <w:numId w:val="2"/>
        </w:numPr>
        <w:spacing w:after="100"/>
      </w:pPr>
      <w:r>
        <w:rPr>
          <w:rFonts w:ascii="Calibri" w:cs="Calibri" w:eastAsia="Calibri" w:hAnsi="Calibri"/>
          <w:sz w:val="22"/>
          <w:szCs w:val="22"/>
        </w:rPr>
        <w:t xml:space="preserve">A.6.7 Remote working</w:t>
      </w:r>
    </w:p>
    <w:p>
      <w:pPr>
        <w:pStyle w:val="ListParagraph"/>
        <w:numPr>
          <w:ilvl w:val="0"/>
          <w:numId w:val="2"/>
        </w:numPr>
        <w:spacing w:after="100"/>
      </w:pPr>
      <w:r>
        <w:rPr>
          <w:rFonts w:ascii="Calibri" w:cs="Calibri" w:eastAsia="Calibri" w:hAnsi="Calibri"/>
          <w:sz w:val="22"/>
          <w:szCs w:val="22"/>
        </w:rPr>
        <w:t xml:space="preserve">A.6.8 Information security event reporting</w:t>
      </w:r>
    </w:p>
    <w:p>
      <w:pPr>
        <w:pStyle w:val="Heading3"/>
        <w:spacing w:after="120" w:before="240"/>
      </w:pPr>
      <w:r>
        <w:t xml:space="preserve">A.7 – Physical controls (14 controls)</w:t>
      </w:r>
    </w:p>
    <w:p>
      <w:pPr>
        <w:spacing w:after="160" w:line="276"/>
      </w:pPr>
      <w:r>
        <w:rPr>
          <w:rFonts w:ascii="Calibri" w:cs="Calibri" w:eastAsia="Calibri" w:hAnsi="Calibri"/>
          <w:sz w:val="22"/>
          <w:szCs w:val="22"/>
        </w:rPr>
        <w:t xml:space="preserve">Controls protecting physical premises, equipment and media — from building perimeters down to secure disposal of a retired hard drive.</w:t>
      </w:r>
    </w:p>
    <w:p>
      <w:pPr>
        <w:pStyle w:val="ListParagraph"/>
        <w:numPr>
          <w:ilvl w:val="0"/>
          <w:numId w:val="2"/>
        </w:numPr>
        <w:spacing w:after="100"/>
      </w:pPr>
      <w:r>
        <w:rPr>
          <w:rFonts w:ascii="Calibri" w:cs="Calibri" w:eastAsia="Calibri" w:hAnsi="Calibri"/>
          <w:sz w:val="22"/>
          <w:szCs w:val="22"/>
        </w:rPr>
        <w:t xml:space="preserve">A.7.1 Physical security perimeters</w:t>
      </w:r>
    </w:p>
    <w:p>
      <w:pPr>
        <w:pStyle w:val="ListParagraph"/>
        <w:numPr>
          <w:ilvl w:val="0"/>
          <w:numId w:val="2"/>
        </w:numPr>
        <w:spacing w:after="100"/>
      </w:pPr>
      <w:r>
        <w:rPr>
          <w:rFonts w:ascii="Calibri" w:cs="Calibri" w:eastAsia="Calibri" w:hAnsi="Calibri"/>
          <w:sz w:val="22"/>
          <w:szCs w:val="22"/>
        </w:rPr>
        <w:t xml:space="preserve">A.7.2 Physical entry</w:t>
      </w:r>
    </w:p>
    <w:p>
      <w:pPr>
        <w:pStyle w:val="ListParagraph"/>
        <w:numPr>
          <w:ilvl w:val="0"/>
          <w:numId w:val="2"/>
        </w:numPr>
        <w:spacing w:after="100"/>
      </w:pPr>
      <w:r>
        <w:rPr>
          <w:rFonts w:ascii="Calibri" w:cs="Calibri" w:eastAsia="Calibri" w:hAnsi="Calibri"/>
          <w:sz w:val="22"/>
          <w:szCs w:val="22"/>
        </w:rPr>
        <w:t xml:space="preserve">A.7.3 Securing offices, rooms and facilities</w:t>
      </w:r>
    </w:p>
    <w:p>
      <w:pPr>
        <w:pStyle w:val="ListParagraph"/>
        <w:numPr>
          <w:ilvl w:val="0"/>
          <w:numId w:val="2"/>
        </w:numPr>
        <w:spacing w:after="100"/>
      </w:pPr>
      <w:r>
        <w:rPr>
          <w:rFonts w:ascii="Calibri" w:cs="Calibri" w:eastAsia="Calibri" w:hAnsi="Calibri"/>
          <w:sz w:val="22"/>
          <w:szCs w:val="22"/>
        </w:rPr>
        <w:t xml:space="preserve">A.7.4 Physical security monitoring</w:t>
      </w:r>
    </w:p>
    <w:p>
      <w:pPr>
        <w:pStyle w:val="ListParagraph"/>
        <w:numPr>
          <w:ilvl w:val="0"/>
          <w:numId w:val="2"/>
        </w:numPr>
        <w:spacing w:after="100"/>
      </w:pPr>
      <w:r>
        <w:rPr>
          <w:rFonts w:ascii="Calibri" w:cs="Calibri" w:eastAsia="Calibri" w:hAnsi="Calibri"/>
          <w:sz w:val="22"/>
          <w:szCs w:val="22"/>
        </w:rPr>
        <w:t xml:space="preserve">A.7.5 Protecting against physical and environmental threats</w:t>
      </w:r>
    </w:p>
    <w:p>
      <w:pPr>
        <w:pStyle w:val="ListParagraph"/>
        <w:numPr>
          <w:ilvl w:val="0"/>
          <w:numId w:val="2"/>
        </w:numPr>
        <w:spacing w:after="100"/>
      </w:pPr>
      <w:r>
        <w:rPr>
          <w:rFonts w:ascii="Calibri" w:cs="Calibri" w:eastAsia="Calibri" w:hAnsi="Calibri"/>
          <w:sz w:val="22"/>
          <w:szCs w:val="22"/>
        </w:rPr>
        <w:t xml:space="preserve">A.7.6 Working in secure areas</w:t>
      </w:r>
    </w:p>
    <w:p>
      <w:pPr>
        <w:pStyle w:val="ListParagraph"/>
        <w:numPr>
          <w:ilvl w:val="0"/>
          <w:numId w:val="2"/>
        </w:numPr>
        <w:spacing w:after="100"/>
      </w:pPr>
      <w:r>
        <w:rPr>
          <w:rFonts w:ascii="Calibri" w:cs="Calibri" w:eastAsia="Calibri" w:hAnsi="Calibri"/>
          <w:sz w:val="22"/>
          <w:szCs w:val="22"/>
        </w:rPr>
        <w:t xml:space="preserve">A.7.7 Clear desk and clear screen</w:t>
      </w:r>
    </w:p>
    <w:p>
      <w:pPr>
        <w:pStyle w:val="ListParagraph"/>
        <w:numPr>
          <w:ilvl w:val="0"/>
          <w:numId w:val="2"/>
        </w:numPr>
        <w:spacing w:after="100"/>
      </w:pPr>
      <w:r>
        <w:rPr>
          <w:rFonts w:ascii="Calibri" w:cs="Calibri" w:eastAsia="Calibri" w:hAnsi="Calibri"/>
          <w:sz w:val="22"/>
          <w:szCs w:val="22"/>
        </w:rPr>
        <w:t xml:space="preserve">A.7.8 Equipment siting and protection</w:t>
      </w:r>
    </w:p>
    <w:p>
      <w:pPr>
        <w:pStyle w:val="ListParagraph"/>
        <w:numPr>
          <w:ilvl w:val="0"/>
          <w:numId w:val="2"/>
        </w:numPr>
        <w:spacing w:after="100"/>
      </w:pPr>
      <w:r>
        <w:rPr>
          <w:rFonts w:ascii="Calibri" w:cs="Calibri" w:eastAsia="Calibri" w:hAnsi="Calibri"/>
          <w:sz w:val="22"/>
          <w:szCs w:val="22"/>
        </w:rPr>
        <w:t xml:space="preserve">A.7.9 Security of assets off-premises</w:t>
      </w:r>
    </w:p>
    <w:p>
      <w:pPr>
        <w:pStyle w:val="ListParagraph"/>
        <w:numPr>
          <w:ilvl w:val="0"/>
          <w:numId w:val="2"/>
        </w:numPr>
        <w:spacing w:after="100"/>
      </w:pPr>
      <w:r>
        <w:rPr>
          <w:rFonts w:ascii="Calibri" w:cs="Calibri" w:eastAsia="Calibri" w:hAnsi="Calibri"/>
          <w:sz w:val="22"/>
          <w:szCs w:val="22"/>
        </w:rPr>
        <w:t xml:space="preserve">A.7.10 Storage media</w:t>
      </w:r>
    </w:p>
    <w:p>
      <w:pPr>
        <w:pStyle w:val="ListParagraph"/>
        <w:numPr>
          <w:ilvl w:val="0"/>
          <w:numId w:val="2"/>
        </w:numPr>
        <w:spacing w:after="100"/>
      </w:pPr>
      <w:r>
        <w:rPr>
          <w:rFonts w:ascii="Calibri" w:cs="Calibri" w:eastAsia="Calibri" w:hAnsi="Calibri"/>
          <w:sz w:val="22"/>
          <w:szCs w:val="22"/>
        </w:rPr>
        <w:t xml:space="preserve">A.7.11 Supporting utilities</w:t>
      </w:r>
    </w:p>
    <w:p>
      <w:pPr>
        <w:pStyle w:val="ListParagraph"/>
        <w:numPr>
          <w:ilvl w:val="0"/>
          <w:numId w:val="2"/>
        </w:numPr>
        <w:spacing w:after="100"/>
      </w:pPr>
      <w:r>
        <w:rPr>
          <w:rFonts w:ascii="Calibri" w:cs="Calibri" w:eastAsia="Calibri" w:hAnsi="Calibri"/>
          <w:sz w:val="22"/>
          <w:szCs w:val="22"/>
        </w:rPr>
        <w:t xml:space="preserve">A.7.12 Cabling security</w:t>
      </w:r>
    </w:p>
    <w:p>
      <w:pPr>
        <w:pStyle w:val="ListParagraph"/>
        <w:numPr>
          <w:ilvl w:val="0"/>
          <w:numId w:val="2"/>
        </w:numPr>
        <w:spacing w:after="100"/>
      </w:pPr>
      <w:r>
        <w:rPr>
          <w:rFonts w:ascii="Calibri" w:cs="Calibri" w:eastAsia="Calibri" w:hAnsi="Calibri"/>
          <w:sz w:val="22"/>
          <w:szCs w:val="22"/>
        </w:rPr>
        <w:t xml:space="preserve">A.7.13 Equipment maintenance</w:t>
      </w:r>
    </w:p>
    <w:p>
      <w:pPr>
        <w:pStyle w:val="ListParagraph"/>
        <w:numPr>
          <w:ilvl w:val="0"/>
          <w:numId w:val="2"/>
        </w:numPr>
        <w:spacing w:after="100"/>
      </w:pPr>
      <w:r>
        <w:rPr>
          <w:rFonts w:ascii="Calibri" w:cs="Calibri" w:eastAsia="Calibri" w:hAnsi="Calibri"/>
          <w:sz w:val="22"/>
          <w:szCs w:val="22"/>
        </w:rPr>
        <w:t xml:space="preserve">A.7.14 Secure disposal or re-use of equipment</w:t>
      </w:r>
    </w:p>
    <w:p>
      <w:pPr>
        <w:pStyle w:val="Heading3"/>
        <w:spacing w:after="120" w:before="240"/>
      </w:pPr>
      <w:r>
        <w:t xml:space="preserve">A.8 – Technological controls (34 controls)</w:t>
      </w:r>
    </w:p>
    <w:p>
      <w:pPr>
        <w:spacing w:after="160" w:line="276"/>
      </w:pPr>
      <w:r>
        <w:rPr>
          <w:rFonts w:ascii="Calibri" w:cs="Calibri" w:eastAsia="Calibri" w:hAnsi="Calibri"/>
          <w:sz w:val="22"/>
          <w:szCs w:val="22"/>
        </w:rPr>
        <w:t xml:space="preserve">The largest and most technical theme: endpoint, access, cryptography, vulnerability, backup, logging, secure development and network controls.</w:t>
      </w:r>
    </w:p>
    <w:p>
      <w:pPr>
        <w:pStyle w:val="ListParagraph"/>
        <w:numPr>
          <w:ilvl w:val="0"/>
          <w:numId w:val="2"/>
        </w:numPr>
        <w:spacing w:after="100"/>
      </w:pPr>
      <w:r>
        <w:rPr>
          <w:rFonts w:ascii="Calibri" w:cs="Calibri" w:eastAsia="Calibri" w:hAnsi="Calibri"/>
          <w:sz w:val="22"/>
          <w:szCs w:val="22"/>
        </w:rPr>
        <w:t xml:space="preserve">A.8.1 User endpoint devices</w:t>
      </w:r>
    </w:p>
    <w:p>
      <w:pPr>
        <w:pStyle w:val="ListParagraph"/>
        <w:numPr>
          <w:ilvl w:val="0"/>
          <w:numId w:val="2"/>
        </w:numPr>
        <w:spacing w:after="100"/>
      </w:pPr>
      <w:r>
        <w:rPr>
          <w:rFonts w:ascii="Calibri" w:cs="Calibri" w:eastAsia="Calibri" w:hAnsi="Calibri"/>
          <w:sz w:val="22"/>
          <w:szCs w:val="22"/>
        </w:rPr>
        <w:t xml:space="preserve">A.8.2 Privileged access rights</w:t>
      </w:r>
    </w:p>
    <w:p>
      <w:pPr>
        <w:pStyle w:val="ListParagraph"/>
        <w:numPr>
          <w:ilvl w:val="0"/>
          <w:numId w:val="2"/>
        </w:numPr>
        <w:spacing w:after="100"/>
      </w:pPr>
      <w:r>
        <w:rPr>
          <w:rFonts w:ascii="Calibri" w:cs="Calibri" w:eastAsia="Calibri" w:hAnsi="Calibri"/>
          <w:sz w:val="22"/>
          <w:szCs w:val="22"/>
        </w:rPr>
        <w:t xml:space="preserve">A.8.3 Information access restriction</w:t>
      </w:r>
    </w:p>
    <w:p>
      <w:pPr>
        <w:pStyle w:val="ListParagraph"/>
        <w:numPr>
          <w:ilvl w:val="0"/>
          <w:numId w:val="2"/>
        </w:numPr>
        <w:spacing w:after="100"/>
      </w:pPr>
      <w:r>
        <w:rPr>
          <w:rFonts w:ascii="Calibri" w:cs="Calibri" w:eastAsia="Calibri" w:hAnsi="Calibri"/>
          <w:sz w:val="22"/>
          <w:szCs w:val="22"/>
        </w:rPr>
        <w:t xml:space="preserve">A.8.4 Access to source code</w:t>
      </w:r>
    </w:p>
    <w:p>
      <w:pPr>
        <w:pStyle w:val="ListParagraph"/>
        <w:numPr>
          <w:ilvl w:val="0"/>
          <w:numId w:val="2"/>
        </w:numPr>
        <w:spacing w:after="100"/>
      </w:pPr>
      <w:r>
        <w:rPr>
          <w:rFonts w:ascii="Calibri" w:cs="Calibri" w:eastAsia="Calibri" w:hAnsi="Calibri"/>
          <w:sz w:val="22"/>
          <w:szCs w:val="22"/>
        </w:rPr>
        <w:t xml:space="preserve">A.8.5 Secure authentication</w:t>
      </w:r>
    </w:p>
    <w:p>
      <w:pPr>
        <w:pStyle w:val="ListParagraph"/>
        <w:numPr>
          <w:ilvl w:val="0"/>
          <w:numId w:val="2"/>
        </w:numPr>
        <w:spacing w:after="100"/>
      </w:pPr>
      <w:r>
        <w:rPr>
          <w:rFonts w:ascii="Calibri" w:cs="Calibri" w:eastAsia="Calibri" w:hAnsi="Calibri"/>
          <w:sz w:val="22"/>
          <w:szCs w:val="22"/>
        </w:rPr>
        <w:t xml:space="preserve">A.8.6 Capacity management</w:t>
      </w:r>
    </w:p>
    <w:p>
      <w:pPr>
        <w:pStyle w:val="ListParagraph"/>
        <w:numPr>
          <w:ilvl w:val="0"/>
          <w:numId w:val="2"/>
        </w:numPr>
        <w:spacing w:after="100"/>
      </w:pPr>
      <w:r>
        <w:rPr>
          <w:rFonts w:ascii="Calibri" w:cs="Calibri" w:eastAsia="Calibri" w:hAnsi="Calibri"/>
          <w:sz w:val="22"/>
          <w:szCs w:val="22"/>
        </w:rPr>
        <w:t xml:space="preserve">A.8.7 Protection against malware</w:t>
      </w:r>
    </w:p>
    <w:p>
      <w:pPr>
        <w:pStyle w:val="ListParagraph"/>
        <w:numPr>
          <w:ilvl w:val="0"/>
          <w:numId w:val="2"/>
        </w:numPr>
        <w:spacing w:after="100"/>
      </w:pPr>
      <w:r>
        <w:rPr>
          <w:rFonts w:ascii="Calibri" w:cs="Calibri" w:eastAsia="Calibri" w:hAnsi="Calibri"/>
          <w:sz w:val="22"/>
          <w:szCs w:val="22"/>
        </w:rPr>
        <w:t xml:space="preserve">A.8.8 Management of technical vulnerabilities</w:t>
      </w:r>
    </w:p>
    <w:p>
      <w:pPr>
        <w:pStyle w:val="ListParagraph"/>
        <w:numPr>
          <w:ilvl w:val="0"/>
          <w:numId w:val="2"/>
        </w:numPr>
        <w:spacing w:after="100"/>
      </w:pPr>
      <w:r>
        <w:rPr>
          <w:rFonts w:ascii="Calibri" w:cs="Calibri" w:eastAsia="Calibri" w:hAnsi="Calibri"/>
          <w:sz w:val="22"/>
          <w:szCs w:val="22"/>
        </w:rPr>
        <w:t xml:space="preserve">A.8.9 Configuration management</w:t>
      </w:r>
    </w:p>
    <w:p>
      <w:pPr>
        <w:pStyle w:val="ListParagraph"/>
        <w:numPr>
          <w:ilvl w:val="0"/>
          <w:numId w:val="2"/>
        </w:numPr>
        <w:spacing w:after="100"/>
      </w:pPr>
      <w:r>
        <w:rPr>
          <w:rFonts w:ascii="Calibri" w:cs="Calibri" w:eastAsia="Calibri" w:hAnsi="Calibri"/>
          <w:sz w:val="22"/>
          <w:szCs w:val="22"/>
        </w:rPr>
        <w:t xml:space="preserve">A.8.10 Information deletion</w:t>
      </w:r>
    </w:p>
    <w:p>
      <w:pPr>
        <w:pStyle w:val="ListParagraph"/>
        <w:numPr>
          <w:ilvl w:val="0"/>
          <w:numId w:val="2"/>
        </w:numPr>
        <w:spacing w:after="100"/>
      </w:pPr>
      <w:r>
        <w:rPr>
          <w:rFonts w:ascii="Calibri" w:cs="Calibri" w:eastAsia="Calibri" w:hAnsi="Calibri"/>
          <w:sz w:val="22"/>
          <w:szCs w:val="22"/>
        </w:rPr>
        <w:t xml:space="preserve">A.8.11 Data masking</w:t>
      </w:r>
    </w:p>
    <w:p>
      <w:pPr>
        <w:pStyle w:val="ListParagraph"/>
        <w:numPr>
          <w:ilvl w:val="0"/>
          <w:numId w:val="2"/>
        </w:numPr>
        <w:spacing w:after="100"/>
      </w:pPr>
      <w:r>
        <w:rPr>
          <w:rFonts w:ascii="Calibri" w:cs="Calibri" w:eastAsia="Calibri" w:hAnsi="Calibri"/>
          <w:sz w:val="22"/>
          <w:szCs w:val="22"/>
        </w:rPr>
        <w:t xml:space="preserve">A.8.12 Data leakage prevention</w:t>
      </w:r>
    </w:p>
    <w:p>
      <w:pPr>
        <w:pStyle w:val="ListParagraph"/>
        <w:numPr>
          <w:ilvl w:val="0"/>
          <w:numId w:val="2"/>
        </w:numPr>
        <w:spacing w:after="100"/>
      </w:pPr>
      <w:r>
        <w:rPr>
          <w:rFonts w:ascii="Calibri" w:cs="Calibri" w:eastAsia="Calibri" w:hAnsi="Calibri"/>
          <w:sz w:val="22"/>
          <w:szCs w:val="22"/>
        </w:rPr>
        <w:t xml:space="preserve">A.8.13 Information backup</w:t>
      </w:r>
    </w:p>
    <w:p>
      <w:pPr>
        <w:pStyle w:val="ListParagraph"/>
        <w:numPr>
          <w:ilvl w:val="0"/>
          <w:numId w:val="2"/>
        </w:numPr>
        <w:spacing w:after="100"/>
      </w:pPr>
      <w:r>
        <w:rPr>
          <w:rFonts w:ascii="Calibri" w:cs="Calibri" w:eastAsia="Calibri" w:hAnsi="Calibri"/>
          <w:sz w:val="22"/>
          <w:szCs w:val="22"/>
        </w:rPr>
        <w:t xml:space="preserve">A.8.14 Redundancy of information processing facilities</w:t>
      </w:r>
    </w:p>
    <w:p>
      <w:pPr>
        <w:pStyle w:val="ListParagraph"/>
        <w:numPr>
          <w:ilvl w:val="0"/>
          <w:numId w:val="2"/>
        </w:numPr>
        <w:spacing w:after="100"/>
      </w:pPr>
      <w:r>
        <w:rPr>
          <w:rFonts w:ascii="Calibri" w:cs="Calibri" w:eastAsia="Calibri" w:hAnsi="Calibri"/>
          <w:sz w:val="22"/>
          <w:szCs w:val="22"/>
        </w:rPr>
        <w:t xml:space="preserve">A.8.15 Logging</w:t>
      </w:r>
    </w:p>
    <w:p>
      <w:pPr>
        <w:pStyle w:val="ListParagraph"/>
        <w:numPr>
          <w:ilvl w:val="0"/>
          <w:numId w:val="2"/>
        </w:numPr>
        <w:spacing w:after="100"/>
      </w:pPr>
      <w:r>
        <w:rPr>
          <w:rFonts w:ascii="Calibri" w:cs="Calibri" w:eastAsia="Calibri" w:hAnsi="Calibri"/>
          <w:sz w:val="22"/>
          <w:szCs w:val="22"/>
        </w:rPr>
        <w:t xml:space="preserve">A.8.16 Monitoring activities</w:t>
      </w:r>
    </w:p>
    <w:p>
      <w:pPr>
        <w:pStyle w:val="ListParagraph"/>
        <w:numPr>
          <w:ilvl w:val="0"/>
          <w:numId w:val="2"/>
        </w:numPr>
        <w:spacing w:after="100"/>
      </w:pPr>
      <w:r>
        <w:rPr>
          <w:rFonts w:ascii="Calibri" w:cs="Calibri" w:eastAsia="Calibri" w:hAnsi="Calibri"/>
          <w:sz w:val="22"/>
          <w:szCs w:val="22"/>
        </w:rPr>
        <w:t xml:space="preserve">A.8.17 Clock synchronisation</w:t>
      </w:r>
    </w:p>
    <w:p>
      <w:pPr>
        <w:pStyle w:val="ListParagraph"/>
        <w:numPr>
          <w:ilvl w:val="0"/>
          <w:numId w:val="2"/>
        </w:numPr>
        <w:spacing w:after="100"/>
      </w:pPr>
      <w:r>
        <w:rPr>
          <w:rFonts w:ascii="Calibri" w:cs="Calibri" w:eastAsia="Calibri" w:hAnsi="Calibri"/>
          <w:sz w:val="22"/>
          <w:szCs w:val="22"/>
        </w:rPr>
        <w:t xml:space="preserve">A.8.18 Use of privileged utility programs</w:t>
      </w:r>
    </w:p>
    <w:p>
      <w:pPr>
        <w:pStyle w:val="ListParagraph"/>
        <w:numPr>
          <w:ilvl w:val="0"/>
          <w:numId w:val="2"/>
        </w:numPr>
        <w:spacing w:after="100"/>
      </w:pPr>
      <w:r>
        <w:rPr>
          <w:rFonts w:ascii="Calibri" w:cs="Calibri" w:eastAsia="Calibri" w:hAnsi="Calibri"/>
          <w:sz w:val="22"/>
          <w:szCs w:val="22"/>
        </w:rPr>
        <w:t xml:space="preserve">A.8.19 Installation of software on operational systems</w:t>
      </w:r>
    </w:p>
    <w:p>
      <w:pPr>
        <w:pStyle w:val="ListParagraph"/>
        <w:numPr>
          <w:ilvl w:val="0"/>
          <w:numId w:val="2"/>
        </w:numPr>
        <w:spacing w:after="100"/>
      </w:pPr>
      <w:r>
        <w:rPr>
          <w:rFonts w:ascii="Calibri" w:cs="Calibri" w:eastAsia="Calibri" w:hAnsi="Calibri"/>
          <w:sz w:val="22"/>
          <w:szCs w:val="22"/>
        </w:rPr>
        <w:t xml:space="preserve">A.8.20 Networks security</w:t>
      </w:r>
    </w:p>
    <w:p>
      <w:pPr>
        <w:pStyle w:val="ListParagraph"/>
        <w:numPr>
          <w:ilvl w:val="0"/>
          <w:numId w:val="2"/>
        </w:numPr>
        <w:spacing w:after="100"/>
      </w:pPr>
      <w:r>
        <w:rPr>
          <w:rFonts w:ascii="Calibri" w:cs="Calibri" w:eastAsia="Calibri" w:hAnsi="Calibri"/>
          <w:sz w:val="22"/>
          <w:szCs w:val="22"/>
        </w:rPr>
        <w:t xml:space="preserve">A.8.21 Security of network services</w:t>
      </w:r>
    </w:p>
    <w:p>
      <w:pPr>
        <w:pStyle w:val="ListParagraph"/>
        <w:numPr>
          <w:ilvl w:val="0"/>
          <w:numId w:val="2"/>
        </w:numPr>
        <w:spacing w:after="100"/>
      </w:pPr>
      <w:r>
        <w:rPr>
          <w:rFonts w:ascii="Calibri" w:cs="Calibri" w:eastAsia="Calibri" w:hAnsi="Calibri"/>
          <w:sz w:val="22"/>
          <w:szCs w:val="22"/>
        </w:rPr>
        <w:t xml:space="preserve">A.8.22 Segregation of networks</w:t>
      </w:r>
    </w:p>
    <w:p>
      <w:pPr>
        <w:pStyle w:val="ListParagraph"/>
        <w:numPr>
          <w:ilvl w:val="0"/>
          <w:numId w:val="2"/>
        </w:numPr>
        <w:spacing w:after="100"/>
      </w:pPr>
      <w:r>
        <w:rPr>
          <w:rFonts w:ascii="Calibri" w:cs="Calibri" w:eastAsia="Calibri" w:hAnsi="Calibri"/>
          <w:sz w:val="22"/>
          <w:szCs w:val="22"/>
        </w:rPr>
        <w:t xml:space="preserve">A.8.23 Web filtering</w:t>
      </w:r>
    </w:p>
    <w:p>
      <w:pPr>
        <w:pStyle w:val="ListParagraph"/>
        <w:numPr>
          <w:ilvl w:val="0"/>
          <w:numId w:val="2"/>
        </w:numPr>
        <w:spacing w:after="100"/>
      </w:pPr>
      <w:r>
        <w:rPr>
          <w:rFonts w:ascii="Calibri" w:cs="Calibri" w:eastAsia="Calibri" w:hAnsi="Calibri"/>
          <w:sz w:val="22"/>
          <w:szCs w:val="22"/>
        </w:rPr>
        <w:t xml:space="preserve">A.8.24 Use of cryptography</w:t>
      </w:r>
    </w:p>
    <w:p>
      <w:pPr>
        <w:pStyle w:val="ListParagraph"/>
        <w:numPr>
          <w:ilvl w:val="0"/>
          <w:numId w:val="2"/>
        </w:numPr>
        <w:spacing w:after="100"/>
      </w:pPr>
      <w:r>
        <w:rPr>
          <w:rFonts w:ascii="Calibri" w:cs="Calibri" w:eastAsia="Calibri" w:hAnsi="Calibri"/>
          <w:sz w:val="22"/>
          <w:szCs w:val="22"/>
        </w:rPr>
        <w:t xml:space="preserve">A.8.25 Secure development life cycle</w:t>
      </w:r>
    </w:p>
    <w:p>
      <w:pPr>
        <w:pStyle w:val="ListParagraph"/>
        <w:numPr>
          <w:ilvl w:val="0"/>
          <w:numId w:val="2"/>
        </w:numPr>
        <w:spacing w:after="100"/>
      </w:pPr>
      <w:r>
        <w:rPr>
          <w:rFonts w:ascii="Calibri" w:cs="Calibri" w:eastAsia="Calibri" w:hAnsi="Calibri"/>
          <w:sz w:val="22"/>
          <w:szCs w:val="22"/>
        </w:rPr>
        <w:t xml:space="preserve">A.8.26 Application security requirements</w:t>
      </w:r>
    </w:p>
    <w:p>
      <w:pPr>
        <w:pStyle w:val="ListParagraph"/>
        <w:numPr>
          <w:ilvl w:val="0"/>
          <w:numId w:val="2"/>
        </w:numPr>
        <w:spacing w:after="100"/>
      </w:pPr>
      <w:r>
        <w:rPr>
          <w:rFonts w:ascii="Calibri" w:cs="Calibri" w:eastAsia="Calibri" w:hAnsi="Calibri"/>
          <w:sz w:val="22"/>
          <w:szCs w:val="22"/>
        </w:rPr>
        <w:t xml:space="preserve">A.8.27 Secure system architecture and engineering principles</w:t>
      </w:r>
    </w:p>
    <w:p>
      <w:pPr>
        <w:pStyle w:val="ListParagraph"/>
        <w:numPr>
          <w:ilvl w:val="0"/>
          <w:numId w:val="2"/>
        </w:numPr>
        <w:spacing w:after="100"/>
      </w:pPr>
      <w:r>
        <w:rPr>
          <w:rFonts w:ascii="Calibri" w:cs="Calibri" w:eastAsia="Calibri" w:hAnsi="Calibri"/>
          <w:sz w:val="22"/>
          <w:szCs w:val="22"/>
        </w:rPr>
        <w:t xml:space="preserve">A.8.28 Secure coding</w:t>
      </w:r>
    </w:p>
    <w:p>
      <w:pPr>
        <w:pStyle w:val="ListParagraph"/>
        <w:numPr>
          <w:ilvl w:val="0"/>
          <w:numId w:val="2"/>
        </w:numPr>
        <w:spacing w:after="100"/>
      </w:pPr>
      <w:r>
        <w:rPr>
          <w:rFonts w:ascii="Calibri" w:cs="Calibri" w:eastAsia="Calibri" w:hAnsi="Calibri"/>
          <w:sz w:val="22"/>
          <w:szCs w:val="22"/>
        </w:rPr>
        <w:t xml:space="preserve">A.8.29 Security testing in development and acceptance</w:t>
      </w:r>
    </w:p>
    <w:p>
      <w:pPr>
        <w:pStyle w:val="ListParagraph"/>
        <w:numPr>
          <w:ilvl w:val="0"/>
          <w:numId w:val="2"/>
        </w:numPr>
        <w:spacing w:after="100"/>
      </w:pPr>
      <w:r>
        <w:rPr>
          <w:rFonts w:ascii="Calibri" w:cs="Calibri" w:eastAsia="Calibri" w:hAnsi="Calibri"/>
          <w:sz w:val="22"/>
          <w:szCs w:val="22"/>
        </w:rPr>
        <w:t xml:space="preserve">A.8.30 Outsourced development</w:t>
      </w:r>
    </w:p>
    <w:p>
      <w:pPr>
        <w:pStyle w:val="ListParagraph"/>
        <w:numPr>
          <w:ilvl w:val="0"/>
          <w:numId w:val="2"/>
        </w:numPr>
        <w:spacing w:after="100"/>
      </w:pPr>
      <w:r>
        <w:rPr>
          <w:rFonts w:ascii="Calibri" w:cs="Calibri" w:eastAsia="Calibri" w:hAnsi="Calibri"/>
          <w:sz w:val="22"/>
          <w:szCs w:val="22"/>
        </w:rPr>
        <w:t xml:space="preserve">A.8.31 Separation of development, test and production environments</w:t>
      </w:r>
    </w:p>
    <w:p>
      <w:pPr>
        <w:pStyle w:val="ListParagraph"/>
        <w:numPr>
          <w:ilvl w:val="0"/>
          <w:numId w:val="2"/>
        </w:numPr>
        <w:spacing w:after="100"/>
      </w:pPr>
      <w:r>
        <w:rPr>
          <w:rFonts w:ascii="Calibri" w:cs="Calibri" w:eastAsia="Calibri" w:hAnsi="Calibri"/>
          <w:sz w:val="22"/>
          <w:szCs w:val="22"/>
        </w:rPr>
        <w:t xml:space="preserve">A.8.32 Change management</w:t>
      </w:r>
    </w:p>
    <w:p>
      <w:pPr>
        <w:pStyle w:val="ListParagraph"/>
        <w:numPr>
          <w:ilvl w:val="0"/>
          <w:numId w:val="2"/>
        </w:numPr>
        <w:spacing w:after="100"/>
      </w:pPr>
      <w:r>
        <w:rPr>
          <w:rFonts w:ascii="Calibri" w:cs="Calibri" w:eastAsia="Calibri" w:hAnsi="Calibri"/>
          <w:sz w:val="22"/>
          <w:szCs w:val="22"/>
        </w:rPr>
        <w:t xml:space="preserve">A.8.33 Test information</w:t>
      </w:r>
    </w:p>
    <w:p>
      <w:pPr>
        <w:pStyle w:val="ListParagraph"/>
        <w:numPr>
          <w:ilvl w:val="0"/>
          <w:numId w:val="2"/>
        </w:numPr>
        <w:spacing w:after="100"/>
      </w:pPr>
      <w:r>
        <w:rPr>
          <w:rFonts w:ascii="Calibri" w:cs="Calibri" w:eastAsia="Calibri" w:hAnsi="Calibri"/>
          <w:sz w:val="22"/>
          <w:szCs w:val="22"/>
        </w:rPr>
        <w:t xml:space="preserve">A.8.34 Protection of information systems during audit testing</w:t>
      </w:r>
    </w:p>
    <w:p>
      <w:pPr>
        <w:pStyle w:val="Heading2"/>
        <w:spacing w:after="150" w:before="300"/>
      </w:pPr>
      <w:r>
        <w:t xml:space="preserve">2.5 The Statement of Applicability (SoA)</w:t>
      </w:r>
    </w:p>
    <w:p>
      <w:pPr>
        <w:spacing w:after="160" w:line="276"/>
      </w:pPr>
      <w:r>
        <w:rPr>
          <w:rFonts w:ascii="Calibri" w:cs="Calibri" w:eastAsia="Calibri" w:hAnsi="Calibri"/>
          <w:sz w:val="22"/>
          <w:szCs w:val="22"/>
        </w:rPr>
        <w:t xml:space="preserve">The SoA is the single most important document you will review before Stage 1. For every one of the 93 Annex A controls it records:</w:t>
      </w:r>
    </w:p>
    <w:p>
      <w:pPr>
        <w:pStyle w:val="ListParagraph"/>
        <w:numPr>
          <w:ilvl w:val="0"/>
          <w:numId w:val="3"/>
        </w:numPr>
        <w:spacing w:after="100"/>
      </w:pPr>
      <w:r>
        <w:rPr>
          <w:rFonts w:ascii="Calibri" w:cs="Calibri" w:eastAsia="Calibri" w:hAnsi="Calibri"/>
          <w:sz w:val="22"/>
          <w:szCs w:val="22"/>
        </w:rPr>
        <w:t xml:space="preserve">Whether the control is applicable to the organization's information assets and context.</w:t>
      </w:r>
    </w:p>
    <w:p>
      <w:pPr>
        <w:pStyle w:val="ListParagraph"/>
        <w:numPr>
          <w:ilvl w:val="0"/>
          <w:numId w:val="3"/>
        </w:numPr>
        <w:spacing w:after="100"/>
      </w:pPr>
      <w:r>
        <w:rPr>
          <w:rFonts w:ascii="Calibri" w:cs="Calibri" w:eastAsia="Calibri" w:hAnsi="Calibri"/>
          <w:sz w:val="22"/>
          <w:szCs w:val="22"/>
        </w:rPr>
        <w:t xml:space="preserve">The justification for including or excluding it (e.g. “excluded – organization does not develop software in-house”).</w:t>
      </w:r>
    </w:p>
    <w:p>
      <w:pPr>
        <w:pStyle w:val="ListParagraph"/>
        <w:numPr>
          <w:ilvl w:val="0"/>
          <w:numId w:val="3"/>
        </w:numPr>
        <w:spacing w:after="100"/>
      </w:pPr>
      <w:r>
        <w:rPr>
          <w:rFonts w:ascii="Calibri" w:cs="Calibri" w:eastAsia="Calibri" w:hAnsi="Calibri"/>
          <w:sz w:val="22"/>
          <w:szCs w:val="22"/>
        </w:rPr>
        <w:t xml:space="preserve">How the control is implemented (policy, procedure, tool) if included.</w:t>
      </w:r>
    </w:p>
    <w:p>
      <w:pPr>
        <w:spacing w:after="160" w:line="276"/>
      </w:pPr>
      <w:r>
        <w:rPr>
          <w:rFonts w:ascii="Calibri" w:cs="Calibri" w:eastAsia="Calibri" w:hAnsi="Calibri"/>
          <w:sz w:val="22"/>
          <w:szCs w:val="22"/>
        </w:rPr>
        <w:t xml:space="preserve">As an auditor, treat the SoA as a map: it tells you which of the 93 controls you actually need to test, and the organization's own stated justification is itself something you must sample and challenge — don't just accept exclusions at face value.</w:t>
      </w:r>
    </w:p>
    <w:p>
      <w:r>
        <w:br w:type="page"/>
      </w:r>
    </w:p>
    <w:p>
      <w:pPr>
        <w:pStyle w:val="Heading1"/>
        <w:spacing w:after="200" w:before="400"/>
      </w:pPr>
      <w:r>
        <w:t xml:space="preserve">Part Three – The Certification Audit Journey End to End</w:t>
      </w:r>
    </w:p>
    <w:p>
      <w:pPr>
        <w:pStyle w:val="Heading2"/>
        <w:spacing w:after="150" w:before="300"/>
      </w:pPr>
      <w:r>
        <w:t xml:space="preserve">3.1 The Full Timeline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600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Stage</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Typical duration</w:t>
            </w:r>
          </w:p>
        </w:tc>
        <w:tc>
          <w:tcPr>
            <w:tcW w:type="dxa" w:w="6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Application &amp; scoping</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Varies</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body and client agree scope, sites, and audit team; contract signed.</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Stage 1 – Readiness review</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1–2 days, often remote</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Confirm the ISMS is designed to meet the standard: scope, policy, risk methodology, SoA, and readiness for Stage 2.</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Gap remediation window</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4–12 weeks (max ~6 months)</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 fixes any Areas of Concern raised at Stage 1.</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Stage 2 – Certification audit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3–9+ days, on-site/hybrid</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 whether the ISMS actually operates as designed, clause by clause and control by control.</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decision</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Post-audit</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independent technical reviewer at the certification body reviews the audit file before a certificate is issued.</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Surveillance audits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Annually, 2–5+ days</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Shorter sampled audits confirming the ISMS remains effective, across the 3-year certificate cycle.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Recertification audit</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Before year 3 expiry</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full reassessment, similar in depth to the original Stage 2.</w:t>
            </w:r>
          </w:p>
        </w:tc>
      </w:tr>
    </w:tbl>
    <w:p>
      <w:pPr>
        <w:pStyle w:val="Heading2"/>
        <w:spacing w:after="150" w:before="300"/>
      </w:pPr>
      <w:r>
        <w:t xml:space="preserve">3.2 Who's in the Room</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7400"/>
      </w:tblGrid>
      <w:tr>
        <w:trPr>
          <w:cantSplit/>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7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 auditor</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Owns the audit plan, leads the team, chairs opening/closing meetings, signs the report.</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Technical expert / IT security specialist</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Supports the audit team on specialist topics (e.g. cryptography, cloud architecture) without acting as a full auditor.</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Management representative (auditee)</w:t>
            </w:r>
          </w:p>
        </w:tc>
        <w:tc>
          <w:tcPr>
            <w:tcW w:type="dxa" w:w="7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organization's main point of contact; usually owns the ISMS day to day (e.g. CISO or Information Security Manager).</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 / process owners (auditee)</w:t>
            </w:r>
          </w:p>
        </w:tc>
        <w:tc>
          <w:tcPr>
            <w:tcW w:type="dxa" w:w="7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Interviewed and provide evidence for their specific area (e.g. IT operations lead, HR lead, facilities lead).</w:t>
            </w:r>
          </w:p>
        </w:tc>
      </w:tr>
    </w:tbl>
    <w:p>
      <w:pPr>
        <w:pStyle w:val="Heading2"/>
        <w:spacing w:after="150" w:before="300"/>
      </w:pPr>
      <w:r>
        <w:t xml:space="preserve">3.3 Stage 1 Audit – What Actually Happens</w:t>
      </w:r>
    </w:p>
    <w:p>
      <w:pPr>
        <w:spacing w:after="160" w:line="276"/>
      </w:pPr>
      <w:r>
        <w:rPr>
          <w:rFonts w:ascii="Calibri" w:cs="Calibri" w:eastAsia="Calibri" w:hAnsi="Calibri"/>
          <w:sz w:val="22"/>
          <w:szCs w:val="22"/>
        </w:rPr>
        <w:t xml:space="preserve">Stage 1 is a documentation and readiness review, not a full test of operating effectiveness. The auditor is checking that the blueprint is sound before spending days testing whether it's followed.</w:t>
      </w:r>
    </w:p>
    <w:p>
      <w:pPr>
        <w:pStyle w:val="ListParagraph"/>
        <w:numPr>
          <w:ilvl w:val="0"/>
          <w:numId w:val="2"/>
        </w:numPr>
        <w:spacing w:after="100"/>
      </w:pPr>
      <w:r>
        <w:rPr>
          <w:rFonts w:ascii="Calibri" w:cs="Calibri" w:eastAsia="Calibri" w:hAnsi="Calibri"/>
          <w:sz w:val="22"/>
          <w:szCs w:val="22"/>
        </w:rPr>
        <w:t xml:space="preserve">Confirm the ISMS scope statement is clear, justified, and matches the organization's real information assets and activities.</w:t>
      </w:r>
    </w:p>
    <w:p>
      <w:pPr>
        <w:pStyle w:val="ListParagraph"/>
        <w:numPr>
          <w:ilvl w:val="0"/>
          <w:numId w:val="2"/>
        </w:numPr>
        <w:spacing w:after="100"/>
      </w:pPr>
      <w:r>
        <w:rPr>
          <w:rFonts w:ascii="Calibri" w:cs="Calibri" w:eastAsia="Calibri" w:hAnsi="Calibri"/>
          <w:sz w:val="22"/>
          <w:szCs w:val="22"/>
        </w:rPr>
        <w:t xml:space="preserve">Review the Information Security Policy, risk assessment methodology, and Statement of Applicability.</w:t>
      </w:r>
    </w:p>
    <w:p>
      <w:pPr>
        <w:pStyle w:val="ListParagraph"/>
        <w:numPr>
          <w:ilvl w:val="0"/>
          <w:numId w:val="2"/>
        </w:numPr>
        <w:spacing w:after="100"/>
      </w:pPr>
      <w:r>
        <w:rPr>
          <w:rFonts w:ascii="Calibri" w:cs="Calibri" w:eastAsia="Calibri" w:hAnsi="Calibri"/>
          <w:sz w:val="22"/>
          <w:szCs w:val="22"/>
        </w:rPr>
        <w:t xml:space="preserve">Check that Clause 9.2 (internal audit) and 9.3 (management review) have at least been planned, even if not yet executed.</w:t>
      </w:r>
    </w:p>
    <w:p>
      <w:pPr>
        <w:pStyle w:val="ListParagraph"/>
        <w:numPr>
          <w:ilvl w:val="0"/>
          <w:numId w:val="2"/>
        </w:numPr>
        <w:spacing w:after="100"/>
      </w:pPr>
      <w:r>
        <w:rPr>
          <w:rFonts w:ascii="Calibri" w:cs="Calibri" w:eastAsia="Calibri" w:hAnsi="Calibri"/>
          <w:sz w:val="22"/>
          <w:szCs w:val="22"/>
        </w:rPr>
        <w:t xml:space="preserve">Confirm the organization understands and can support a Stage 2 audit (site access, staff availability, sampling plan).</w:t>
      </w:r>
    </w:p>
    <w:p>
      <w:pPr>
        <w:spacing w:after="160" w:line="276"/>
      </w:pPr>
      <w:r>
        <w:rPr>
          <w:rFonts w:ascii="Calibri" w:cs="Calibri" w:eastAsia="Calibri" w:hAnsi="Calibri"/>
          <w:sz w:val="22"/>
          <w:szCs w:val="22"/>
        </w:rPr>
        <w:t xml:space="preserve">Output: a list of “Areas of Concern” (not formal nonconformities) that should be resolved before Stage 2, plus a finalized Stage 2 plan.</w:t>
      </w:r>
    </w:p>
    <w:p>
      <w:pPr>
        <w:pStyle w:val="Heading2"/>
        <w:spacing w:after="150" w:before="300"/>
      </w:pPr>
      <w:r>
        <w:t xml:space="preserve">3.4 Stage 2 Audit – What Actually Happens</w:t>
      </w:r>
    </w:p>
    <w:p>
      <w:pPr>
        <w:spacing w:after="160" w:line="276"/>
      </w:pPr>
      <w:r>
        <w:rPr>
          <w:rFonts w:ascii="Calibri" w:cs="Calibri" w:eastAsia="Calibri" w:hAnsi="Calibri"/>
          <w:sz w:val="22"/>
          <w:szCs w:val="22"/>
        </w:rPr>
        <w:t xml:space="preserve">Stage 2 tests operating effectiveness: does the ISMS work in practice, not just on paper?</w:t>
      </w:r>
    </w:p>
    <w:p>
      <w:pPr>
        <w:pStyle w:val="ListParagraph"/>
        <w:numPr>
          <w:ilvl w:val="0"/>
          <w:numId w:val="2"/>
        </w:numPr>
        <w:spacing w:after="100"/>
      </w:pPr>
      <w:r>
        <w:rPr>
          <w:rFonts w:ascii="Calibri" w:cs="Calibri" w:eastAsia="Calibri" w:hAnsi="Calibri"/>
          <w:sz w:val="22"/>
          <w:szCs w:val="22"/>
        </w:rPr>
        <w:t xml:space="preserve">Trace one or more real information assets or business processes through their full lifecycle — from risk assessment, through control implementation, to monitoring and incident logs.</w:t>
      </w:r>
    </w:p>
    <w:p>
      <w:pPr>
        <w:pStyle w:val="ListParagraph"/>
        <w:numPr>
          <w:ilvl w:val="0"/>
          <w:numId w:val="2"/>
        </w:numPr>
        <w:spacing w:after="100"/>
      </w:pPr>
      <w:r>
        <w:rPr>
          <w:rFonts w:ascii="Calibri" w:cs="Calibri" w:eastAsia="Calibri" w:hAnsi="Calibri"/>
          <w:sz w:val="22"/>
          <w:szCs w:val="22"/>
        </w:rPr>
        <w:t xml:space="preserve">Interview control owners and sample records against every applicable clause and Annex A control.</w:t>
      </w:r>
    </w:p>
    <w:p>
      <w:pPr>
        <w:pStyle w:val="ListParagraph"/>
        <w:numPr>
          <w:ilvl w:val="0"/>
          <w:numId w:val="2"/>
        </w:numPr>
        <w:spacing w:after="100"/>
      </w:pPr>
      <w:r>
        <w:rPr>
          <w:rFonts w:ascii="Calibri" w:cs="Calibri" w:eastAsia="Calibri" w:hAnsi="Calibri"/>
          <w:sz w:val="22"/>
          <w:szCs w:val="22"/>
        </w:rPr>
        <w:t xml:space="preserve">Test evidence: access review logs, vulnerability scan results, backup test records, training records, change logs, management review minutes, corrective actions from any prior internal audits.</w:t>
      </w:r>
    </w:p>
    <w:p>
      <w:pPr>
        <w:pStyle w:val="ListParagraph"/>
        <w:numPr>
          <w:ilvl w:val="0"/>
          <w:numId w:val="2"/>
        </w:numPr>
        <w:spacing w:after="100"/>
      </w:pPr>
      <w:r>
        <w:rPr>
          <w:rFonts w:ascii="Calibri" w:cs="Calibri" w:eastAsia="Calibri" w:hAnsi="Calibri"/>
          <w:sz w:val="22"/>
          <w:szCs w:val="22"/>
        </w:rPr>
        <w:t xml:space="preserve">Formally grade any nonconformities found (major / minor) and note observations.</w:t>
      </w:r>
    </w:p>
    <w:p>
      <w:pPr>
        <w:spacing w:after="160" w:line="276"/>
      </w:pPr>
      <w:r>
        <w:rPr>
          <w:rFonts w:ascii="Calibri" w:cs="Calibri" w:eastAsia="Calibri" w:hAnsi="Calibri"/>
          <w:sz w:val="22"/>
          <w:szCs w:val="22"/>
        </w:rPr>
        <w:t xml:space="preserve">Output: a formal audit report with a certification recommendation, which goes to an independent reviewer at the certification body for a final decision.</w:t>
      </w:r>
    </w:p>
    <w:p>
      <w:pPr>
        <w:pStyle w:val="Heading2"/>
        <w:spacing w:after="150" w:before="300"/>
      </w:pPr>
      <w:r>
        <w:t xml:space="preserve">3.5 Surveillance and Recertification</w:t>
      </w:r>
    </w:p>
    <w:p>
      <w:pPr>
        <w:spacing w:after="160" w:line="276"/>
      </w:pPr>
      <w:r>
        <w:rPr>
          <w:rFonts w:ascii="Calibri" w:cs="Calibri" w:eastAsia="Calibri" w:hAnsi="Calibri"/>
          <w:sz w:val="22"/>
          <w:szCs w:val="22"/>
        </w:rPr>
        <w:t xml:space="preserve">Once certified, the organization is audited at least annually (surveillance) using a rotating sample of clauses and controls — not everything every time. Before the 3-year certificate expires, a recertification audit repeats the depth of a Stage 2 audit. Template 11 in the workbook helps you plan this multi-year sampling schedule so nothing goes unchecked for the whole cycle.</w:t>
      </w:r>
    </w:p>
    <w:p>
      <w:pPr>
        <w:pStyle w:val="Heading2"/>
        <w:spacing w:after="150" w:before="300"/>
      </w:pPr>
      <w:r>
        <w:t xml:space="preserve">3.6 Running This as an Internal Audit Instead</w:t>
      </w:r>
    </w:p>
    <w:p>
      <w:pPr>
        <w:spacing w:after="160" w:line="276"/>
      </w:pPr>
      <w:r>
        <w:rPr>
          <w:rFonts w:ascii="Calibri" w:cs="Calibri" w:eastAsia="Calibri" w:hAnsi="Calibri"/>
          <w:sz w:val="22"/>
          <w:szCs w:val="22"/>
        </w:rPr>
        <w:t xml:space="preserve">ISO/IEC 27001 Clause 9.2 requires every certified (or certification-seeking) organization to run internal audits of its own ISMS at planned intervals — this is not optional the way choosing to pursue certification is. The good news: an internal audit uses exactly the same process and the same 11 templates described in this handbook. What changes is who is in the room and what happens with the result.</w:t>
      </w:r>
    </w:p>
    <w:p>
      <w:pPr>
        <w:pStyle w:val="ListParagraph"/>
        <w:numPr>
          <w:ilvl w:val="0"/>
          <w:numId w:val="2"/>
        </w:numPr>
        <w:spacing w:after="100"/>
      </w:pPr>
      <w:r>
        <w:rPr>
          <w:rFonts w:ascii="Calibri" w:cs="Calibri" w:eastAsia="Calibri" w:hAnsi="Calibri"/>
          <w:sz w:val="22"/>
          <w:szCs w:val="22"/>
        </w:rPr>
        <w:t xml:space="preserve">Independence, achieved differently: Clause 9.2.2 requires internal auditors to be objective and impartial. In practice this usually means auditors must not audit their own work — the person who designed or operates the access control process should not be the one auditing it — but they can be a fellow employee, provided a suitable degree of independence exists. Small organizations often use a peer from a different department, a rotating internal audit function, or an outside contractor.</w:t>
      </w:r>
    </w:p>
    <w:p>
      <w:pPr>
        <w:pStyle w:val="ListParagraph"/>
        <w:numPr>
          <w:ilvl w:val="0"/>
          <w:numId w:val="2"/>
        </w:numPr>
        <w:spacing w:after="100"/>
      </w:pPr>
      <w:r>
        <w:rPr>
          <w:rFonts w:ascii="Calibri" w:cs="Calibri" w:eastAsia="Calibri" w:hAnsi="Calibri"/>
          <w:sz w:val="22"/>
          <w:szCs w:val="22"/>
        </w:rPr>
        <w:t xml:space="preserve">No Stage 1 / Stage 2 split: an internal audit is typically a single, self-contained event (or split thematically across the year using Template 11's sampling logic). There is no separate 'readiness review' step, because there is no certification decision at stake.</w:t>
      </w:r>
    </w:p>
    <w:p>
      <w:pPr>
        <w:pStyle w:val="ListParagraph"/>
        <w:numPr>
          <w:ilvl w:val="0"/>
          <w:numId w:val="2"/>
        </w:numPr>
        <w:spacing w:after="100"/>
      </w:pPr>
      <w:r>
        <w:rPr>
          <w:rFonts w:ascii="Calibri" w:cs="Calibri" w:eastAsia="Calibri" w:hAnsi="Calibri"/>
          <w:sz w:val="22"/>
          <w:szCs w:val="22"/>
        </w:rPr>
        <w:t xml:space="preserve">No certification recommendation: the internal audit report (Template 8) feeds into management review (Clause 9.3) rather than a certification body's technical reviewer — the audience for the report is top management, not an accreditation-linked process.</w:t>
      </w:r>
    </w:p>
    <w:p>
      <w:pPr>
        <w:pStyle w:val="ListParagraph"/>
        <w:numPr>
          <w:ilvl w:val="0"/>
          <w:numId w:val="2"/>
        </w:numPr>
        <w:spacing w:after="100"/>
      </w:pPr>
      <w:r>
        <w:rPr>
          <w:rFonts w:ascii="Calibri" w:cs="Calibri" w:eastAsia="Calibri" w:hAnsi="Calibri"/>
          <w:sz w:val="22"/>
          <w:szCs w:val="22"/>
        </w:rPr>
        <w:t xml:space="preserve">Same rigor on findings: nonconformities are still identified, graded and tracked to closure using Templates 6 and 9, exactly as in a third-party audit. Treating internal findings informally defeats the purpose — and will itself be flagged as a gap when a certification body later tests your Clause 9.2 evidence.</w:t>
      </w:r>
    </w:p>
    <w:p>
      <w:pPr>
        <w:pStyle w:val="ListParagraph"/>
        <w:numPr>
          <w:ilvl w:val="0"/>
          <w:numId w:val="2"/>
        </w:numPr>
        <w:spacing w:after="100"/>
      </w:pPr>
      <w:r>
        <w:rPr>
          <w:rFonts w:ascii="Calibri" w:cs="Calibri" w:eastAsia="Calibri" w:hAnsi="Calibri"/>
          <w:sz w:val="22"/>
          <w:szCs w:val="22"/>
        </w:rPr>
        <w:t xml:space="preserve">Expect to be checked: certification bodies routinely test the internal audit program itself during Stage 2 and surveillance visits — auditor competence records, independence, and whether findings were followed through. A weak internal audit undermines your own certification, so run it with the same discipline this handbook describes for third-party work.</w:t>
      </w:r>
    </w:p>
    <w:p>
      <w:r>
        <w:br w:type="page"/>
      </w:r>
    </w:p>
    <w:p>
      <w:pPr>
        <w:pStyle w:val="Heading1"/>
        <w:spacing w:after="200" w:before="400"/>
      </w:pPr>
      <w:r>
        <w:t xml:space="preserve">Part Four – Step-by-Step Walkthroughs</w:t>
      </w:r>
    </w:p>
    <w:p>
      <w:pPr>
        <w:spacing w:after="160" w:line="276"/>
      </w:pPr>
      <w:r>
        <w:rPr>
          <w:rFonts w:ascii="Calibri" w:cs="Calibri" w:eastAsia="Calibri" w:hAnsi="Calibri"/>
          <w:sz w:val="22"/>
          <w:szCs w:val="22"/>
        </w:rPr>
        <w:t xml:space="preserve">Each walkthrough below maps to one tab in the companion workbook, “ISO 27001 Audit Toolkit.xlsx.” Work through them in order the first time; on future audits, jump straight to the tab you need.</w:t>
      </w:r>
    </w:p>
    <w:p>
      <w:pPr>
        <w:pStyle w:val="Heading2"/>
        <w:spacing w:after="150" w:before="300"/>
      </w:pPr>
      <w:r>
        <w:t xml:space="preserve">Walkthrough A: Building the Audit Program &amp; Plan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1 - Audit Program"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vague request (“audit our ISMS”) into a concrete, resourced, scheduled engagement.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very start of every audit — internal or third-party, initial or surveillance.</w:t>
      </w:r>
    </w:p>
    <w:p>
      <w:pPr>
        <w:pStyle w:val="Heading3"/>
        <w:spacing w:after="120" w:before="240"/>
      </w:pPr>
      <w:r>
        <w:t xml:space="preserve">Steps</w:t>
      </w:r>
    </w:p>
    <w:p>
      <w:pPr>
        <w:pStyle w:val="ListParagraph"/>
        <w:numPr>
          <w:ilvl w:val="0"/>
          <w:numId w:val="4"/>
        </w:numPr>
        <w:spacing w:after="100"/>
      </w:pPr>
      <w:r>
        <w:rPr>
          <w:rFonts w:ascii="Calibri" w:cs="Calibri" w:eastAsia="Calibri" w:hAnsi="Calibri"/>
          <w:sz w:val="22"/>
          <w:szCs w:val="22"/>
        </w:rPr>
        <w:t xml:space="preserve">Confirm the audit type (Stage 1, Stage 2, surveillance, recertification, or internal) and the trigger (scheduled cycle, contract requirement, incident).</w:t>
      </w:r>
    </w:p>
    <w:p>
      <w:pPr>
        <w:pStyle w:val="ListParagraph"/>
        <w:numPr>
          <w:ilvl w:val="0"/>
          <w:numId w:val="4"/>
        </w:numPr>
        <w:spacing w:after="100"/>
      </w:pPr>
      <w:r>
        <w:rPr>
          <w:rFonts w:ascii="Calibri" w:cs="Calibri" w:eastAsia="Calibri" w:hAnsi="Calibri"/>
          <w:sz w:val="22"/>
          <w:szCs w:val="22"/>
        </w:rPr>
        <w:t xml:space="preserve">Define the audit objectives — typically: determine conformity to ISO/IEC 27001, evaluate the ISMS's ability to meet applicable requirements, and identify improvement opportunities.</w:t>
      </w:r>
    </w:p>
    <w:p>
      <w:pPr>
        <w:pStyle w:val="ListParagraph"/>
        <w:numPr>
          <w:ilvl w:val="0"/>
          <w:numId w:val="4"/>
        </w:numPr>
        <w:spacing w:after="100"/>
      </w:pPr>
      <w:r>
        <w:rPr>
          <w:rFonts w:ascii="Calibri" w:cs="Calibri" w:eastAsia="Calibri" w:hAnsi="Calibri"/>
          <w:sz w:val="22"/>
          <w:szCs w:val="22"/>
        </w:rPr>
        <w:t xml:space="preserve">Define the scope: which sites, business units, information assets and organizational boundaries are included — pull this from the client's own ISMS scope statement, don't invent your own.</w:t>
      </w:r>
    </w:p>
    <w:p>
      <w:pPr>
        <w:pStyle w:val="ListParagraph"/>
        <w:numPr>
          <w:ilvl w:val="0"/>
          <w:numId w:val="4"/>
        </w:numPr>
        <w:spacing w:after="100"/>
      </w:pPr>
      <w:r>
        <w:rPr>
          <w:rFonts w:ascii="Calibri" w:cs="Calibri" w:eastAsia="Calibri" w:hAnsi="Calibri"/>
          <w:sz w:val="22"/>
          <w:szCs w:val="22"/>
        </w:rPr>
        <w:t xml:space="preserve">Define the audit criteria: ISO/IEC 27001:2022 clauses 4–10, the organization's Statement of Applicability, and its own documented ISMS procedures.</w:t>
      </w:r>
    </w:p>
    <w:p>
      <w:pPr>
        <w:pStyle w:val="ListParagraph"/>
        <w:numPr>
          <w:ilvl w:val="0"/>
          <w:numId w:val="4"/>
        </w:numPr>
        <w:spacing w:after="100"/>
      </w:pPr>
      <w:r>
        <w:rPr>
          <w:rFonts w:ascii="Calibri" w:cs="Calibri" w:eastAsia="Calibri" w:hAnsi="Calibri"/>
          <w:sz w:val="22"/>
          <w:szCs w:val="22"/>
        </w:rPr>
        <w:t xml:space="preserve">Assign a competent, independent audit team; note any technical experts needed (e.g. someone who understands cloud architecture or the client's specific technology stack).</w:t>
      </w:r>
    </w:p>
    <w:p>
      <w:pPr>
        <w:pStyle w:val="ListParagraph"/>
        <w:numPr>
          <w:ilvl w:val="0"/>
          <w:numId w:val="4"/>
        </w:numPr>
        <w:spacing w:after="100"/>
      </w:pPr>
      <w:r>
        <w:rPr>
          <w:rFonts w:ascii="Calibri" w:cs="Calibri" w:eastAsia="Calibri" w:hAnsi="Calibri"/>
          <w:sz w:val="22"/>
          <w:szCs w:val="22"/>
        </w:rPr>
        <w:t xml:space="preserve">Set dates for Stage 1, the remediation window, and Stage 2 (or the single visit, for an internal audit).</w:t>
      </w:r>
    </w:p>
    <w:p>
      <w:pPr>
        <w:pStyle w:val="ListParagraph"/>
        <w:numPr>
          <w:ilvl w:val="0"/>
          <w:numId w:val="4"/>
        </w:numPr>
        <w:spacing w:after="100"/>
      </w:pPr>
      <w:r>
        <w:rPr>
          <w:rFonts w:ascii="Calibri" w:cs="Calibri" w:eastAsia="Calibri" w:hAnsi="Calibri"/>
          <w:sz w:val="22"/>
          <w:szCs w:val="22"/>
        </w:rPr>
        <w:t xml:space="preserve">Fill in Template 1's schedule grid, listing each clause/control area against a planned date and assigned auditor.</w:t>
      </w:r>
    </w:p>
    <w:p>
      <w:pPr>
        <w:pStyle w:val="ListParagraph"/>
        <w:numPr>
          <w:ilvl w:val="0"/>
          <w:numId w:val="4"/>
        </w:numPr>
        <w:spacing w:after="100"/>
      </w:pPr>
      <w:r>
        <w:rPr>
          <w:rFonts w:ascii="Calibri" w:cs="Calibri" w:eastAsia="Calibri" w:hAnsi="Calibri"/>
          <w:sz w:val="22"/>
          <w:szCs w:val="22"/>
        </w:rPr>
        <w:t xml:space="preserve">Send the plan to the auditee's management representative for confirmation of logistics (site access, interviewee availability, remote/on-site mix).</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120-person SaaS company providing a payments-processing platform requests Stage 1 + Stage 2 certification. Scope: “Development, hosting and operation of the [Product Name] payments platform and the ISMS supporting it, at the Chicago, IL data center and remote workforce.” Objectives: standard three above. Criteria: ISO/IEC 27001:2022 + client SoA v2.1 + client Risk Management Procedure v4.</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let scope creep in without a documented scope change — if the auditee's actual footprint (e.g. a second product processing card data) doesn't match the stated scope, that's a Stage 1 finding, not something to just note verbally.</w:t>
      </w:r>
    </w:p>
    <w:p>
      <w:pPr>
        <w:pStyle w:val="ListParagraph"/>
        <w:numPr>
          <w:ilvl w:val="0"/>
          <w:numId w:val="2"/>
        </w:numPr>
        <w:spacing w:after="100"/>
      </w:pPr>
      <w:r>
        <w:rPr>
          <w:rFonts w:ascii="Calibri" w:cs="Calibri" w:eastAsia="Calibri" w:hAnsi="Calibri"/>
          <w:sz w:val="22"/>
          <w:szCs w:val="22"/>
        </w:rPr>
        <w:t xml:space="preserve">Under-resourcing the plan (e.g. one auditor, two days, for a company running a dozen critical information systems) is the single most common root cause of a weak audit — size the plan to the number of information assets and controls in scope.</w:t>
      </w:r>
    </w:p>
    <w:p>
      <w:pPr>
        <w:spacing w:after="200"/>
      </w:pPr>
    </w:p>
    <w:p>
      <w:pPr>
        <w:pStyle w:val="Heading2"/>
        <w:spacing w:after="150" w:before="300"/>
      </w:pPr>
      <w:r>
        <w:t xml:space="preserve">Walkthrough B: Running the Opening Meeting</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Meeting Minutes"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Set expectations, confirm logistics, and remove ambiguity before evidence-gathering starts.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The first activity of every on-site or remote audit day one.</w:t>
      </w:r>
    </w:p>
    <w:p>
      <w:pPr>
        <w:pStyle w:val="Heading3"/>
        <w:spacing w:after="120" w:before="240"/>
      </w:pPr>
      <w:r>
        <w:t xml:space="preserve">Steps</w:t>
      </w:r>
    </w:p>
    <w:p>
      <w:pPr>
        <w:pStyle w:val="ListParagraph"/>
        <w:numPr>
          <w:ilvl w:val="0"/>
          <w:numId w:val="5"/>
        </w:numPr>
        <w:spacing w:after="100"/>
      </w:pPr>
      <w:r>
        <w:rPr>
          <w:rFonts w:ascii="Calibri" w:cs="Calibri" w:eastAsia="Calibri" w:hAnsi="Calibri"/>
          <w:sz w:val="22"/>
          <w:szCs w:val="22"/>
        </w:rPr>
        <w:t xml:space="preserve">Introduce the audit team and confirm attendee list against Template 7's sign-in section.</w:t>
      </w:r>
    </w:p>
    <w:p>
      <w:pPr>
        <w:pStyle w:val="ListParagraph"/>
        <w:numPr>
          <w:ilvl w:val="0"/>
          <w:numId w:val="5"/>
        </w:numPr>
        <w:spacing w:after="100"/>
      </w:pPr>
      <w:r>
        <w:rPr>
          <w:rFonts w:ascii="Calibri" w:cs="Calibri" w:eastAsia="Calibri" w:hAnsi="Calibri"/>
          <w:sz w:val="22"/>
          <w:szCs w:val="22"/>
        </w:rPr>
        <w:t xml:space="preserve">Reconfirm objectives, scope and criteria from Template 1 — ask the auditee to confirm nothing has changed.</w:t>
      </w:r>
    </w:p>
    <w:p>
      <w:pPr>
        <w:pStyle w:val="ListParagraph"/>
        <w:numPr>
          <w:ilvl w:val="0"/>
          <w:numId w:val="5"/>
        </w:numPr>
        <w:spacing w:after="100"/>
      </w:pPr>
      <w:r>
        <w:rPr>
          <w:rFonts w:ascii="Calibri" w:cs="Calibri" w:eastAsia="Calibri" w:hAnsi="Calibri"/>
          <w:sz w:val="22"/>
          <w:szCs w:val="22"/>
        </w:rPr>
        <w:t xml:space="preserve">Explain the audit method: interviews, document sampling, system walkthroughs, and how findings will be communicated (daily debriefs are good practice for multi-day audits).</w:t>
      </w:r>
    </w:p>
    <w:p>
      <w:pPr>
        <w:pStyle w:val="ListParagraph"/>
        <w:numPr>
          <w:ilvl w:val="0"/>
          <w:numId w:val="5"/>
        </w:numPr>
        <w:spacing w:after="100"/>
      </w:pPr>
      <w:r>
        <w:rPr>
          <w:rFonts w:ascii="Calibri" w:cs="Calibri" w:eastAsia="Calibri" w:hAnsi="Calibri"/>
          <w:sz w:val="22"/>
          <w:szCs w:val="22"/>
        </w:rPr>
        <w:t xml:space="preserve">Confirm confidentiality expectations and reporting language (major/minor/observation).</w:t>
      </w:r>
    </w:p>
    <w:p>
      <w:pPr>
        <w:pStyle w:val="ListParagraph"/>
        <w:numPr>
          <w:ilvl w:val="0"/>
          <w:numId w:val="5"/>
        </w:numPr>
        <w:spacing w:after="100"/>
      </w:pPr>
      <w:r>
        <w:rPr>
          <w:rFonts w:ascii="Calibri" w:cs="Calibri" w:eastAsia="Calibri" w:hAnsi="Calibri"/>
          <w:sz w:val="22"/>
          <w:szCs w:val="22"/>
        </w:rPr>
        <w:t xml:space="preserve">Confirm practical logistics: work areas, IT/system access, availability of interviewees, health &amp; safety/site rules, and the time of the closing meeting.</w:t>
      </w:r>
    </w:p>
    <w:p>
      <w:pPr>
        <w:pStyle w:val="ListParagraph"/>
        <w:numPr>
          <w:ilvl w:val="0"/>
          <w:numId w:val="5"/>
        </w:numPr>
        <w:spacing w:after="100"/>
      </w:pPr>
      <w:r>
        <w:rPr>
          <w:rFonts w:ascii="Calibri" w:cs="Calibri" w:eastAsia="Calibri" w:hAnsi="Calibri"/>
          <w:sz w:val="22"/>
          <w:szCs w:val="22"/>
        </w:rPr>
        <w:t xml:space="preserve">Record any last-minute scope or documentation changes raised by the auditee.</w:t>
      </w:r>
    </w:p>
    <w:p>
      <w:pPr>
        <w:pStyle w:val="ListParagraph"/>
        <w:numPr>
          <w:ilvl w:val="0"/>
          <w:numId w:val="5"/>
        </w:numPr>
        <w:spacing w:after="100"/>
      </w:pPr>
      <w:r>
        <w:rPr>
          <w:rFonts w:ascii="Calibri" w:cs="Calibri" w:eastAsia="Calibri" w:hAnsi="Calibri"/>
          <w:sz w:val="22"/>
          <w:szCs w:val="22"/>
        </w:rPr>
        <w:t xml:space="preserve">Have the lead auditor and management representative sign/date the meeting record in Template 7.</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If the auditee tries to narrow scope verbally in this meeting (“we'd rather you not look at our data center”), don't agree informally — this needs to go back through the audit plan (Template 1) as a documented, justified change.</w:t>
      </w:r>
    </w:p>
    <w:p>
      <w:pPr>
        <w:spacing w:after="200"/>
      </w:pPr>
    </w:p>
    <w:p>
      <w:pPr>
        <w:pStyle w:val="Heading2"/>
        <w:spacing w:after="150" w:before="300"/>
      </w:pPr>
      <w:r>
        <w:t xml:space="preserve">Walkthrough C: Stage 1 Documentation Review</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2 - Stage 1 Checklist"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Confirm the ISMS design is sound before committing days to Stage 2.</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the opening meeting, before any Stage 2 is scheduled.</w:t>
      </w:r>
    </w:p>
    <w:p>
      <w:pPr>
        <w:pStyle w:val="Heading3"/>
        <w:spacing w:after="120" w:before="240"/>
      </w:pPr>
      <w:r>
        <w:t xml:space="preserve">Steps</w:t>
      </w:r>
    </w:p>
    <w:p>
      <w:pPr>
        <w:pStyle w:val="ListParagraph"/>
        <w:numPr>
          <w:ilvl w:val="0"/>
          <w:numId w:val="6"/>
        </w:numPr>
        <w:spacing w:after="100"/>
      </w:pPr>
      <w:r>
        <w:rPr>
          <w:rFonts w:ascii="Calibri" w:cs="Calibri" w:eastAsia="Calibri" w:hAnsi="Calibri"/>
          <w:sz w:val="22"/>
          <w:szCs w:val="22"/>
        </w:rPr>
        <w:t xml:space="preserve">Request the core document set in advance: scope statement, Information Security Policy, risk assessment methodology, risk register, SoA, risk treatment plan, internal audit program, and management review schedule.</w:t>
      </w:r>
    </w:p>
    <w:p>
      <w:pPr>
        <w:pStyle w:val="ListParagraph"/>
        <w:numPr>
          <w:ilvl w:val="0"/>
          <w:numId w:val="6"/>
        </w:numPr>
        <w:spacing w:after="100"/>
      </w:pPr>
      <w:r>
        <w:rPr>
          <w:rFonts w:ascii="Calibri" w:cs="Calibri" w:eastAsia="Calibri" w:hAnsi="Calibri"/>
          <w:sz w:val="22"/>
          <w:szCs w:val="22"/>
        </w:rPr>
        <w:t xml:space="preserve">Work down Template 2's checklist, mapped to Clauses 4–7 plus the SoA — for each item, record whether the document exists, whether it addresses the clause's requirements, and any gaps.</w:t>
      </w:r>
    </w:p>
    <w:p>
      <w:pPr>
        <w:pStyle w:val="ListParagraph"/>
        <w:numPr>
          <w:ilvl w:val="0"/>
          <w:numId w:val="6"/>
        </w:numPr>
        <w:spacing w:after="100"/>
      </w:pPr>
      <w:r>
        <w:rPr>
          <w:rFonts w:ascii="Calibri" w:cs="Calibri" w:eastAsia="Calibri" w:hAnsi="Calibri"/>
          <w:sz w:val="22"/>
          <w:szCs w:val="22"/>
        </w:rPr>
        <w:t xml:space="preserve">Check internal consistency: does the risk register reference the same information assets named in the scope statement? Does the SoA's justification match what's actually described in the risk treatment plan?</w:t>
      </w:r>
    </w:p>
    <w:p>
      <w:pPr>
        <w:pStyle w:val="ListParagraph"/>
        <w:numPr>
          <w:ilvl w:val="0"/>
          <w:numId w:val="6"/>
        </w:numPr>
        <w:spacing w:after="100"/>
      </w:pPr>
      <w:r>
        <w:rPr>
          <w:rFonts w:ascii="Calibri" w:cs="Calibri" w:eastAsia="Calibri" w:hAnsi="Calibri"/>
          <w:sz w:val="22"/>
          <w:szCs w:val="22"/>
        </w:rPr>
        <w:t xml:space="preserve">Verify Clause 9.2 and 9.3 have at least been planned (dates, owners) even though you won't test execution until Stage 2.</w:t>
      </w:r>
    </w:p>
    <w:p>
      <w:pPr>
        <w:pStyle w:val="ListParagraph"/>
        <w:numPr>
          <w:ilvl w:val="0"/>
          <w:numId w:val="6"/>
        </w:numPr>
        <w:spacing w:after="100"/>
      </w:pPr>
      <w:r>
        <w:rPr>
          <w:rFonts w:ascii="Calibri" w:cs="Calibri" w:eastAsia="Calibri" w:hAnsi="Calibri"/>
          <w:sz w:val="22"/>
          <w:szCs w:val="22"/>
        </w:rPr>
        <w:t xml:space="preserve">Compile Areas of Concern (AOCs) — gaps serious enough to block a productive Stage 2 — distinct from full nonconformities, which are not issued at Stage 1.</w:t>
      </w:r>
    </w:p>
    <w:p>
      <w:pPr>
        <w:pStyle w:val="ListParagraph"/>
        <w:numPr>
          <w:ilvl w:val="0"/>
          <w:numId w:val="6"/>
        </w:numPr>
        <w:spacing w:after="100"/>
      </w:pPr>
      <w:r>
        <w:rPr>
          <w:rFonts w:ascii="Calibri" w:cs="Calibri" w:eastAsia="Calibri" w:hAnsi="Calibri"/>
          <w:sz w:val="22"/>
          <w:szCs w:val="22"/>
        </w:rPr>
        <w:t xml:space="preserve">Agree remediation actions and a realistic Stage 2 date with the auditee (Template 1).</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common beginner mistake is treating Stage 1 like a light version of Stage 2 and trying to test operating effectiveness — resist this; Stage 1 is about the design being complete and coherent, not yet about proof it works.</w:t>
      </w:r>
    </w:p>
    <w:p>
      <w:pPr>
        <w:pStyle w:val="ListParagraph"/>
        <w:numPr>
          <w:ilvl w:val="0"/>
          <w:numId w:val="2"/>
        </w:numPr>
        <w:spacing w:after="100"/>
      </w:pPr>
      <w:r>
        <w:rPr>
          <w:rFonts w:ascii="Calibri" w:cs="Calibri" w:eastAsia="Calibri" w:hAnsi="Calibri"/>
          <w:sz w:val="22"/>
          <w:szCs w:val="22"/>
        </w:rPr>
        <w:t xml:space="preserve">If the SoA excludes a control the organization clearly needs (e.g. excluding A.8.30 Outsourced development when the client heavily uses offshore contract developers), flag it as an AOC immediately — it will resurface as a major NC at Stage 2 if ignored.</w:t>
      </w:r>
    </w:p>
    <w:p>
      <w:pPr>
        <w:spacing w:after="200"/>
      </w:pPr>
    </w:p>
    <w:p>
      <w:pPr>
        <w:pStyle w:val="Heading2"/>
        <w:spacing w:after="150" w:before="300"/>
      </w:pPr>
      <w:r>
        <w:t xml:space="preserve">Walkthrough D: Stage 2 Clause-by-Clause Audit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3 - Stage 2 Clauses"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Test whether Clauses 4–10 are implemented and operating effectively, not just documented.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During the main certification (or internal) audit.</w:t>
      </w:r>
    </w:p>
    <w:p>
      <w:pPr>
        <w:pStyle w:val="Heading3"/>
        <w:spacing w:after="120" w:before="240"/>
      </w:pPr>
      <w:r>
        <w:t xml:space="preserve">Steps</w:t>
      </w:r>
    </w:p>
    <w:p>
      <w:pPr>
        <w:pStyle w:val="ListParagraph"/>
        <w:numPr>
          <w:ilvl w:val="0"/>
          <w:numId w:val="7"/>
        </w:numPr>
        <w:spacing w:after="100"/>
      </w:pPr>
      <w:r>
        <w:rPr>
          <w:rFonts w:ascii="Calibri" w:cs="Calibri" w:eastAsia="Calibri" w:hAnsi="Calibri"/>
          <w:sz w:val="22"/>
          <w:szCs w:val="22"/>
        </w:rPr>
        <w:t xml:space="preserve">For each clause row in Template 3, read the pre-filled audit question, then gather evidence via document review, interview, or observation.</w:t>
      </w:r>
    </w:p>
    <w:p>
      <w:pPr>
        <w:pStyle w:val="ListParagraph"/>
        <w:numPr>
          <w:ilvl w:val="0"/>
          <w:numId w:val="7"/>
        </w:numPr>
        <w:spacing w:after="100"/>
      </w:pPr>
      <w:r>
        <w:rPr>
          <w:rFonts w:ascii="Calibri" w:cs="Calibri" w:eastAsia="Calibri" w:hAnsi="Calibri"/>
          <w:sz w:val="22"/>
          <w:szCs w:val="22"/>
        </w:rPr>
        <w:t xml:space="preserve">Always follow the “audit trail” principle: pick a real example (a specific information asset, a specific risk, a specific access review) and trace it end-to-end rather than asking generic questions.</w:t>
      </w:r>
    </w:p>
    <w:p>
      <w:pPr>
        <w:pStyle w:val="ListParagraph"/>
        <w:numPr>
          <w:ilvl w:val="0"/>
          <w:numId w:val="7"/>
        </w:numPr>
        <w:spacing w:after="100"/>
      </w:pPr>
      <w:r>
        <w:rPr>
          <w:rFonts w:ascii="Calibri" w:cs="Calibri" w:eastAsia="Calibri" w:hAnsi="Calibri"/>
          <w:sz w:val="22"/>
          <w:szCs w:val="22"/>
        </w:rPr>
        <w:t xml:space="preserve">Record exactly what evidence you examined in the 'Evidence Examined' column (document name/ID, interviewee, date, system observed) — this must be specific enough that someone else could find the same evidence later.</w:t>
      </w:r>
    </w:p>
    <w:p>
      <w:pPr>
        <w:pStyle w:val="ListParagraph"/>
        <w:numPr>
          <w:ilvl w:val="0"/>
          <w:numId w:val="7"/>
        </w:numPr>
        <w:spacing w:after="100"/>
      </w:pPr>
      <w:r>
        <w:rPr>
          <w:rFonts w:ascii="Calibri" w:cs="Calibri" w:eastAsia="Calibri" w:hAnsi="Calibri"/>
          <w:sz w:val="22"/>
          <w:szCs w:val="22"/>
        </w:rPr>
        <w:t xml:space="preserve">Mark each row Conforms / Nonconformity / Observation, and cross-reference any nonconformity to a row in Template 6 (Nonconformity Tracker).</w:t>
      </w:r>
    </w:p>
    <w:p>
      <w:pPr>
        <w:pStyle w:val="ListParagraph"/>
        <w:numPr>
          <w:ilvl w:val="0"/>
          <w:numId w:val="7"/>
        </w:numPr>
        <w:spacing w:after="100"/>
      </w:pPr>
      <w:r>
        <w:rPr>
          <w:rFonts w:ascii="Calibri" w:cs="Calibri" w:eastAsia="Calibri" w:hAnsi="Calibri"/>
          <w:sz w:val="22"/>
          <w:szCs w:val="22"/>
        </w:rPr>
        <w:t xml:space="preserve">Use a risk-based sampling approach: spend more time on higher-risk systems (e.g. one holding customer payment data) than on a low-risk internal wiki.</w:t>
      </w:r>
    </w:p>
    <w:p>
      <w:pPr>
        <w:pStyle w:val="ListParagraph"/>
        <w:numPr>
          <w:ilvl w:val="0"/>
          <w:numId w:val="7"/>
        </w:numPr>
        <w:spacing w:after="100"/>
      </w:pPr>
      <w:r>
        <w:rPr>
          <w:rFonts w:ascii="Calibri" w:cs="Calibri" w:eastAsia="Calibri" w:hAnsi="Calibri"/>
          <w:sz w:val="22"/>
          <w:szCs w:val="22"/>
        </w:rPr>
        <w:t xml:space="preserve">At the end of each day, summarize progress and any emerging themes for the daily debrief with the auditee.</w:t>
      </w:r>
    </w:p>
    <w:p>
      <w:pPr>
        <w:pStyle w:val="Heading3"/>
        <w:spacing w:after="120" w:before="240"/>
      </w:pPr>
      <w:r>
        <w:t xml:space="preserve">Worked example</w:t>
      </w:r>
    </w:p>
    <w:p>
      <w:pPr>
        <w:spacing w:after="160" w:line="276"/>
      </w:pPr>
      <w:r>
        <w:rPr>
          <w:rFonts w:ascii="Calibri" w:cs="Calibri" w:eastAsia="Calibri" w:hAnsi="Calibri"/>
          <w:sz w:val="22"/>
          <w:szCs w:val="22"/>
        </w:rPr>
        <w:t xml:space="preserve">Clause 6.1.2 (Information security risk assessment) row: Question — “Has an information security risk assessment been performed and repeated at planned intervals or upon significant change, using the organization's defined methodology?” Evidence examined — “Risk Assessment RA-2026-014 for the customer payments platform, dated 2026-02-10, reviewed with Security Manager R. Okafor; sampled 2 of 6 required annual reassessments.” Result — Nonconformity (Minor): 2 of 6 information assets due for annual reassessment had not been reassessed within the defined 12-month cycle.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Vague evidence notes (“confirmed via interview” with no name, date, or specifics) make your findings indefensible if challenged — always name the who/what/when.</w:t>
      </w:r>
    </w:p>
    <w:p>
      <w:pPr>
        <w:pStyle w:val="ListParagraph"/>
        <w:numPr>
          <w:ilvl w:val="0"/>
          <w:numId w:val="2"/>
        </w:numPr>
        <w:spacing w:after="100"/>
      </w:pPr>
      <w:r>
        <w:rPr>
          <w:rFonts w:ascii="Calibri" w:cs="Calibri" w:eastAsia="Calibri" w:hAnsi="Calibri"/>
          <w:sz w:val="22"/>
          <w:szCs w:val="22"/>
        </w:rPr>
        <w:t xml:space="preserve">Don't confuse 'the document says it happens' with 'it happens' — always ask for the record that proves execution (a completed form, a log entry, a signed-off report).</w:t>
      </w:r>
    </w:p>
    <w:p>
      <w:pPr>
        <w:spacing w:after="200"/>
      </w:pPr>
    </w:p>
    <w:p>
      <w:pPr>
        <w:pStyle w:val="Heading2"/>
        <w:spacing w:after="150" w:before="300"/>
      </w:pPr>
      <w:r>
        <w:t xml:space="preserve">Walkthrough E: Auditing the Annex A Controls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4 - Annex A Controls"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Verify that every control marked 'applicable' in the SoA is genuinely implemented.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Alongside the Stage 2 clause audit — typically organized by system or business process rather than strictly control-by-control.</w:t>
      </w:r>
    </w:p>
    <w:p>
      <w:pPr>
        <w:pStyle w:val="Heading3"/>
        <w:spacing w:after="120" w:before="240"/>
      </w:pPr>
      <w:r>
        <w:t xml:space="preserve">Steps</w:t>
      </w:r>
    </w:p>
    <w:p>
      <w:pPr>
        <w:pStyle w:val="ListParagraph"/>
        <w:numPr>
          <w:ilvl w:val="0"/>
          <w:numId w:val="8"/>
        </w:numPr>
        <w:spacing w:after="100"/>
      </w:pPr>
      <w:r>
        <w:rPr>
          <w:rFonts w:ascii="Calibri" w:cs="Calibri" w:eastAsia="Calibri" w:hAnsi="Calibri"/>
          <w:sz w:val="22"/>
          <w:szCs w:val="22"/>
        </w:rPr>
        <w:t xml:space="preserve">Cross-reference Template 4 against the client's Statement of Applicability: only test controls marked applicable, but spot-check a sample of 'not applicable' justifications too.</w:t>
      </w:r>
    </w:p>
    <w:p>
      <w:pPr>
        <w:pStyle w:val="ListParagraph"/>
        <w:numPr>
          <w:ilvl w:val="0"/>
          <w:numId w:val="8"/>
        </w:numPr>
        <w:spacing w:after="100"/>
      </w:pPr>
      <w:r>
        <w:rPr>
          <w:rFonts w:ascii="Calibri" w:cs="Calibri" w:eastAsia="Calibri" w:hAnsi="Calibri"/>
          <w:sz w:val="22"/>
          <w:szCs w:val="22"/>
        </w:rPr>
        <w:t xml:space="preserve">For each applicable control, use the pre-filled plain-language audit question in Template 4 as your interview/document-review starting point.</w:t>
      </w:r>
    </w:p>
    <w:p>
      <w:pPr>
        <w:pStyle w:val="ListParagraph"/>
        <w:numPr>
          <w:ilvl w:val="0"/>
          <w:numId w:val="8"/>
        </w:numPr>
        <w:spacing w:after="100"/>
      </w:pPr>
      <w:r>
        <w:rPr>
          <w:rFonts w:ascii="Calibri" w:cs="Calibri" w:eastAsia="Calibri" w:hAnsi="Calibri"/>
          <w:sz w:val="22"/>
          <w:szCs w:val="22"/>
        </w:rPr>
        <w:t xml:space="preserve">Gather at least one piece of objective evidence per control per system sampled — a policy alone is not sufficient evidence of an operational control.</w:t>
      </w:r>
    </w:p>
    <w:p>
      <w:pPr>
        <w:pStyle w:val="ListParagraph"/>
        <w:numPr>
          <w:ilvl w:val="0"/>
          <w:numId w:val="8"/>
        </w:numPr>
        <w:spacing w:after="100"/>
      </w:pPr>
      <w:r>
        <w:rPr>
          <w:rFonts w:ascii="Calibri" w:cs="Calibri" w:eastAsia="Calibri" w:hAnsi="Calibri"/>
          <w:sz w:val="22"/>
          <w:szCs w:val="22"/>
        </w:rPr>
        <w:t xml:space="preserve">For technological controls (A.8), trace one system from access provisioning (A.8.2/A.8.3) through to logging and monitoring (A.8.15/A.8.16) as a single continuous thread.</w:t>
      </w:r>
    </w:p>
    <w:p>
      <w:pPr>
        <w:pStyle w:val="ListParagraph"/>
        <w:numPr>
          <w:ilvl w:val="0"/>
          <w:numId w:val="8"/>
        </w:numPr>
        <w:spacing w:after="100"/>
      </w:pPr>
      <w:r>
        <w:rPr>
          <w:rFonts w:ascii="Calibri" w:cs="Calibri" w:eastAsia="Calibri" w:hAnsi="Calibri"/>
          <w:sz w:val="22"/>
          <w:szCs w:val="22"/>
        </w:rPr>
        <w:t xml:space="preserve">For organizational controls tied to suppliers (A.5.19–A.5.22), sample actual supplier contracts and monitoring records, not just the supplier-management procedure document.</w:t>
      </w:r>
    </w:p>
    <w:p>
      <w:pPr>
        <w:pStyle w:val="ListParagraph"/>
        <w:numPr>
          <w:ilvl w:val="0"/>
          <w:numId w:val="8"/>
        </w:numPr>
        <w:spacing w:after="100"/>
      </w:pPr>
      <w:r>
        <w:rPr>
          <w:rFonts w:ascii="Calibri" w:cs="Calibri" w:eastAsia="Calibri" w:hAnsi="Calibri"/>
          <w:sz w:val="22"/>
          <w:szCs w:val="22"/>
        </w:rPr>
        <w:t xml:space="preserve">Record conformity, evidence, and any nonconformities exactly as in Template 3, cross-referencing Template 6.</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audit all 93 controls in isolation from the clauses — the most efficient and realistic audits interleave Annex A controls into the same system walkthroughs used for Clause 8 (Operation).</w:t>
      </w:r>
    </w:p>
    <w:p>
      <w:pPr>
        <w:pStyle w:val="ListParagraph"/>
        <w:numPr>
          <w:ilvl w:val="0"/>
          <w:numId w:val="2"/>
        </w:numPr>
        <w:spacing w:after="100"/>
      </w:pPr>
      <w:r>
        <w:rPr>
          <w:rFonts w:ascii="Calibri" w:cs="Calibri" w:eastAsia="Calibri" w:hAnsi="Calibri"/>
          <w:sz w:val="22"/>
          <w:szCs w:val="22"/>
        </w:rPr>
        <w:t xml:space="preserve">Applicability is not permanent — if the organization has started using a new cloud provider since the SoA was written, A.5.23 (Cloud services) may now be applicable even if the SoA still says otherwise; flag the SoA itself as needing an update.</w:t>
      </w:r>
    </w:p>
    <w:p>
      <w:pPr>
        <w:spacing w:after="200"/>
      </w:pPr>
    </w:p>
    <w:p>
      <w:pPr>
        <w:pStyle w:val="Heading2"/>
        <w:spacing w:after="150" w:before="300"/>
      </w:pPr>
      <w:r>
        <w:t xml:space="preserve">Walkthrough F: Logging Evidence As You Go</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5 - Evidence Log"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Keep a single, chronological, defensible record of everything you examined.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Continuously, throughout Stage 1 and Stage 2 — not reconstructed afterward from memory.</w:t>
      </w:r>
    </w:p>
    <w:p>
      <w:pPr>
        <w:pStyle w:val="Heading3"/>
        <w:spacing w:after="120" w:before="240"/>
      </w:pPr>
      <w:r>
        <w:t xml:space="preserve">Steps</w:t>
      </w:r>
    </w:p>
    <w:p>
      <w:pPr>
        <w:pStyle w:val="ListParagraph"/>
        <w:numPr>
          <w:ilvl w:val="0"/>
          <w:numId w:val="9"/>
        </w:numPr>
        <w:spacing w:after="100"/>
      </w:pPr>
      <w:r>
        <w:rPr>
          <w:rFonts w:ascii="Calibri" w:cs="Calibri" w:eastAsia="Calibri" w:hAnsi="Calibri"/>
          <w:sz w:val="22"/>
          <w:szCs w:val="22"/>
        </w:rPr>
        <w:t xml:space="preserve">Every time you review a document, interview someone, or observe a system, add one row to Template 5 immediately.</w:t>
      </w:r>
    </w:p>
    <w:p>
      <w:pPr>
        <w:pStyle w:val="ListParagraph"/>
        <w:numPr>
          <w:ilvl w:val="0"/>
          <w:numId w:val="9"/>
        </w:numPr>
        <w:spacing w:after="100"/>
      </w:pPr>
      <w:r>
        <w:rPr>
          <w:rFonts w:ascii="Calibri" w:cs="Calibri" w:eastAsia="Calibri" w:hAnsi="Calibri"/>
          <w:sz w:val="22"/>
          <w:szCs w:val="22"/>
        </w:rPr>
        <w:t xml:space="preserve">Record: a unique Evidence ID, date/time, source (person interviewed or document reference with version/date), the clause or control it relates to, and a specific description of what you saw.</w:t>
      </w:r>
    </w:p>
    <w:p>
      <w:pPr>
        <w:pStyle w:val="ListParagraph"/>
        <w:numPr>
          <w:ilvl w:val="0"/>
          <w:numId w:val="9"/>
        </w:numPr>
        <w:spacing w:after="100"/>
      </w:pPr>
      <w:r>
        <w:rPr>
          <w:rFonts w:ascii="Calibri" w:cs="Calibri" w:eastAsia="Calibri" w:hAnsi="Calibri"/>
          <w:sz w:val="22"/>
          <w:szCs w:val="22"/>
        </w:rPr>
        <w:t xml:space="preserve">Tag each row with a status: Supports Conformity / Supports Nonconformity / Needs Follow-up.</w:t>
      </w:r>
    </w:p>
    <w:p>
      <w:pPr>
        <w:pStyle w:val="ListParagraph"/>
        <w:numPr>
          <w:ilvl w:val="0"/>
          <w:numId w:val="9"/>
        </w:numPr>
        <w:spacing w:after="100"/>
      </w:pPr>
      <w:r>
        <w:rPr>
          <w:rFonts w:ascii="Calibri" w:cs="Calibri" w:eastAsia="Calibri" w:hAnsi="Calibri"/>
          <w:sz w:val="22"/>
          <w:szCs w:val="22"/>
        </w:rPr>
        <w:t xml:space="preserve">Cross-reference Evidence IDs from Templates 3, 4 and 6 back into this log so any finding can be traced to its exact source.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Reconstructing evidence notes at the end of the day from memory is how audits lose credibility — log in real time, even briefly, then expand at the next break.</w:t>
      </w:r>
    </w:p>
    <w:p>
      <w:pPr>
        <w:spacing w:after="200"/>
      </w:pPr>
    </w:p>
    <w:p>
      <w:pPr>
        <w:pStyle w:val="Heading2"/>
        <w:spacing w:after="150" w:before="300"/>
      </w:pPr>
      <w:r>
        <w:t xml:space="preserve">Walkthrough G: Writing Nonconformities and Grading Severity</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6 - NC Tracker"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gap you observed into a clear, defensible, actionable finding.</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As soon as you identify a gap between what the standard/procedure requires and what you found.</w:t>
      </w:r>
    </w:p>
    <w:p>
      <w:pPr>
        <w:pStyle w:val="Heading3"/>
        <w:spacing w:after="120" w:before="240"/>
      </w:pPr>
      <w:r>
        <w:t xml:space="preserve">Steps</w:t>
      </w:r>
    </w:p>
    <w:p>
      <w:pPr>
        <w:pStyle w:val="ListParagraph"/>
        <w:numPr>
          <w:ilvl w:val="0"/>
          <w:numId w:val="10"/>
        </w:numPr>
        <w:spacing w:after="100"/>
      </w:pPr>
      <w:r>
        <w:rPr>
          <w:rFonts w:ascii="Calibri" w:cs="Calibri" w:eastAsia="Calibri" w:hAnsi="Calibri"/>
          <w:sz w:val="22"/>
          <w:szCs w:val="22"/>
        </w:rPr>
        <w:t xml:space="preserve">Write the finding using the 'Should be / As found' structure: ‘Should be’ states the requirement in the standard or the organization's own procedure, in neutral language, with no personal opinion; ‘As found’ states exactly what you observed, including the objective evidence (document IDs, sample sizes, names/dates).</w:t>
      </w:r>
    </w:p>
    <w:p>
      <w:pPr>
        <w:pStyle w:val="ListParagraph"/>
        <w:numPr>
          <w:ilvl w:val="0"/>
          <w:numId w:val="10"/>
        </w:numPr>
        <w:spacing w:after="100"/>
      </w:pPr>
      <w:r>
        <w:rPr>
          <w:rFonts w:ascii="Calibri" w:cs="Calibri" w:eastAsia="Calibri" w:hAnsi="Calibri"/>
          <w:sz w:val="22"/>
          <w:szCs w:val="22"/>
        </w:rPr>
        <w:t xml:space="preserve">Cross-reference the specific clause or Annex A control number the finding relates to.</w:t>
      </w:r>
    </w:p>
    <w:p>
      <w:pPr>
        <w:pStyle w:val="ListParagraph"/>
        <w:numPr>
          <w:ilvl w:val="0"/>
          <w:numId w:val="10"/>
        </w:numPr>
        <w:spacing w:after="100"/>
      </w:pPr>
      <w:r>
        <w:rPr>
          <w:rFonts w:ascii="Calibri" w:cs="Calibri" w:eastAsia="Calibri" w:hAnsi="Calibri"/>
          <w:sz w:val="22"/>
          <w:szCs w:val="22"/>
        </w:rPr>
        <w:t xml:space="preserve">Grade the finding using the decision rules below, and record the grade in Template 6.</w:t>
      </w:r>
    </w:p>
    <w:p>
      <w:pPr>
        <w:pStyle w:val="ListParagraph"/>
        <w:numPr>
          <w:ilvl w:val="0"/>
          <w:numId w:val="10"/>
        </w:numPr>
        <w:spacing w:after="100"/>
      </w:pPr>
      <w:r>
        <w:rPr>
          <w:rFonts w:ascii="Calibri" w:cs="Calibri" w:eastAsia="Calibri" w:hAnsi="Calibri"/>
          <w:sz w:val="22"/>
          <w:szCs w:val="22"/>
        </w:rPr>
        <w:t xml:space="preserve">Where possible, note the scope of the gap (isolated incident vs. pattern across multiple systems/teams) — this evidence supports your grading and helps the auditee's root cause analysis.</w:t>
      </w:r>
    </w:p>
    <w:p>
      <w:pPr>
        <w:pStyle w:val="ListParagraph"/>
        <w:numPr>
          <w:ilvl w:val="0"/>
          <w:numId w:val="10"/>
        </w:numPr>
        <w:spacing w:after="100"/>
      </w:pPr>
      <w:r>
        <w:rPr>
          <w:rFonts w:ascii="Calibri" w:cs="Calibri" w:eastAsia="Calibri" w:hAnsi="Calibri"/>
          <w:sz w:val="22"/>
          <w:szCs w:val="22"/>
        </w:rPr>
        <w:t xml:space="preserve">Present the finding to the auditee for factual acknowledgment (not agreement with severity) before the closing meeting — factual disputes should be resolved before the report is finalized, severity grading is the auditor's call.</w:t>
      </w:r>
    </w:p>
    <w:p>
      <w:pPr>
        <w:pStyle w:val="ListParagraph"/>
        <w:numPr>
          <w:ilvl w:val="0"/>
          <w:numId w:val="10"/>
        </w:numPr>
        <w:spacing w:after="100"/>
      </w:pPr>
      <w:r>
        <w:rPr>
          <w:rFonts w:ascii="Calibri" w:cs="Calibri" w:eastAsia="Calibri" w:hAnsi="Calibri"/>
          <w:sz w:val="22"/>
          <w:szCs w:val="22"/>
        </w:rPr>
        <w:t xml:space="preserve">After the audit, track the auditee's correction, root cause and corrective action to verified closure in Template 9.</w:t>
      </w:r>
    </w:p>
    <w:p>
      <w:pPr>
        <w:pStyle w:val="Heading3"/>
        <w:spacing w:after="120" w:before="240"/>
      </w:pPr>
      <w:r>
        <w:t xml:space="preserve">Worked example</w:t>
      </w:r>
    </w:p>
    <w:p>
      <w:pPr>
        <w:spacing w:after="160" w:line="276"/>
      </w:pPr>
      <w:r>
        <w:rPr>
          <w:rFonts w:ascii="Calibri" w:cs="Calibri" w:eastAsia="Calibri" w:hAnsi="Calibri"/>
          <w:sz w:val="22"/>
          <w:szCs w:val="22"/>
        </w:rPr>
        <w:t xml:space="preserve">Should be: “The organization's Access Control Procedure (ACP-01, v3) requires user access rights to be formally reviewed by the relevant system owner at least every 6 months (Annex A.5.18).”</w:t>
      </w:r>
    </w:p>
    <w:p>
      <w:pPr>
        <w:spacing w:after="160" w:line="276"/>
      </w:pPr>
      <w:r>
        <w:rPr>
          <w:rFonts w:ascii="Calibri" w:cs="Calibri" w:eastAsia="Calibri" w:hAnsi="Calibri"/>
          <w:sz w:val="22"/>
          <w:szCs w:val="22"/>
        </w:rPr>
        <w:t xml:space="preserve">As found: “Of 8 in-scope systems, access rights for 5 (including the core HR system and the customer database) had not been reviewed in over 14 months; 3 terminated employees still had active accounts on the customer database at the time of testing.”</w:t>
      </w:r>
    </w:p>
    <w:p>
      <w:pPr>
        <w:spacing w:after="160" w:line="276"/>
      </w:pPr>
      <w:r>
        <w:rPr>
          <w:rFonts w:ascii="Calibri" w:cs="Calibri" w:eastAsia="Calibri" w:hAnsi="Calibri"/>
          <w:sz w:val="22"/>
          <w:szCs w:val="22"/>
        </w:rPr>
        <w:t xml:space="preserve">Grading rationale: Affects 5 of 8 systems (pattern, not isolated) and includes active accounts for terminated staff on a sensitive system → graded Major.</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Major nonconformity: a required process or control is missing entirely, has broken down systemically, or a cluster of related minors shows the ISMS is not achieving its intended outcome for that area.</w:t>
      </w:r>
    </w:p>
    <w:p>
      <w:pPr>
        <w:pStyle w:val="ListParagraph"/>
        <w:numPr>
          <w:ilvl w:val="0"/>
          <w:numId w:val="2"/>
        </w:numPr>
        <w:spacing w:after="100"/>
      </w:pPr>
      <w:r>
        <w:rPr>
          <w:rFonts w:ascii="Calibri" w:cs="Calibri" w:eastAsia="Calibri" w:hAnsi="Calibri"/>
          <w:sz w:val="22"/>
          <w:szCs w:val="22"/>
        </w:rPr>
        <w:t xml:space="preserve">Minor nonconformity: an isolated lapse in an otherwise-functioning process (e.g. one access review missing a sign-off) that doesn't call the whole control into question.</w:t>
      </w:r>
    </w:p>
    <w:p>
      <w:pPr>
        <w:pStyle w:val="ListParagraph"/>
        <w:numPr>
          <w:ilvl w:val="0"/>
          <w:numId w:val="2"/>
        </w:numPr>
        <w:spacing w:after="100"/>
      </w:pPr>
      <w:r>
        <w:rPr>
          <w:rFonts w:ascii="Calibri" w:cs="Calibri" w:eastAsia="Calibri" w:hAnsi="Calibri"/>
          <w:sz w:val="22"/>
          <w:szCs w:val="22"/>
        </w:rPr>
        <w:t xml:space="preserve">Observation / OFI: not a nonconformity at all — a good-practice suggestion. Don't inflate observations into nonconformities just to look thorough, and don't downgrade a real pattern to an observation just to be lenient.</w:t>
      </w:r>
    </w:p>
    <w:p>
      <w:pPr>
        <w:pStyle w:val="ListParagraph"/>
        <w:numPr>
          <w:ilvl w:val="0"/>
          <w:numId w:val="2"/>
        </w:numPr>
        <w:spacing w:after="100"/>
      </w:pPr>
      <w:r>
        <w:rPr>
          <w:rFonts w:ascii="Calibri" w:cs="Calibri" w:eastAsia="Calibri" w:hAnsi="Calibri"/>
          <w:sz w:val="22"/>
          <w:szCs w:val="22"/>
        </w:rPr>
        <w:t xml:space="preserve">Never write a finding as a personal opinion (“I think their patching cadence is weak”) — always anchor to a specific requirement and specific evidence.</w:t>
      </w:r>
    </w:p>
    <w:p>
      <w:pPr>
        <w:spacing w:after="200"/>
      </w:pPr>
    </w:p>
    <w:p>
      <w:pPr>
        <w:pStyle w:val="Heading2"/>
        <w:spacing w:after="150" w:before="300"/>
      </w:pPr>
      <w:r>
        <w:t xml:space="preserve">Walkthrough H: The Closing Meeting</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Meeting Minutes"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Present findings clearly, resolve factual disputes, and confirm next steps — with no surprises in the written report.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end of the on-site/remote audit period.</w:t>
      </w:r>
    </w:p>
    <w:p>
      <w:pPr>
        <w:pStyle w:val="Heading3"/>
        <w:spacing w:after="120" w:before="240"/>
      </w:pPr>
      <w:r>
        <w:t xml:space="preserve">Steps</w:t>
      </w:r>
    </w:p>
    <w:p>
      <w:pPr>
        <w:pStyle w:val="ListParagraph"/>
        <w:numPr>
          <w:ilvl w:val="0"/>
          <w:numId w:val="11"/>
        </w:numPr>
        <w:spacing w:after="100"/>
      </w:pPr>
      <w:r>
        <w:rPr>
          <w:rFonts w:ascii="Calibri" w:cs="Calibri" w:eastAsia="Calibri" w:hAnsi="Calibri"/>
          <w:sz w:val="22"/>
          <w:szCs w:val="22"/>
        </w:rPr>
        <w:t xml:space="preserve">Thank participants and restate the scope, objectives and criteria that were actually covered (note any planned areas that could not be sampled, and why).</w:t>
      </w:r>
    </w:p>
    <w:p>
      <w:pPr>
        <w:pStyle w:val="ListParagraph"/>
        <w:numPr>
          <w:ilvl w:val="0"/>
          <w:numId w:val="11"/>
        </w:numPr>
        <w:spacing w:after="100"/>
      </w:pPr>
      <w:r>
        <w:rPr>
          <w:rFonts w:ascii="Calibri" w:cs="Calibri" w:eastAsia="Calibri" w:hAnsi="Calibri"/>
          <w:sz w:val="22"/>
          <w:szCs w:val="22"/>
        </w:rPr>
        <w:t xml:space="preserve">Present each nonconformity using the Should be/As found structure from Template 6, and each observation, in order of severity.</w:t>
      </w:r>
    </w:p>
    <w:p>
      <w:pPr>
        <w:pStyle w:val="ListParagraph"/>
        <w:numPr>
          <w:ilvl w:val="0"/>
          <w:numId w:val="11"/>
        </w:numPr>
        <w:spacing w:after="100"/>
      </w:pPr>
      <w:r>
        <w:rPr>
          <w:rFonts w:ascii="Calibri" w:cs="Calibri" w:eastAsia="Calibri" w:hAnsi="Calibri"/>
          <w:sz w:val="22"/>
          <w:szCs w:val="22"/>
        </w:rPr>
        <w:t xml:space="preserve">Give the auditee the opportunity to provide additional factual evidence on the spot if they believe a finding is factually incorrect — update the record if warranted, but do not let this become a severity negotiation.</w:t>
      </w:r>
    </w:p>
    <w:p>
      <w:pPr>
        <w:pStyle w:val="ListParagraph"/>
        <w:numPr>
          <w:ilvl w:val="0"/>
          <w:numId w:val="11"/>
        </w:numPr>
        <w:spacing w:after="100"/>
      </w:pPr>
      <w:r>
        <w:rPr>
          <w:rFonts w:ascii="Calibri" w:cs="Calibri" w:eastAsia="Calibri" w:hAnsi="Calibri"/>
          <w:sz w:val="22"/>
          <w:szCs w:val="22"/>
        </w:rPr>
        <w:t xml:space="preserve">Explain the certification recommendation process, timeline for the written report, and expectations for corrective action submission and deadlines.</w:t>
      </w:r>
    </w:p>
    <w:p>
      <w:pPr>
        <w:pStyle w:val="ListParagraph"/>
        <w:numPr>
          <w:ilvl w:val="0"/>
          <w:numId w:val="11"/>
        </w:numPr>
        <w:spacing w:after="100"/>
      </w:pPr>
      <w:r>
        <w:rPr>
          <w:rFonts w:ascii="Calibri" w:cs="Calibri" w:eastAsia="Calibri" w:hAnsi="Calibri"/>
          <w:sz w:val="22"/>
          <w:szCs w:val="22"/>
        </w:rPr>
        <w:t xml:space="preserve">Record attendance, key discussion points, and any disagreements in Template 7's closing-meeting section.</w:t>
      </w:r>
    </w:p>
    <w:p>
      <w:pPr>
        <w:pStyle w:val="ListParagraph"/>
        <w:numPr>
          <w:ilvl w:val="0"/>
          <w:numId w:val="11"/>
        </w:numPr>
        <w:spacing w:after="100"/>
      </w:pPr>
      <w:r>
        <w:rPr>
          <w:rFonts w:ascii="Calibri" w:cs="Calibri" w:eastAsia="Calibri" w:hAnsi="Calibri"/>
          <w:sz w:val="22"/>
          <w:szCs w:val="22"/>
        </w:rPr>
        <w:t xml:space="preserve">Confirm next steps and dates (report delivery date, corrective action due date, any follow-up audit).</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Findings presented for the first time in the written report, with nothing raised at the closing meeting, will reasonably be seen as unfair — there should be zero surprises between closing meeting and report.</w:t>
      </w:r>
    </w:p>
    <w:p>
      <w:pPr>
        <w:spacing w:after="200"/>
      </w:pPr>
    </w:p>
    <w:p>
      <w:pPr>
        <w:pStyle w:val="Heading2"/>
        <w:spacing w:after="150" w:before="300"/>
      </w:pPr>
      <w:r>
        <w:t xml:space="preserve">Walkthrough I: Writing the Audit Report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8 - Audit Report"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Produce a single authoritative record of the audit, sufficient on its own for a certification decision.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Within the certification body's required timeframe after the closing meeting (commonly 5–10 business days).</w:t>
      </w:r>
    </w:p>
    <w:p>
      <w:pPr>
        <w:pStyle w:val="Heading3"/>
        <w:spacing w:after="120" w:before="240"/>
      </w:pPr>
      <w:r>
        <w:t xml:space="preserve">Steps</w:t>
      </w:r>
    </w:p>
    <w:p>
      <w:pPr>
        <w:pStyle w:val="ListParagraph"/>
        <w:numPr>
          <w:ilvl w:val="0"/>
          <w:numId w:val="12"/>
        </w:numPr>
        <w:spacing w:after="100"/>
      </w:pPr>
      <w:r>
        <w:rPr>
          <w:rFonts w:ascii="Calibri" w:cs="Calibri" w:eastAsia="Calibri" w:hAnsi="Calibri"/>
          <w:sz w:val="22"/>
          <w:szCs w:val="22"/>
        </w:rPr>
        <w:t xml:space="preserve">Complete the header fields in Template 8: organization, scope, criteria, dates, audit team, and audit type (Stage 1/2/surveillance/recertification).</w:t>
      </w:r>
    </w:p>
    <w:p>
      <w:pPr>
        <w:pStyle w:val="ListParagraph"/>
        <w:numPr>
          <w:ilvl w:val="0"/>
          <w:numId w:val="12"/>
        </w:numPr>
        <w:spacing w:after="100"/>
      </w:pPr>
      <w:r>
        <w:rPr>
          <w:rFonts w:ascii="Calibri" w:cs="Calibri" w:eastAsia="Calibri" w:hAnsi="Calibri"/>
          <w:sz w:val="22"/>
          <w:szCs w:val="22"/>
        </w:rPr>
        <w:t xml:space="preserve">Write an executive summary: overall conclusion on conformity, number and severity of findings, and a certification recommendation (recommend / recommend with conditions / do not recommend).</w:t>
      </w:r>
    </w:p>
    <w:p>
      <w:pPr>
        <w:pStyle w:val="ListParagraph"/>
        <w:numPr>
          <w:ilvl w:val="0"/>
          <w:numId w:val="12"/>
        </w:numPr>
        <w:spacing w:after="100"/>
      </w:pPr>
      <w:r>
        <w:rPr>
          <w:rFonts w:ascii="Calibri" w:cs="Calibri" w:eastAsia="Calibri" w:hAnsi="Calibri"/>
          <w:sz w:val="22"/>
          <w:szCs w:val="22"/>
        </w:rPr>
        <w:t xml:space="preserve">List every nonconformity and observation, pulling directly from Template 6 — do not re-word or soften findings that were already presented at the closing meeting.</w:t>
      </w:r>
    </w:p>
    <w:p>
      <w:pPr>
        <w:pStyle w:val="ListParagraph"/>
        <w:numPr>
          <w:ilvl w:val="0"/>
          <w:numId w:val="12"/>
        </w:numPr>
        <w:spacing w:after="100"/>
      </w:pPr>
      <w:r>
        <w:rPr>
          <w:rFonts w:ascii="Calibri" w:cs="Calibri" w:eastAsia="Calibri" w:hAnsi="Calibri"/>
          <w:sz w:val="22"/>
          <w:szCs w:val="22"/>
        </w:rPr>
        <w:t xml:space="preserve">Summarize the areas/clauses/controls actually sampled versus planned, and disclose any limitations (e.g. an interviewee unavailable, a system not accessible).</w:t>
      </w:r>
    </w:p>
    <w:p>
      <w:pPr>
        <w:pStyle w:val="ListParagraph"/>
        <w:numPr>
          <w:ilvl w:val="0"/>
          <w:numId w:val="12"/>
        </w:numPr>
        <w:spacing w:after="100"/>
      </w:pPr>
      <w:r>
        <w:rPr>
          <w:rFonts w:ascii="Calibri" w:cs="Calibri" w:eastAsia="Calibri" w:hAnsi="Calibri"/>
          <w:sz w:val="22"/>
          <w:szCs w:val="22"/>
        </w:rPr>
        <w:t xml:space="preserve">Attach or reference the completed Templates 2–6 as supporting audit working papers.</w:t>
      </w:r>
    </w:p>
    <w:p>
      <w:pPr>
        <w:pStyle w:val="ListParagraph"/>
        <w:numPr>
          <w:ilvl w:val="0"/>
          <w:numId w:val="12"/>
        </w:numPr>
        <w:spacing w:after="100"/>
      </w:pPr>
      <w:r>
        <w:rPr>
          <w:rFonts w:ascii="Calibri" w:cs="Calibri" w:eastAsia="Calibri" w:hAnsi="Calibri"/>
          <w:sz w:val="22"/>
          <w:szCs w:val="22"/>
        </w:rPr>
        <w:t xml:space="preserve">Have the lead auditor sign and date the report, then submit for independent technical review at the certification body (for third-party audits) or to management (for internal audits, per Clause 9.3).</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report with findings but no clear overall recommendation leaves the certification decision-maker (or management, internally) without what they need — always state a clear conclusion.</w:t>
      </w:r>
    </w:p>
    <w:p>
      <w:pPr>
        <w:spacing w:after="200"/>
      </w:pPr>
    </w:p>
    <w:p>
      <w:pPr>
        <w:pStyle w:val="Heading2"/>
        <w:spacing w:after="150" w:before="300"/>
      </w:pPr>
      <w:r>
        <w:t xml:space="preserve">Walkthrough J: Tracking Corrective Actions to Closure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9 - CAP Tracker"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Ensure every nonconformity is not just promised a fix, but demonstrably and effectively closed.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the report is issued, continuing until every nonconformity is verified closed (required before certification for majors, and within an agreed window for minors).</w:t>
      </w:r>
    </w:p>
    <w:p>
      <w:pPr>
        <w:pStyle w:val="Heading3"/>
        <w:spacing w:after="120" w:before="240"/>
      </w:pPr>
      <w:r>
        <w:t xml:space="preserve">Steps</w:t>
      </w:r>
    </w:p>
    <w:p>
      <w:pPr>
        <w:pStyle w:val="ListParagraph"/>
        <w:numPr>
          <w:ilvl w:val="0"/>
          <w:numId w:val="13"/>
        </w:numPr>
        <w:spacing w:after="100"/>
      </w:pPr>
      <w:r>
        <w:rPr>
          <w:rFonts w:ascii="Calibri" w:cs="Calibri" w:eastAsia="Calibri" w:hAnsi="Calibri"/>
          <w:sz w:val="22"/>
          <w:szCs w:val="22"/>
        </w:rPr>
        <w:t xml:space="preserve">For each nonconformity, require the auditee to submit: the correction (immediate fix), the root cause analysis, and the corrective action (systemic fix preventing recurrence).</w:t>
      </w:r>
    </w:p>
    <w:p>
      <w:pPr>
        <w:pStyle w:val="ListParagraph"/>
        <w:numPr>
          <w:ilvl w:val="0"/>
          <w:numId w:val="13"/>
        </w:numPr>
        <w:spacing w:after="100"/>
      </w:pPr>
      <w:r>
        <w:rPr>
          <w:rFonts w:ascii="Calibri" w:cs="Calibri" w:eastAsia="Calibri" w:hAnsi="Calibri"/>
          <w:sz w:val="22"/>
          <w:szCs w:val="22"/>
        </w:rPr>
        <w:t xml:space="preserve">Record the submission in Template 9 with owner and due date.</w:t>
      </w:r>
    </w:p>
    <w:p>
      <w:pPr>
        <w:pStyle w:val="ListParagraph"/>
        <w:numPr>
          <w:ilvl w:val="0"/>
          <w:numId w:val="13"/>
        </w:numPr>
        <w:spacing w:after="100"/>
      </w:pPr>
      <w:r>
        <w:rPr>
          <w:rFonts w:ascii="Calibri" w:cs="Calibri" w:eastAsia="Calibri" w:hAnsi="Calibri"/>
          <w:sz w:val="22"/>
          <w:szCs w:val="22"/>
        </w:rPr>
        <w:t xml:space="preserve">Assess whether the root cause analysis is genuine (addresses why the process failed) rather than superficial (“we reminded staff to follow the procedure” without explaining why they didn't).</w:t>
      </w:r>
    </w:p>
    <w:p>
      <w:pPr>
        <w:pStyle w:val="ListParagraph"/>
        <w:numPr>
          <w:ilvl w:val="0"/>
          <w:numId w:val="13"/>
        </w:numPr>
        <w:spacing w:after="100"/>
      </w:pPr>
      <w:r>
        <w:rPr>
          <w:rFonts w:ascii="Calibri" w:cs="Calibri" w:eastAsia="Calibri" w:hAnsi="Calibri"/>
          <w:sz w:val="22"/>
          <w:szCs w:val="22"/>
        </w:rPr>
        <w:t xml:space="preserve">Where possible, verify closure with evidence rather than a written assurance — request the actual updated record, a follow-up sample, or (for major NCs) conduct a focused follow-up audit.</w:t>
      </w:r>
    </w:p>
    <w:p>
      <w:pPr>
        <w:pStyle w:val="ListParagraph"/>
        <w:numPr>
          <w:ilvl w:val="0"/>
          <w:numId w:val="13"/>
        </w:numPr>
        <w:spacing w:after="100"/>
      </w:pPr>
      <w:r>
        <w:rPr>
          <w:rFonts w:ascii="Calibri" w:cs="Calibri" w:eastAsia="Calibri" w:hAnsi="Calibri"/>
          <w:sz w:val="22"/>
          <w:szCs w:val="22"/>
        </w:rPr>
        <w:t xml:space="preserve">Mark the nonconformity 'Closed – Verified' only once objective evidence of effectiveness exists; otherwise keep it open and escalate per the certification body's timeline rules.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Closing a major nonconformity based on a promise or a policy update alone, with no evidence the fix actually works, is one of the most common quality failures in certification audits — always ask 'how do you know this worked?'</w:t>
      </w:r>
    </w:p>
    <w:p>
      <w:pPr>
        <w:spacing w:after="200"/>
      </w:pPr>
    </w:p>
    <w:p>
      <w:pPr>
        <w:pStyle w:val="Heading2"/>
        <w:spacing w:after="150" w:before="300"/>
      </w:pPr>
      <w:r>
        <w:t xml:space="preserve">Walkthrough K: Maintaining an Information Security Risk Register Across Audits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10 - Risk Register"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Give yourself (and future auditors) a living record of the organization's information security risk landscape to focus future audits.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Updated at every audit, referenced when scoping the next one.</w:t>
      </w:r>
    </w:p>
    <w:p>
      <w:pPr>
        <w:pStyle w:val="Heading3"/>
        <w:spacing w:after="120" w:before="240"/>
      </w:pPr>
      <w:r>
        <w:t xml:space="preserve">Steps</w:t>
      </w:r>
    </w:p>
    <w:p>
      <w:pPr>
        <w:pStyle w:val="ListParagraph"/>
        <w:numPr>
          <w:ilvl w:val="0"/>
          <w:numId w:val="14"/>
        </w:numPr>
        <w:spacing w:after="100"/>
      </w:pPr>
      <w:r>
        <w:rPr>
          <w:rFonts w:ascii="Calibri" w:cs="Calibri" w:eastAsia="Calibri" w:hAnsi="Calibri"/>
          <w:sz w:val="22"/>
          <w:szCs w:val="22"/>
        </w:rPr>
        <w:t xml:space="preserve">Log every significant information asset or system in scope, its purpose, and its risk classification (e.g. based on confidentiality/integrity/availability impact, per Clause 6.1.2).</w:t>
      </w:r>
    </w:p>
    <w:p>
      <w:pPr>
        <w:pStyle w:val="ListParagraph"/>
        <w:numPr>
          <w:ilvl w:val="0"/>
          <w:numId w:val="14"/>
        </w:numPr>
        <w:spacing w:after="100"/>
      </w:pPr>
      <w:r>
        <w:rPr>
          <w:rFonts w:ascii="Calibri" w:cs="Calibri" w:eastAsia="Calibri" w:hAnsi="Calibri"/>
          <w:sz w:val="22"/>
          <w:szCs w:val="22"/>
        </w:rPr>
        <w:t xml:space="preserve">Record identified risks, existing controls, residual risk rating, and the owner, pulling from the organization's own risk register plus your own audit observations.</w:t>
      </w:r>
    </w:p>
    <w:p>
      <w:pPr>
        <w:pStyle w:val="ListParagraph"/>
        <w:numPr>
          <w:ilvl w:val="0"/>
          <w:numId w:val="14"/>
        </w:numPr>
        <w:spacing w:after="100"/>
      </w:pPr>
      <w:r>
        <w:rPr>
          <w:rFonts w:ascii="Calibri" w:cs="Calibri" w:eastAsia="Calibri" w:hAnsi="Calibri"/>
          <w:sz w:val="22"/>
          <w:szCs w:val="22"/>
        </w:rPr>
        <w:t xml:space="preserve">After each audit, update the register with new systems discovered, changes in risk rating, and any nonconformities linked to specific risks.</w:t>
      </w:r>
    </w:p>
    <w:p>
      <w:pPr>
        <w:pStyle w:val="ListParagraph"/>
        <w:numPr>
          <w:ilvl w:val="0"/>
          <w:numId w:val="14"/>
        </w:numPr>
        <w:spacing w:after="100"/>
      </w:pPr>
      <w:r>
        <w:rPr>
          <w:rFonts w:ascii="Calibri" w:cs="Calibri" w:eastAsia="Calibri" w:hAnsi="Calibri"/>
          <w:sz w:val="22"/>
          <w:szCs w:val="22"/>
        </w:rPr>
        <w:t xml:space="preserve">Use this register at the planning stage of the next audit (Template 1) to prioritize sampling toward the highest-risk systems.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Treat the client's own risk register as an evidence source to test (does it match reality?), and this template as your independent audit-side record — the two should be compared, not merged.</w:t>
      </w:r>
    </w:p>
    <w:p>
      <w:pPr>
        <w:spacing w:after="200"/>
      </w:pPr>
    </w:p>
    <w:p>
      <w:pPr>
        <w:pStyle w:val="Heading2"/>
        <w:spacing w:after="150" w:before="300"/>
      </w:pPr>
      <w:r>
        <w:t xml:space="preserve">Walkthrough L: Planning Your Multi-Year Audit Schedule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11 - Audit Schedule" in the ISO 27001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Make sure every clause and every applicable Annex A control gets tested at least once across the 3-year certification cycle, even though surveillance audits only sample a subset each year.</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Immediately after initial certification, and reviewed after every audit.</w:t>
      </w:r>
    </w:p>
    <w:p>
      <w:pPr>
        <w:pStyle w:val="Heading3"/>
        <w:spacing w:after="120" w:before="240"/>
      </w:pPr>
      <w:r>
        <w:t xml:space="preserve">Steps</w:t>
      </w:r>
    </w:p>
    <w:p>
      <w:pPr>
        <w:pStyle w:val="ListParagraph"/>
        <w:numPr>
          <w:ilvl w:val="0"/>
          <w:numId w:val="15"/>
        </w:numPr>
        <w:spacing w:after="100"/>
      </w:pPr>
      <w:r>
        <w:rPr>
          <w:rFonts w:ascii="Calibri" w:cs="Calibri" w:eastAsia="Calibri" w:hAnsi="Calibri"/>
          <w:sz w:val="22"/>
          <w:szCs w:val="22"/>
        </w:rPr>
        <w:t xml:space="preserve">List all clauses (4–10) and applicable Annex A controls down the rows.</w:t>
      </w:r>
    </w:p>
    <w:p>
      <w:pPr>
        <w:pStyle w:val="ListParagraph"/>
        <w:numPr>
          <w:ilvl w:val="0"/>
          <w:numId w:val="15"/>
        </w:numPr>
        <w:spacing w:after="100"/>
      </w:pPr>
      <w:r>
        <w:rPr>
          <w:rFonts w:ascii="Calibri" w:cs="Calibri" w:eastAsia="Calibri" w:hAnsi="Calibri"/>
          <w:sz w:val="22"/>
          <w:szCs w:val="22"/>
        </w:rPr>
        <w:t xml:space="preserve">Across three columns (Year 1 surveillance, Year 2 surveillance, Year 3 recertification), mark which items will be sampled each year, ensuring full coverage by year 3.</w:t>
      </w:r>
    </w:p>
    <w:p>
      <w:pPr>
        <w:pStyle w:val="ListParagraph"/>
        <w:numPr>
          <w:ilvl w:val="0"/>
          <w:numId w:val="15"/>
        </w:numPr>
        <w:spacing w:after="100"/>
      </w:pPr>
      <w:r>
        <w:rPr>
          <w:rFonts w:ascii="Calibri" w:cs="Calibri" w:eastAsia="Calibri" w:hAnsi="Calibri"/>
          <w:sz w:val="22"/>
          <w:szCs w:val="22"/>
        </w:rPr>
        <w:t xml:space="preserve">Weight high-risk systems and any areas with prior nonconformities toward earlier surveillance visits.</w:t>
      </w:r>
    </w:p>
    <w:p>
      <w:pPr>
        <w:pStyle w:val="ListParagraph"/>
        <w:numPr>
          <w:ilvl w:val="0"/>
          <w:numId w:val="15"/>
        </w:numPr>
        <w:spacing w:after="100"/>
      </w:pPr>
      <w:r>
        <w:rPr>
          <w:rFonts w:ascii="Calibri" w:cs="Calibri" w:eastAsia="Calibri" w:hAnsi="Calibri"/>
          <w:sz w:val="22"/>
          <w:szCs w:val="22"/>
        </w:rPr>
        <w:t xml:space="preserve">Update the plan after each visit based on actual findings and any new systems introduced.</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schedule that samples the same easy clauses every year and never revisits a control tied to a past major nonconformity will not satisfy a competent technical reviewer — build revisits of past findings into the plan explicitly.</w:t>
      </w:r>
    </w:p>
    <w:p>
      <w:pPr>
        <w:spacing w:after="200"/>
      </w:pPr>
    </w:p>
    <w:p>
      <w:r>
        <w:br w:type="page"/>
      </w:r>
    </w:p>
    <w:p>
      <w:pPr>
        <w:pStyle w:val="Heading1"/>
        <w:spacing w:after="200" w:before="400"/>
      </w:pPr>
      <w:r>
        <w:t xml:space="preserve">Part Five – Reusing the Toolkit for Future Audits</w:t>
      </w:r>
    </w:p>
    <w:p>
      <w:pPr>
        <w:pStyle w:val="Heading2"/>
        <w:spacing w:after="150" w:before="300"/>
      </w:pPr>
      <w:r>
        <w:t xml:space="preserve">5.1 Treat the Toolkit as a Living System, Not a One-Off Form</w:t>
      </w:r>
    </w:p>
    <w:p>
      <w:pPr>
        <w:pStyle w:val="ListParagraph"/>
        <w:numPr>
          <w:ilvl w:val="0"/>
          <w:numId w:val="2"/>
        </w:numPr>
        <w:spacing w:after="100"/>
      </w:pPr>
      <w:r>
        <w:rPr>
          <w:rFonts w:ascii="Calibri" w:cs="Calibri" w:eastAsia="Calibri" w:hAnsi="Calibri"/>
          <w:sz w:val="22"/>
          <w:szCs w:val="22"/>
        </w:rPr>
        <w:t xml:space="preserve">Version-control the workbook (e.g. filename or tab date-stamped per audit) so you can compare findings year over year.</w:t>
      </w:r>
    </w:p>
    <w:p>
      <w:pPr>
        <w:pStyle w:val="ListParagraph"/>
        <w:numPr>
          <w:ilvl w:val="0"/>
          <w:numId w:val="2"/>
        </w:numPr>
        <w:spacing w:after="100"/>
      </w:pPr>
      <w:r>
        <w:rPr>
          <w:rFonts w:ascii="Calibri" w:cs="Calibri" w:eastAsia="Calibri" w:hAnsi="Calibri"/>
          <w:sz w:val="22"/>
          <w:szCs w:val="22"/>
        </w:rPr>
        <w:t xml:space="preserve">Carry forward open items from Template 9 into the next audit's Template 1 scope — never start a new audit blind to unresolved history.</w:t>
      </w:r>
    </w:p>
    <w:p>
      <w:pPr>
        <w:pStyle w:val="ListParagraph"/>
        <w:numPr>
          <w:ilvl w:val="0"/>
          <w:numId w:val="2"/>
        </w:numPr>
        <w:spacing w:after="100"/>
      </w:pPr>
      <w:r>
        <w:rPr>
          <w:rFonts w:ascii="Calibri" w:cs="Calibri" w:eastAsia="Calibri" w:hAnsi="Calibri"/>
          <w:sz w:val="22"/>
          <w:szCs w:val="22"/>
        </w:rPr>
        <w:t xml:space="preserve">Recalibrate sample sizes each year using Template 10's risk register — more information assets or higher-risk systems justify a larger sample.</w:t>
      </w:r>
    </w:p>
    <w:p>
      <w:pPr>
        <w:pStyle w:val="ListParagraph"/>
        <w:numPr>
          <w:ilvl w:val="0"/>
          <w:numId w:val="2"/>
        </w:numPr>
        <w:spacing w:after="100"/>
      </w:pPr>
      <w:r>
        <w:rPr>
          <w:rFonts w:ascii="Calibri" w:cs="Calibri" w:eastAsia="Calibri" w:hAnsi="Calibri"/>
          <w:sz w:val="22"/>
          <w:szCs w:val="22"/>
        </w:rPr>
        <w:t xml:space="preserve">Update Template 3/4 checklist questions if the standard is amended, or if the organization's own SoA changes.</w:t>
      </w:r>
    </w:p>
    <w:p>
      <w:pPr>
        <w:pStyle w:val="Heading2"/>
        <w:spacing w:after="150" w:before="300"/>
      </w:pPr>
      <w:r>
        <w:t xml:space="preserve">5.2 Growing From Beginner to Confident Auditor</w:t>
      </w:r>
    </w:p>
    <w:p>
      <w:pPr>
        <w:pStyle w:val="ListParagraph"/>
        <w:numPr>
          <w:ilvl w:val="0"/>
          <w:numId w:val="2"/>
        </w:numPr>
        <w:spacing w:after="100"/>
      </w:pPr>
      <w:r>
        <w:rPr>
          <w:rFonts w:ascii="Calibri" w:cs="Calibri" w:eastAsia="Calibri" w:hAnsi="Calibri"/>
          <w:sz w:val="22"/>
          <w:szCs w:val="22"/>
        </w:rPr>
        <w:t xml:space="preserve">Shadow an experienced lead auditor on your first one or two engagements before leading one yourself.</w:t>
      </w:r>
    </w:p>
    <w:p>
      <w:pPr>
        <w:pStyle w:val="ListParagraph"/>
        <w:numPr>
          <w:ilvl w:val="0"/>
          <w:numId w:val="2"/>
        </w:numPr>
        <w:spacing w:after="100"/>
      </w:pPr>
      <w:r>
        <w:rPr>
          <w:rFonts w:ascii="Calibri" w:cs="Calibri" w:eastAsia="Calibri" w:hAnsi="Calibri"/>
          <w:sz w:val="22"/>
          <w:szCs w:val="22"/>
        </w:rPr>
        <w:t xml:space="preserve">After each audit, do a short personal retrospective: which questions produced the most useful evidence? Which findings were hardest to grade, and why?</w:t>
      </w:r>
    </w:p>
    <w:p>
      <w:pPr>
        <w:pStyle w:val="ListParagraph"/>
        <w:numPr>
          <w:ilvl w:val="0"/>
          <w:numId w:val="2"/>
        </w:numPr>
        <w:spacing w:after="100"/>
      </w:pPr>
      <w:r>
        <w:rPr>
          <w:rFonts w:ascii="Calibri" w:cs="Calibri" w:eastAsia="Calibri" w:hAnsi="Calibri"/>
          <w:sz w:val="22"/>
          <w:szCs w:val="22"/>
        </w:rPr>
        <w:t xml:space="preserve">Keep building your own bank of good/bad example nonconformity statements — nothing improves finding-writing faster than reviewing real examples.</w:t>
      </w:r>
    </w:p>
    <w:p>
      <w:pPr>
        <w:pStyle w:val="ListParagraph"/>
        <w:numPr>
          <w:ilvl w:val="0"/>
          <w:numId w:val="2"/>
        </w:numPr>
        <w:spacing w:after="100"/>
      </w:pPr>
      <w:r>
        <w:rPr>
          <w:rFonts w:ascii="Calibri" w:cs="Calibri" w:eastAsia="Calibri" w:hAnsi="Calibri"/>
          <w:sz w:val="22"/>
          <w:szCs w:val="22"/>
        </w:rPr>
        <w:t xml:space="preserve">Stay current: standards and certification-body practice evolve — revisit official ISO guidance and reputable certification-body publications periodically, and watch for the next scheduled review of ISO/IEC 27001 itself.</w:t>
      </w:r>
    </w:p>
    <w:p>
      <w:r>
        <w:br w:type="page"/>
      </w:r>
    </w:p>
    <w:p>
      <w:pPr>
        <w:pStyle w:val="Heading1"/>
        <w:spacing w:after="200" w:before="400"/>
      </w:pPr>
      <w:r>
        <w:t xml:space="preserve">Glossary</w:t>
      </w:r>
    </w:p>
    <w:p>
      <w:pPr>
        <w:spacing w:after="160" w:line="276"/>
      </w:pPr>
      <w:r>
        <w:rPr>
          <w:rFonts w:ascii="Calibri" w:cs="Calibri" w:eastAsia="Calibri" w:hAnsi="Calibri"/>
          <w:b/>
          <w:bCs/>
          <w:i w:val="false"/>
          <w:iCs w:val="false"/>
          <w:sz w:val="22"/>
          <w:szCs w:val="22"/>
        </w:rPr>
        <w:t xml:space="preserve">ISMS: </w:t>
      </w:r>
      <w:r>
        <w:rPr>
          <w:rFonts w:ascii="Calibri" w:cs="Calibri" w:eastAsia="Calibri" w:hAnsi="Calibri"/>
          <w:b w:val="false"/>
          <w:bCs w:val="false"/>
          <w:i w:val="false"/>
          <w:iCs w:val="false"/>
          <w:sz w:val="22"/>
          <w:szCs w:val="22"/>
        </w:rPr>
        <w:t xml:space="preserve">Information Security Management System – the set of policies, processes, roles and controls an organization uses to protect the confidentiality, integrity and availability of information, per ISO/IEC 27001.</w:t>
      </w:r>
    </w:p>
    <w:p>
      <w:pPr>
        <w:spacing w:after="160" w:line="276"/>
      </w:pPr>
      <w:r>
        <w:rPr>
          <w:rFonts w:ascii="Calibri" w:cs="Calibri" w:eastAsia="Calibri" w:hAnsi="Calibri"/>
          <w:b/>
          <w:bCs/>
          <w:i w:val="false"/>
          <w:iCs w:val="false"/>
          <w:sz w:val="22"/>
          <w:szCs w:val="22"/>
        </w:rPr>
        <w:t xml:space="preserve">Audit criteria: </w:t>
      </w:r>
      <w:r>
        <w:rPr>
          <w:rFonts w:ascii="Calibri" w:cs="Calibri" w:eastAsia="Calibri" w:hAnsi="Calibri"/>
          <w:b w:val="false"/>
          <w:bCs w:val="false"/>
          <w:i w:val="false"/>
          <w:iCs w:val="false"/>
          <w:sz w:val="22"/>
          <w:szCs w:val="22"/>
        </w:rPr>
        <w:t xml:space="preserve">The set of requirements used as a reference against which evidence is compared — for an ISO 27001 audit, this is the standard's clauses plus the organization's own ISMS documentation.</w:t>
      </w:r>
    </w:p>
    <w:p>
      <w:pPr>
        <w:spacing w:after="160" w:line="276"/>
      </w:pPr>
      <w:r>
        <w:rPr>
          <w:rFonts w:ascii="Calibri" w:cs="Calibri" w:eastAsia="Calibri" w:hAnsi="Calibri"/>
          <w:b/>
          <w:bCs/>
          <w:i w:val="false"/>
          <w:iCs w:val="false"/>
          <w:sz w:val="22"/>
          <w:szCs w:val="22"/>
        </w:rPr>
        <w:t xml:space="preserve">Audit evidence: </w:t>
      </w:r>
      <w:r>
        <w:rPr>
          <w:rFonts w:ascii="Calibri" w:cs="Calibri" w:eastAsia="Calibri" w:hAnsi="Calibri"/>
          <w:b w:val="false"/>
          <w:bCs w:val="false"/>
          <w:i w:val="false"/>
          <w:iCs w:val="false"/>
          <w:sz w:val="22"/>
          <w:szCs w:val="22"/>
        </w:rPr>
        <w:t xml:space="preserve">Records, statements of fact, or other verifiable information relevant to the audit criteria (ISO 19011). Must be objective, not opinion.</w:t>
      </w:r>
    </w:p>
    <w:p>
      <w:pPr>
        <w:spacing w:after="160" w:line="276"/>
      </w:pPr>
      <w:r>
        <w:rPr>
          <w:rFonts w:ascii="Calibri" w:cs="Calibri" w:eastAsia="Calibri" w:hAnsi="Calibri"/>
          <w:b/>
          <w:bCs/>
          <w:i w:val="false"/>
          <w:iCs w:val="false"/>
          <w:sz w:val="22"/>
          <w:szCs w:val="22"/>
        </w:rPr>
        <w:t xml:space="preserve">Audit finding: </w:t>
      </w:r>
      <w:r>
        <w:rPr>
          <w:rFonts w:ascii="Calibri" w:cs="Calibri" w:eastAsia="Calibri" w:hAnsi="Calibri"/>
          <w:b w:val="false"/>
          <w:bCs w:val="false"/>
          <w:i w:val="false"/>
          <w:iCs w:val="false"/>
          <w:sz w:val="22"/>
          <w:szCs w:val="22"/>
        </w:rPr>
        <w:t xml:space="preserve">The result of evaluating evidence against criteria: conformity, nonconformity, or an opportunity for improvement (OFI).</w:t>
      </w:r>
    </w:p>
    <w:p>
      <w:pPr>
        <w:spacing w:after="160" w:line="276"/>
      </w:pPr>
      <w:r>
        <w:rPr>
          <w:rFonts w:ascii="Calibri" w:cs="Calibri" w:eastAsia="Calibri" w:hAnsi="Calibri"/>
          <w:b/>
          <w:bCs/>
          <w:i w:val="false"/>
          <w:iCs w:val="false"/>
          <w:sz w:val="22"/>
          <w:szCs w:val="22"/>
        </w:rPr>
        <w:t xml:space="preserve">Nonconformity (NC): </w:t>
      </w:r>
      <w:r>
        <w:rPr>
          <w:rFonts w:ascii="Calibri" w:cs="Calibri" w:eastAsia="Calibri" w:hAnsi="Calibri"/>
          <w:b w:val="false"/>
          <w:bCs w:val="false"/>
          <w:i w:val="false"/>
          <w:iCs w:val="false"/>
          <w:sz w:val="22"/>
          <w:szCs w:val="22"/>
        </w:rPr>
        <w:t xml:space="preserve">Non-fulfilment of a requirement. Graded Major (systemic failure, absence of a required process, or a cluster of minors indicating breakdown) or Minor (an isolated lapse that does not indicate the process has failed).</w:t>
      </w:r>
    </w:p>
    <w:p>
      <w:pPr>
        <w:spacing w:after="160" w:line="276"/>
      </w:pPr>
      <w:r>
        <w:rPr>
          <w:rFonts w:ascii="Calibri" w:cs="Calibri" w:eastAsia="Calibri" w:hAnsi="Calibri"/>
          <w:b/>
          <w:bCs/>
          <w:i w:val="false"/>
          <w:iCs w:val="false"/>
          <w:sz w:val="22"/>
          <w:szCs w:val="22"/>
        </w:rPr>
        <w:t xml:space="preserve">Observation / OFI: </w:t>
      </w:r>
      <w:r>
        <w:rPr>
          <w:rFonts w:ascii="Calibri" w:cs="Calibri" w:eastAsia="Calibri" w:hAnsi="Calibri"/>
          <w:b w:val="false"/>
          <w:bCs w:val="false"/>
          <w:i w:val="false"/>
          <w:iCs w:val="false"/>
          <w:sz w:val="22"/>
          <w:szCs w:val="22"/>
        </w:rPr>
        <w:t xml:space="preserve">Not a nonconformity — a noted opportunity for improvement the auditee may choose to act on.</w:t>
      </w:r>
    </w:p>
    <w:p>
      <w:pPr>
        <w:spacing w:after="160" w:line="276"/>
      </w:pPr>
      <w:r>
        <w:rPr>
          <w:rFonts w:ascii="Calibri" w:cs="Calibri" w:eastAsia="Calibri" w:hAnsi="Calibri"/>
          <w:b/>
          <w:bCs/>
          <w:i w:val="false"/>
          <w:iCs w:val="false"/>
          <w:sz w:val="22"/>
          <w:szCs w:val="22"/>
        </w:rPr>
        <w:t xml:space="preserve">Objective evidence: </w:t>
      </w:r>
      <w:r>
        <w:rPr>
          <w:rFonts w:ascii="Calibri" w:cs="Calibri" w:eastAsia="Calibri" w:hAnsi="Calibri"/>
          <w:b w:val="false"/>
          <w:bCs w:val="false"/>
          <w:i w:val="false"/>
          <w:iCs w:val="false"/>
          <w:sz w:val="22"/>
          <w:szCs w:val="22"/>
        </w:rPr>
        <w:t xml:space="preserve">Data supporting the existence or truth of something, verifiable through observation, measurement, testing or other means — not the auditor's opinion or the auditee's assurance alone.</w:t>
      </w:r>
    </w:p>
    <w:p>
      <w:pPr>
        <w:spacing w:after="160" w:line="276"/>
      </w:pPr>
      <w:r>
        <w:rPr>
          <w:rFonts w:ascii="Calibri" w:cs="Calibri" w:eastAsia="Calibri" w:hAnsi="Calibri"/>
          <w:b/>
          <w:bCs/>
          <w:i w:val="false"/>
          <w:iCs w:val="false"/>
          <w:sz w:val="22"/>
          <w:szCs w:val="22"/>
        </w:rPr>
        <w:t xml:space="preserve">Audit trail: </w:t>
      </w:r>
      <w:r>
        <w:rPr>
          <w:rFonts w:ascii="Calibri" w:cs="Calibri" w:eastAsia="Calibri" w:hAnsi="Calibri"/>
          <w:b w:val="false"/>
          <w:bCs w:val="false"/>
          <w:i w:val="false"/>
          <w:iCs w:val="false"/>
          <w:sz w:val="22"/>
          <w:szCs w:val="22"/>
        </w:rPr>
        <w:t xml:space="preserve">The path an auditor follows to trace a requirement through to practice (or vice-versa), e.g. following one information asset from the risk register through to its access review and monitoring logs.</w:t>
      </w:r>
    </w:p>
    <w:p>
      <w:pPr>
        <w:spacing w:after="160" w:line="276"/>
      </w:pPr>
      <w:r>
        <w:rPr>
          <w:rFonts w:ascii="Calibri" w:cs="Calibri" w:eastAsia="Calibri" w:hAnsi="Calibri"/>
          <w:b/>
          <w:bCs/>
          <w:i w:val="false"/>
          <w:iCs w:val="false"/>
          <w:sz w:val="22"/>
          <w:szCs w:val="22"/>
        </w:rPr>
        <w:t xml:space="preserve">Sampling: </w:t>
      </w:r>
      <w:r>
        <w:rPr>
          <w:rFonts w:ascii="Calibri" w:cs="Calibri" w:eastAsia="Calibri" w:hAnsi="Calibri"/>
          <w:b w:val="false"/>
          <w:bCs w:val="false"/>
          <w:i w:val="false"/>
          <w:iCs w:val="false"/>
          <w:sz w:val="22"/>
          <w:szCs w:val="22"/>
        </w:rPr>
        <w:t xml:space="preserve">Selecting a representative subset of records, systems or interviews to examine, because auditing 100% of everything is rarely feasible.</w:t>
      </w:r>
    </w:p>
    <w:p>
      <w:pPr>
        <w:spacing w:after="160" w:line="276"/>
      </w:pPr>
      <w:r>
        <w:rPr>
          <w:rFonts w:ascii="Calibri" w:cs="Calibri" w:eastAsia="Calibri" w:hAnsi="Calibri"/>
          <w:b/>
          <w:bCs/>
          <w:i w:val="false"/>
          <w:iCs w:val="false"/>
          <w:sz w:val="22"/>
          <w:szCs w:val="22"/>
        </w:rPr>
        <w:t xml:space="preserve">Statement of Applicability (SoA): </w:t>
      </w:r>
      <w:r>
        <w:rPr>
          <w:rFonts w:ascii="Calibri" w:cs="Calibri" w:eastAsia="Calibri" w:hAnsi="Calibri"/>
          <w:b w:val="false"/>
          <w:bCs w:val="false"/>
          <w:i w:val="false"/>
          <w:iCs w:val="false"/>
          <w:sz w:val="22"/>
          <w:szCs w:val="22"/>
        </w:rPr>
        <w:t xml:space="preserve">A document listing every Annex A control, whether it is applicable, and the justification for inclusion or exclusion — the single most important document in an ISO/IEC 27001 audit, and central to ISO/IEC 42001 as well.</w:t>
      </w:r>
    </w:p>
    <w:p>
      <w:pPr>
        <w:spacing w:after="160" w:line="276"/>
      </w:pPr>
      <w:r>
        <w:rPr>
          <w:rFonts w:ascii="Calibri" w:cs="Calibri" w:eastAsia="Calibri" w:hAnsi="Calibri"/>
          <w:b/>
          <w:bCs/>
          <w:i w:val="false"/>
          <w:iCs w:val="false"/>
          <w:sz w:val="22"/>
          <w:szCs w:val="22"/>
        </w:rPr>
        <w:t xml:space="preserve">Stage 1 audit: </w:t>
      </w:r>
      <w:r>
        <w:rPr>
          <w:rFonts w:ascii="Calibri" w:cs="Calibri" w:eastAsia="Calibri" w:hAnsi="Calibri"/>
          <w:b w:val="false"/>
          <w:bCs w:val="false"/>
          <w:i w:val="false"/>
          <w:iCs w:val="false"/>
          <w:sz w:val="22"/>
          <w:szCs w:val="22"/>
        </w:rPr>
        <w:t xml:space="preserve">Documentation / readiness review confirming the ISMS is designed to meet the standard before Stage 2 begins.</w:t>
      </w:r>
    </w:p>
    <w:p>
      <w:pPr>
        <w:spacing w:after="160" w:line="276"/>
      </w:pPr>
      <w:r>
        <w:rPr>
          <w:rFonts w:ascii="Calibri" w:cs="Calibri" w:eastAsia="Calibri" w:hAnsi="Calibri"/>
          <w:b/>
          <w:bCs/>
          <w:i w:val="false"/>
          <w:iCs w:val="false"/>
          <w:sz w:val="22"/>
          <w:szCs w:val="22"/>
        </w:rPr>
        <w:t xml:space="preserve">Stage 2 audit: </w:t>
      </w:r>
      <w:r>
        <w:rPr>
          <w:rFonts w:ascii="Calibri" w:cs="Calibri" w:eastAsia="Calibri" w:hAnsi="Calibri"/>
          <w:b w:val="false"/>
          <w:bCs w:val="false"/>
          <w:i w:val="false"/>
          <w:iCs w:val="false"/>
          <w:sz w:val="22"/>
          <w:szCs w:val="22"/>
        </w:rPr>
        <w:t xml:space="preserve">The main certification audit, testing whether the ISMS operates effectively in practice.</w:t>
      </w:r>
    </w:p>
    <w:p>
      <w:pPr>
        <w:spacing w:after="160" w:line="276"/>
      </w:pPr>
      <w:r>
        <w:rPr>
          <w:rFonts w:ascii="Calibri" w:cs="Calibri" w:eastAsia="Calibri" w:hAnsi="Calibri"/>
          <w:b/>
          <w:bCs/>
          <w:i w:val="false"/>
          <w:iCs w:val="false"/>
          <w:sz w:val="22"/>
          <w:szCs w:val="22"/>
        </w:rPr>
        <w:t xml:space="preserve">Surveillance audit: </w:t>
      </w:r>
      <w:r>
        <w:rPr>
          <w:rFonts w:ascii="Calibri" w:cs="Calibri" w:eastAsia="Calibri" w:hAnsi="Calibri"/>
          <w:b w:val="false"/>
          <w:bCs w:val="false"/>
          <w:i w:val="false"/>
          <w:iCs w:val="false"/>
          <w:sz w:val="22"/>
          <w:szCs w:val="22"/>
        </w:rPr>
        <w:t xml:space="preserve">A shorter annual audit during the 3-year certificate cycle, checking the ISMS remains effective using a sample of clauses/controls.</w:t>
      </w:r>
    </w:p>
    <w:p>
      <w:pPr>
        <w:spacing w:after="160" w:line="276"/>
      </w:pPr>
      <w:r>
        <w:rPr>
          <w:rFonts w:ascii="Calibri" w:cs="Calibri" w:eastAsia="Calibri" w:hAnsi="Calibri"/>
          <w:b/>
          <w:bCs/>
          <w:i w:val="false"/>
          <w:iCs w:val="false"/>
          <w:sz w:val="22"/>
          <w:szCs w:val="22"/>
        </w:rPr>
        <w:t xml:space="preserve">Recertification audit: </w:t>
      </w:r>
      <w:r>
        <w:rPr>
          <w:rFonts w:ascii="Calibri" w:cs="Calibri" w:eastAsia="Calibri" w:hAnsi="Calibri"/>
          <w:b w:val="false"/>
          <w:bCs w:val="false"/>
          <w:i w:val="false"/>
          <w:iCs w:val="false"/>
          <w:sz w:val="22"/>
          <w:szCs w:val="22"/>
        </w:rPr>
        <w:t xml:space="preserve">A full re-assessment conducted before the 3-year certificate expires.</w:t>
      </w:r>
    </w:p>
    <w:p>
      <w:pPr>
        <w:spacing w:after="160" w:line="276"/>
      </w:pPr>
      <w:r>
        <w:rPr>
          <w:rFonts w:ascii="Calibri" w:cs="Calibri" w:eastAsia="Calibri" w:hAnsi="Calibri"/>
          <w:b/>
          <w:bCs/>
          <w:i w:val="false"/>
          <w:iCs w:val="false"/>
          <w:sz w:val="22"/>
          <w:szCs w:val="22"/>
        </w:rPr>
        <w:t xml:space="preserve">Corrective Action Plan (CAP): </w:t>
      </w:r>
      <w:r>
        <w:rPr>
          <w:rFonts w:ascii="Calibri" w:cs="Calibri" w:eastAsia="Calibri" w:hAnsi="Calibri"/>
          <w:b w:val="false"/>
          <w:bCs w:val="false"/>
          <w:i w:val="false"/>
          <w:iCs w:val="false"/>
          <w:sz w:val="22"/>
          <w:szCs w:val="22"/>
        </w:rPr>
        <w:t xml:space="preserve">The auditee's documented correction, root cause analysis and preventive action in response to a nonconformity, tracked to verified closure.</w:t>
      </w:r>
    </w:p>
    <w:p>
      <w:pPr>
        <w:spacing w:after="160" w:line="276"/>
      </w:pPr>
      <w:r>
        <w:rPr>
          <w:rFonts w:ascii="Calibri" w:cs="Calibri" w:eastAsia="Calibri" w:hAnsi="Calibri"/>
          <w:b/>
          <w:bCs/>
          <w:i w:val="false"/>
          <w:iCs w:val="false"/>
          <w:sz w:val="22"/>
          <w:szCs w:val="22"/>
        </w:rPr>
        <w:t xml:space="preserve">ISO/IEC 27002: </w:t>
      </w:r>
      <w:r>
        <w:rPr>
          <w:rFonts w:ascii="Calibri" w:cs="Calibri" w:eastAsia="Calibri" w:hAnsi="Calibri"/>
          <w:b w:val="false"/>
          <w:bCs w:val="false"/>
          <w:i w:val="false"/>
          <w:iCs w:val="false"/>
          <w:sz w:val="22"/>
          <w:szCs w:val="22"/>
        </w:rPr>
        <w:t xml:space="preserve">The companion standard to ISO/IEC 27001, giving detailed implementation guidance for each Annex A control. Published separately (not as an annex within 27001 itself) and updated alongside it in 2022.</w:t>
      </w:r>
    </w:p>
    <w:p>
      <w:pPr>
        <w:spacing w:after="160" w:line="276"/>
      </w:pPr>
      <w:r>
        <w:rPr>
          <w:rFonts w:ascii="Calibri" w:cs="Calibri" w:eastAsia="Calibri" w:hAnsi="Calibri"/>
          <w:b/>
          <w:bCs/>
          <w:i w:val="false"/>
          <w:iCs w:val="false"/>
          <w:sz w:val="22"/>
          <w:szCs w:val="22"/>
        </w:rPr>
        <w:t xml:space="preserve">ISO/IEC 27006: </w:t>
      </w:r>
      <w:r>
        <w:rPr>
          <w:rFonts w:ascii="Calibri" w:cs="Calibri" w:eastAsia="Calibri" w:hAnsi="Calibri"/>
          <w:b w:val="false"/>
          <w:bCs w:val="false"/>
          <w:i w:val="false"/>
          <w:iCs w:val="false"/>
          <w:sz w:val="22"/>
          <w:szCs w:val="22"/>
        </w:rPr>
        <w:t xml:space="preserve">The standard specifying requirements for bodies providing audit and certification of information security management systems — i.e. the rulebook that accredits and governs certification bodies themselves.</w:t>
      </w:r>
    </w:p>
    <w:p>
      <w:r>
        <w:br w:type="page"/>
      </w:r>
    </w:p>
    <w:p>
      <w:pPr>
        <w:pStyle w:val="Heading1"/>
        <w:spacing w:after="200" w:before="400"/>
      </w:pPr>
      <w:r>
        <w:t xml:space="preserve">Appendix A: Quick Reference – Clauses 4–10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8600"/>
      </w:tblGrid>
      <w:tr>
        <w:trPr>
          <w:cantSplit/>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Clause</w:t>
            </w:r>
          </w:p>
        </w:tc>
        <w:tc>
          <w:tcPr>
            <w:tcW w:type="dxa" w:w="8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Title</w:t>
            </w:r>
          </w:p>
        </w:tc>
      </w:tr>
      <w:tr>
        <w:trPr>
          <w:cantSplit/>
        </w:trP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8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Context of the Organization</w:t>
            </w:r>
          </w:p>
        </w:tc>
      </w:tr>
      <w:tr>
        <w:trPr>
          <w:cantSplit/>
        </w:trP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8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Leadership</w:t>
            </w:r>
          </w:p>
        </w:tc>
      </w:tr>
      <w:tr>
        <w:trPr>
          <w:cantSplit/>
        </w:trP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8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Planning</w:t>
            </w:r>
          </w:p>
        </w:tc>
      </w:tr>
      <w:tr>
        <w:trPr>
          <w:cantSplit/>
        </w:trP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8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w:t>
            </w:r>
          </w:p>
        </w:tc>
      </w:tr>
      <w:tr>
        <w:trPr>
          <w:cantSplit/>
        </w:trP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8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Operation</w:t>
            </w:r>
          </w:p>
        </w:tc>
      </w:tr>
      <w:tr>
        <w:trPr>
          <w:cantSplit/>
        </w:trP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8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Performance Evaluation</w:t>
            </w:r>
          </w:p>
        </w:tc>
      </w:tr>
      <w:tr>
        <w:trPr>
          <w:cantSplit/>
        </w:trP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w:t>
            </w:r>
          </w:p>
        </w:tc>
        <w:tc>
          <w:tcPr>
            <w:tcW w:type="dxa" w:w="8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Improvement</w:t>
            </w:r>
          </w:p>
        </w:tc>
      </w:tr>
    </w:tbl>
    <w:p>
      <w:r>
        <w:br w:type="page"/>
      </w:r>
    </w:p>
    <w:p>
      <w:pPr>
        <w:pStyle w:val="Heading1"/>
        <w:spacing w:after="200" w:before="400"/>
      </w:pPr>
      <w:r>
        <w:t xml:space="preserve">Appendix B: Quick Reference – All 93 Annex A Controls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3800"/>
      </w:tblGrid>
      <w:tr>
        <w:trPr>
          <w:cantSplit/>
          <w:tblHeader/>
        </w:trPr>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Control</w:t>
            </w:r>
          </w:p>
        </w:tc>
        <w:tc>
          <w:tcPr>
            <w:tcW w:type="dxa" w:w="4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Title</w:t>
            </w:r>
          </w:p>
        </w:tc>
        <w:tc>
          <w:tcPr>
            <w:tcW w:type="dxa" w:w="3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Theme</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for information security</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security roles and responsibilities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Segregation of duties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A.5.4</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Management responsibilities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A.5.5</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Contact with authorities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A.5.6</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Contact with special interest groups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A.5.7</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Threat intelligence</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A.5.8</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security in project management</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A.5.9</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Inventory of information and other associated assets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A.5.10</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Acceptable use of information and other associated assets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A.5.11</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Return of assets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A.5.12</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Classification of information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A.5.13</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Labelling of information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A.5.14</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transfer</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A.5.15</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Access control</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A.5.16</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Identity management</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A.5.17</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Authentication information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A.5.18</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Access rights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A.5.19</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security in supplier relationships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A.5.20</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Addressing information security within supplier agreements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A.5.21</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Managing information security in the ICT supply chain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A.5.22</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Monitoring, review and change management of supplier services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A.5.23</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security for use of cloud services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A.5.24</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security incident management planning and preparation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A.5.25</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Assessment and decision on information security events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A.5.26</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Response to information security incidents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A.5.27</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Learning from information security incidents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A.5.28</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Collection of evidence</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A.5.29</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security during disruption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A.5.30</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ICT readiness for business continuity</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A.5.31</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Legal, statutory, regulatory and contractual requirements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A.5.32</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Intellectual property rights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A.5.33</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Protection of records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A.5.34</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Privacy and protection of PII</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A.5.35</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Independent review of information security</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A.5.36</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Compliance with policies, rules and standards for information security</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A.5.37</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Documented operating procedures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A.5 Organizational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A.6.1</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Screening</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 People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Terms and conditions of employment</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 People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security awareness, education and training</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 People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Disciplinary process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 People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A.6.5</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Responsibilities after termination or change of employment</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 People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A.6.6</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Confidentiality or non-disclosure agreements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 People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A.6.7</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Remote working</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 People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A.6.8</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security event reporting</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A.6 People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A.7.1</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Physical security perimeters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Physical entry</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Securing offices, rooms and facilities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Physical security monitoring</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A.7.5</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Protecting against physical and environmental threats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A.7.6</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Working in secure areas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A.7.7</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Clear desk and clear screen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A.7.8</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Equipment siting and protection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A.7.9</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 of assets off-premises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A.7.10</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Storage media</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A.7.11</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Supporting utilities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A.7.12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Cabling security</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A.7.13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Equipment maintenance</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A.7.14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Secure disposal or re-use of equipment</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A.7 Physical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 endpoint devices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Privileged access rights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access restriction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Access to source code</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A.8.5</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Secure authentication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A.8.6</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Capacity management</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A.8.7</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Protection against malware</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A.8.8</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Management of technical vulnerabilities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A.8.9</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Configuration management</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A.8.10</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deletion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A.8.11</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masking</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leakage prevention</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backup</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Redundancy of information processing facilities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A.8.15</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Logging</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A.8.16</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Monitoring activities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A.8.17</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Clock synchronisation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A.8.18</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 of privileged utility programs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A.8.19</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Installation of software on operational systems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A.8.20</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Networks security</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A.8.21</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 of network services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Segregation of networks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Web filtering</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 of cryptography</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A.8.25</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Secure development life cycle</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A.8.26</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Application security requirements</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A.8.27</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Secure system architecture and engineering principles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A.8.28</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Secure coding</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A.8.29</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 testing in development and acceptance</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A.8.30</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Outsourced development</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A.8.31</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Separation of development, test and production environments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A.8.32</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Change management</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A.8.33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 information</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A.8.34</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Protection of information systems during audit testing</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A.8 Technological controls</w:t>
            </w:r>
          </w:p>
        </w:tc>
      </w:tr>
    </w:tbl>
    <w:p>
      <w:r>
        <w:br w:type="page"/>
      </w:r>
    </w:p>
    <w:p>
      <w:pPr>
        <w:pStyle w:val="Heading1"/>
        <w:spacing w:after="200" w:before="400"/>
      </w:pPr>
      <w:r>
        <w:t xml:space="preserve">Sources &amp; Further Reading</w:t>
      </w:r>
    </w:p>
    <w:p>
      <w:pPr>
        <w:spacing w:after="160" w:line="276"/>
      </w:pPr>
      <w:r>
        <w:rPr>
          <w:rFonts w:ascii="Calibri" w:cs="Calibri" w:eastAsia="Calibri" w:hAnsi="Calibri"/>
          <w:sz w:val="22"/>
          <w:szCs w:val="22"/>
        </w:rPr>
        <w:t xml:space="preserve">This handbook synthesizes publicly available secondary guidance on ISO/IEC 27001:2022 and general ISO management-system auditing practice (ISO 19011). For authoritative, purchasable primary text, consult ISO directly. Key sources consulted:</w:t>
      </w:r>
    </w:p>
    <w:p>
      <w:pPr>
        <w:pStyle w:val="ListParagraph"/>
        <w:numPr>
          <w:ilvl w:val="0"/>
          <w:numId w:val="2"/>
        </w:numPr>
        <w:spacing w:after="100"/>
      </w:pPr>
      <w:r>
        <w:rPr>
          <w:rFonts w:ascii="Calibri" w:cs="Calibri" w:eastAsia="Calibri" w:hAnsi="Calibri"/>
          <w:sz w:val="22"/>
          <w:szCs w:val="22"/>
        </w:rPr>
        <w:t xml:space="preserve">ISO/IEC 27001:2022 – Information security, cybersecurity and privacy protection – Information security management systems – Requirements – iso.org/standard/27001</w:t>
      </w:r>
    </w:p>
    <w:p>
      <w:pPr>
        <w:pStyle w:val="ListParagraph"/>
        <w:numPr>
          <w:ilvl w:val="0"/>
          <w:numId w:val="2"/>
        </w:numPr>
        <w:spacing w:after="100"/>
      </w:pPr>
      <w:r>
        <w:rPr>
          <w:rFonts w:ascii="Calibri" w:cs="Calibri" w:eastAsia="Calibri" w:hAnsi="Calibri"/>
          <w:sz w:val="22"/>
          <w:szCs w:val="22"/>
        </w:rPr>
        <w:t xml:space="preserve">Secureframe – ISO 27001 Clauses: A Guide to Clauses 4-10 – secureframe.com/hub/iso-27001/clauses</w:t>
      </w:r>
    </w:p>
    <w:p>
      <w:pPr>
        <w:pStyle w:val="ListParagraph"/>
        <w:numPr>
          <w:ilvl w:val="0"/>
          <w:numId w:val="2"/>
        </w:numPr>
        <w:spacing w:after="100"/>
      </w:pPr>
      <w:r>
        <w:rPr>
          <w:rFonts w:ascii="Calibri" w:cs="Calibri" w:eastAsia="Calibri" w:hAnsi="Calibri"/>
          <w:sz w:val="22"/>
          <w:szCs w:val="22"/>
        </w:rPr>
        <w:t xml:space="preserve">Drata – ISO 27001 Annex A Controls Explained – drata.com/learn/iso-27001/controls-annex-a</w:t>
      </w:r>
    </w:p>
    <w:p>
      <w:pPr>
        <w:pStyle w:val="ListParagraph"/>
        <w:numPr>
          <w:ilvl w:val="0"/>
          <w:numId w:val="2"/>
        </w:numPr>
        <w:spacing w:after="100"/>
      </w:pPr>
      <w:r>
        <w:rPr>
          <w:rFonts w:ascii="Calibri" w:cs="Calibri" w:eastAsia="Calibri" w:hAnsi="Calibri"/>
          <w:sz w:val="22"/>
          <w:szCs w:val="22"/>
        </w:rPr>
        <w:t xml:space="preserve">GAICC – ISO 27001 Annex A Controls List – gaicc.org/blog/iso-27001-annex-a-controls-list</w:t>
      </w:r>
    </w:p>
    <w:p>
      <w:pPr>
        <w:pStyle w:val="ListParagraph"/>
        <w:numPr>
          <w:ilvl w:val="0"/>
          <w:numId w:val="2"/>
        </w:numPr>
        <w:spacing w:after="100"/>
      </w:pPr>
      <w:r>
        <w:rPr>
          <w:rFonts w:ascii="Calibri" w:cs="Calibri" w:eastAsia="Calibri" w:hAnsi="Calibri"/>
          <w:sz w:val="22"/>
          <w:szCs w:val="22"/>
        </w:rPr>
        <w:t xml:space="preserve">ConsultantsLikeUs – ISO 27001:2022 Annex A: All 93 Controls (reference PDF) – consultantslikeus.co.uk</w:t>
      </w:r>
    </w:p>
    <w:p>
      <w:pPr>
        <w:pStyle w:val="ListParagraph"/>
        <w:numPr>
          <w:ilvl w:val="0"/>
          <w:numId w:val="2"/>
        </w:numPr>
        <w:spacing w:after="100"/>
      </w:pPr>
      <w:r>
        <w:rPr>
          <w:rFonts w:ascii="Calibri" w:cs="Calibri" w:eastAsia="Calibri" w:hAnsi="Calibri"/>
          <w:sz w:val="22"/>
          <w:szCs w:val="22"/>
        </w:rPr>
        <w:t xml:space="preserve">ISO27001security.com – The unofficial ISO 27001/27002 information security management standards FAQ – iso27001security.com</w:t>
      </w:r>
    </w:p>
    <w:p>
      <w:pPr>
        <w:pStyle w:val="ListParagraph"/>
        <w:numPr>
          <w:ilvl w:val="0"/>
          <w:numId w:val="2"/>
        </w:numPr>
        <w:spacing w:after="100"/>
      </w:pPr>
      <w:r>
        <w:rPr>
          <w:rFonts w:ascii="Calibri" w:cs="Calibri" w:eastAsia="Calibri" w:hAnsi="Calibri"/>
          <w:sz w:val="22"/>
          <w:szCs w:val="22"/>
        </w:rPr>
        <w:t xml:space="preserve">Hightable.io – ISO 27001:2013 vs 2022: What's Changed – hightable.io</w:t>
      </w:r>
    </w:p>
    <w:p>
      <w:pPr>
        <w:pStyle w:val="ListParagraph"/>
        <w:numPr>
          <w:ilvl w:val="0"/>
          <w:numId w:val="2"/>
        </w:numPr>
        <w:spacing w:after="100"/>
      </w:pPr>
      <w:r>
        <w:rPr>
          <w:rFonts w:ascii="Calibri" w:cs="Calibri" w:eastAsia="Calibri" w:hAnsi="Calibri"/>
          <w:sz w:val="22"/>
          <w:szCs w:val="22"/>
        </w:rPr>
        <w:t xml:space="preserve">ISOQAR – The ISO 27001 Certification Audit Process – isoqar.com</w:t>
      </w:r>
    </w:p>
    <w:p>
      <w:pPr>
        <w:pStyle w:val="ListParagraph"/>
        <w:numPr>
          <w:ilvl w:val="0"/>
          <w:numId w:val="2"/>
        </w:numPr>
        <w:spacing w:after="100"/>
      </w:pPr>
      <w:r>
        <w:rPr>
          <w:rFonts w:ascii="Calibri" w:cs="Calibri" w:eastAsia="Calibri" w:hAnsi="Calibri"/>
          <w:sz w:val="22"/>
          <w:szCs w:val="22"/>
        </w:rPr>
        <w:t xml:space="preserve">NQA / SGS – ISO 27001 Certification Process Explained – nqa.com / sgs.com</w:t>
      </w:r>
    </w:p>
    <w:p>
      <w:pPr>
        <w:pStyle w:val="ListParagraph"/>
        <w:numPr>
          <w:ilvl w:val="0"/>
          <w:numId w:val="2"/>
        </w:numPr>
        <w:spacing w:after="100"/>
      </w:pPr>
      <w:r>
        <w:rPr>
          <w:rFonts w:ascii="Calibri" w:cs="Calibri" w:eastAsia="Calibri" w:hAnsi="Calibri"/>
          <w:sz w:val="22"/>
          <w:szCs w:val="22"/>
        </w:rPr>
        <w:t xml:space="preserve">Advisera – Statement of Applicability (SoA) for ISO 27001 – advisera.com</w:t>
      </w:r>
    </w:p>
    <w:p>
      <w:pPr>
        <w:pStyle w:val="ListParagraph"/>
        <w:numPr>
          <w:ilvl w:val="0"/>
          <w:numId w:val="2"/>
        </w:numPr>
        <w:spacing w:after="100"/>
      </w:pPr>
      <w:r>
        <w:rPr>
          <w:rFonts w:ascii="Calibri" w:cs="Calibri" w:eastAsia="Calibri" w:hAnsi="Calibri"/>
          <w:sz w:val="22"/>
          <w:szCs w:val="22"/>
        </w:rPr>
        <w:t xml:space="preserve">A-LIGN – ISO 27001:2013 to 2022 Transition Guide – a-lign.com</w:t>
      </w:r>
    </w:p>
    <w:p>
      <w:pPr>
        <w:spacing w:after="120"/>
      </w:pPr>
    </w:p>
    <w:p>
      <w:pPr>
        <w:spacing w:after="160" w:line="276"/>
      </w:pPr>
      <w:r>
        <w:rPr>
          <w:rFonts w:ascii="Calibri" w:cs="Calibri" w:eastAsia="Calibri" w:hAnsi="Calibri"/>
          <w:sz w:val="22"/>
          <w:szCs w:val="22"/>
        </w:rPr>
        <w:t xml:space="preserve">Note: Annex A control numbering/titles are reproduced here in summarized, plain-language form for training purposes based on secondary industry sources; always verify against the official ISO/IEC 27001:2022 text (available for purchase from iso.org) before relying on it for a live certification decision.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ISO/IEC 27001 Audit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20" w:before="240"/>
    </w:pPr>
    <w:rPr>
      <w:rFonts w:ascii="Calibri" w:cs="Calibri" w:eastAsia="Calibri" w:hAnsi="Calibri"/>
      <w:b/>
      <w:bCs/>
      <w:color w:val="59595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2026-08-13T15:26:31.042Z</dcterms:created>
  <dcterms:modified xsi:type="dcterms:W3CDTF">2026-08-13T15:26:31.042Z</dcterms:modified>
</cp:coreProperties>
</file>

<file path=docProps/custom.xml><?xml version="1.0" encoding="utf-8"?>
<Properties xmlns="http://schemas.openxmlformats.org/officeDocument/2006/custom-properties" xmlns:vt="http://schemas.openxmlformats.org/officeDocument/2006/docPropsVTypes"/>
</file>