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56"/>
          <w:szCs w:val="56"/>
        </w:rPr>
        <w:t xml:space="preserve">ISO/IEC 42001 AUDIT HANDBOOK</w:t>
      </w:r>
    </w:p>
    <w:p>
      <w:pPr>
        <w:spacing w:after="300" w:before="300"/>
        <w:jc w:val="center"/>
      </w:pPr>
      <w:r>
        <w:rPr>
          <w:rFonts w:ascii="Calibri" w:cs="Calibri" w:eastAsia="Calibri" w:hAnsi="Calibri"/>
          <w:color w:val="2E5395"/>
          <w:sz w:val="30"/>
          <w:szCs w:val="30"/>
        </w:rPr>
        <w:t xml:space="preserve">A Beginner's Step-by-Step Guide to Auditing an AI Management System</w:t>
      </w:r>
    </w:p>
    <w:p>
      <w:pPr>
        <w:spacing w:before="200"/>
        <w:jc w:val="center"/>
      </w:pPr>
      <w:r>
        <w:rPr>
          <w:rFonts w:ascii="Calibri" w:cs="Calibri" w:eastAsia="Calibri" w:hAnsi="Calibri"/>
          <w:i/>
          <w:iCs/>
          <w:color w:val="595959"/>
          <w:sz w:val="24"/>
          <w:szCs w:val="24"/>
        </w:rPr>
        <w:t xml:space="preserve">For new risk &amp; audit professionals conducting or preparing for third-party ISO/IEC 42001:2023 certification audits</w:t>
      </w:r>
    </w:p>
    <w:p>
      <w:pPr>
        <w:spacing w:before="800"/>
        <w:jc w:val="center"/>
      </w:pPr>
      <w:r>
        <w:rPr>
          <w:rFonts w:ascii="Calibri" w:cs="Calibri" w:eastAsia="Calibri" w:hAnsi="Calibri"/>
          <w:color w:val="595959"/>
          <w:sz w:val="22"/>
          <w:szCs w:val="22"/>
        </w:rPr>
        <w:t xml:space="preserve">Companion to: ISO 42001 Audit Toolkit.xlsx</w:t>
      </w:r>
    </w:p>
    <w:p>
      <w:pPr>
        <w:spacing w:before="4000"/>
        <w:jc w:val="center"/>
      </w:pPr>
      <w:r>
        <w:rPr>
          <w:rFonts w:ascii="Calibri" w:cs="Calibri" w:eastAsia="Calibri" w:hAnsi="Calibri"/>
          <w:color w:val="595959"/>
          <w:sz w:val="20"/>
          <w:szCs w:val="20"/>
        </w:rPr>
        <w:t xml:space="preserve">Prepared August 2026</w:t>
      </w:r>
    </w:p>
    <w:p>
      <w:r>
        <w:br w:type="page"/>
      </w:r>
    </w:p>
    <w:p>
      <w:pPr>
        <w:pStyle w:val="Heading1"/>
        <w:spacing w:after="200" w:before="400"/>
      </w:pPr>
      <w:r>
        <w:t xml:space="preserve">Table of Contents</w:t>
      </w:r>
    </w:p>
    <w:p>
      <w:pPr>
        <w:spacing w:after="200"/>
      </w:pPr>
      <w:r>
        <w:rPr>
          <w:rFonts w:ascii="Calibri" w:cs="Calibri" w:eastAsia="Calibri" w:hAnsi="Calibri"/>
          <w:i/>
          <w:iCs/>
          <w:color w:val="595959"/>
          <w:sz w:val="20"/>
          <w:szCs w:val="20"/>
        </w:rPr>
        <w:t xml:space="preserve">(In Word, right-click below and choose "Update Field" — or press Ctrl+A then F9 — to populate this table of contents with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How to Use This Handbook</w:t>
      </w:r>
    </w:p>
    <w:p>
      <w:pPr>
        <w:spacing w:after="160" w:line="276"/>
      </w:pPr>
      <w:r>
        <w:rPr>
          <w:rFonts w:ascii="Calibri" w:cs="Calibri" w:eastAsia="Calibri" w:hAnsi="Calibri"/>
          <w:sz w:val="22"/>
          <w:szCs w:val="22"/>
        </w:rPr>
        <w:t xml:space="preserve">This handbook is written for someone who is new to both risk/audit work and to ISO/IEC 42001. It assumes no prior auditing background and builds up from first principles to a full, repeatable audit process.</w:t>
      </w:r>
    </w:p>
    <w:p>
      <w:pPr>
        <w:spacing w:after="160" w:line="276"/>
      </w:pPr>
      <w:r>
        <w:rPr>
          <w:rFonts w:ascii="Calibri" w:cs="Calibri" w:eastAsia="Calibri" w:hAnsi="Calibri"/>
          <w:sz w:val="22"/>
          <w:szCs w:val="22"/>
        </w:rPr>
        <w:t xml:space="preserve">It is organized in five parts:</w:t>
      </w:r>
    </w:p>
    <w:p>
      <w:pPr>
        <w:pStyle w:val="ListParagraph"/>
        <w:numPr>
          <w:ilvl w:val="0"/>
          <w:numId w:val="2"/>
        </w:numPr>
        <w:spacing w:after="100"/>
      </w:pPr>
      <w:r>
        <w:rPr>
          <w:rFonts w:ascii="Calibri" w:cs="Calibri" w:eastAsia="Calibri" w:hAnsi="Calibri"/>
          <w:sz w:val="22"/>
          <w:szCs w:val="22"/>
        </w:rPr>
        <w:t xml:space="preserve">Part One – Auditing fundamentals: what an audit is, key terminology, and the auditor's code of conduct.</w:t>
      </w:r>
    </w:p>
    <w:p>
      <w:pPr>
        <w:pStyle w:val="ListParagraph"/>
        <w:numPr>
          <w:ilvl w:val="0"/>
          <w:numId w:val="2"/>
        </w:numPr>
        <w:spacing w:after="100"/>
      </w:pPr>
      <w:r>
        <w:rPr>
          <w:rFonts w:ascii="Calibri" w:cs="Calibri" w:eastAsia="Calibri" w:hAnsi="Calibri"/>
          <w:sz w:val="22"/>
          <w:szCs w:val="22"/>
        </w:rPr>
        <w:t xml:space="preserve">Part Two – Understanding ISO/IEC 42001: the structure of an AI Management System (AIMS), explained clause by clause and control by control.</w:t>
      </w:r>
    </w:p>
    <w:p>
      <w:pPr>
        <w:pStyle w:val="ListParagraph"/>
        <w:numPr>
          <w:ilvl w:val="0"/>
          <w:numId w:val="2"/>
        </w:numPr>
        <w:spacing w:after="100"/>
      </w:pPr>
      <w:r>
        <w:rPr>
          <w:rFonts w:ascii="Calibri" w:cs="Calibri" w:eastAsia="Calibri" w:hAnsi="Calibri"/>
          <w:sz w:val="22"/>
          <w:szCs w:val="22"/>
        </w:rPr>
        <w:t xml:space="preserve">Part Three – The certification audit journey end to end, from application through to recertification.</w:t>
      </w:r>
    </w:p>
    <w:p>
      <w:pPr>
        <w:pStyle w:val="ListParagraph"/>
        <w:numPr>
          <w:ilvl w:val="0"/>
          <w:numId w:val="2"/>
        </w:numPr>
        <w:spacing w:after="100"/>
      </w:pPr>
      <w:r>
        <w:rPr>
          <w:rFonts w:ascii="Calibri" w:cs="Calibri" w:eastAsia="Calibri" w:hAnsi="Calibri"/>
          <w:sz w:val="22"/>
          <w:szCs w:val="22"/>
        </w:rPr>
        <w:t xml:space="preserve">Part Four – Twelve step-by-step walkthroughs, each tied to a fillable template in the companion Excel workbook, “ISO 42001 Audit Toolkit.xlsx.”</w:t>
      </w:r>
    </w:p>
    <w:p>
      <w:pPr>
        <w:pStyle w:val="ListParagraph"/>
        <w:numPr>
          <w:ilvl w:val="0"/>
          <w:numId w:val="2"/>
        </w:numPr>
        <w:spacing w:after="100"/>
      </w:pPr>
      <w:r>
        <w:rPr>
          <w:rFonts w:ascii="Calibri" w:cs="Calibri" w:eastAsia="Calibri" w:hAnsi="Calibri"/>
          <w:sz w:val="22"/>
          <w:szCs w:val="22"/>
        </w:rPr>
        <w:t xml:space="preserve">Part Five – How to reuse and mature the toolkit across future audits.</w:t>
      </w:r>
    </w:p>
    <w:p>
      <w:pPr>
        <w:spacing w:after="160" w:line="276"/>
      </w:pPr>
      <w:r>
        <w:rPr>
          <w:rFonts w:ascii="Calibri" w:cs="Calibri" w:eastAsia="Calibri" w:hAnsi="Calibri"/>
          <w:sz w:val="22"/>
          <w:szCs w:val="22"/>
        </w:rPr>
        <w:t xml:space="preserve">Throughout Part Four you will see boxes like the one below — they tell you exactly which tab of the companion workbook to have open.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Example: "Open 'Template 1 - Audit Program' in the ISO 42001 Audit Toolkit workbook."</w:t>
            </w:r>
          </w:p>
        </w:tc>
      </w:tr>
    </w:tbl>
    <w:p>
      <w:pPr>
        <w:spacing w:after="120"/>
      </w:pPr>
    </w:p>
    <w:p>
      <w:pPr>
        <w:spacing w:after="160" w:line="276"/>
      </w:pPr>
      <w:r>
        <w:rPr>
          <w:rFonts w:ascii="Calibri" w:cs="Calibri" w:eastAsia="Calibri" w:hAnsi="Calibri"/>
          <w:sz w:val="22"/>
          <w:szCs w:val="22"/>
        </w:rPr>
        <w:t xml:space="preserve">This handbook focuses on third-party (certification body) audits, since that develops the full skill set. Everything here also applies directly to internal (first-party) audits and to supplier/second-party AI audits — the process is the same; only who commissions the audit and what happens with the result differs.</w:t>
      </w:r>
    </w:p>
    <w:p>
      <w:pPr>
        <w:pStyle w:val="Heading1"/>
        <w:spacing w:after="200" w:before="400"/>
      </w:pPr>
      <w:r>
        <w:t xml:space="preserve">Part One – Auditing Fundamentals</w:t>
      </w:r>
    </w:p>
    <w:p>
      <w:pPr>
        <w:pStyle w:val="Heading2"/>
        <w:spacing w:after="150" w:before="300"/>
      </w:pPr>
      <w:r>
        <w:t xml:space="preserve">1.1 What an Audit Actually Is</w:t>
      </w:r>
    </w:p>
    <w:p>
      <w:pPr>
        <w:spacing w:after="160" w:line="276"/>
      </w:pPr>
      <w:r>
        <w:rPr>
          <w:rFonts w:ascii="Calibri" w:cs="Calibri" w:eastAsia="Calibri" w:hAnsi="Calibri"/>
          <w:sz w:val="22"/>
          <w:szCs w:val="22"/>
        </w:rPr>
        <w:t xml:space="preserve">ISO 19011 (the international guideline for auditing management systems) defines an audit as a “systematic, independent and documented process for obtaining objective evidence and evaluating it objectively to determine the extent to which the audit criteria are fulfilled.” Unpack that sentence and you have the whole job:</w:t>
      </w:r>
    </w:p>
    <w:p>
      <w:pPr>
        <w:pStyle w:val="ListParagraph"/>
        <w:numPr>
          <w:ilvl w:val="0"/>
          <w:numId w:val="2"/>
        </w:numPr>
        <w:spacing w:after="100"/>
      </w:pPr>
      <w:r>
        <w:rPr>
          <w:rFonts w:ascii="Calibri" w:cs="Calibri" w:eastAsia="Calibri" w:hAnsi="Calibri"/>
          <w:sz w:val="22"/>
          <w:szCs w:val="22"/>
        </w:rPr>
        <w:t xml:space="preserve">Systematic – you follow a planned process, not an ad-hoc conversation.</w:t>
      </w:r>
    </w:p>
    <w:p>
      <w:pPr>
        <w:pStyle w:val="ListParagraph"/>
        <w:numPr>
          <w:ilvl w:val="0"/>
          <w:numId w:val="2"/>
        </w:numPr>
        <w:spacing w:after="100"/>
      </w:pPr>
      <w:r>
        <w:rPr>
          <w:rFonts w:ascii="Calibri" w:cs="Calibri" w:eastAsia="Calibri" w:hAnsi="Calibri"/>
          <w:sz w:val="22"/>
          <w:szCs w:val="22"/>
        </w:rPr>
        <w:t xml:space="preserve">Independent – you have no stake in the outcome and no responsibility for the thing you're auditing.</w:t>
      </w:r>
    </w:p>
    <w:p>
      <w:pPr>
        <w:pStyle w:val="ListParagraph"/>
        <w:numPr>
          <w:ilvl w:val="0"/>
          <w:numId w:val="2"/>
        </w:numPr>
        <w:spacing w:after="100"/>
      </w:pPr>
      <w:r>
        <w:rPr>
          <w:rFonts w:ascii="Calibri" w:cs="Calibri" w:eastAsia="Calibri" w:hAnsi="Calibri"/>
          <w:sz w:val="22"/>
          <w:szCs w:val="22"/>
        </w:rPr>
        <w:t xml:space="preserve">Documented – every step and conclusion is recorded and traceable.</w:t>
      </w:r>
    </w:p>
    <w:p>
      <w:pPr>
        <w:pStyle w:val="ListParagraph"/>
        <w:numPr>
          <w:ilvl w:val="0"/>
          <w:numId w:val="2"/>
        </w:numPr>
        <w:spacing w:after="100"/>
      </w:pPr>
      <w:r>
        <w:rPr>
          <w:rFonts w:ascii="Calibri" w:cs="Calibri" w:eastAsia="Calibri" w:hAnsi="Calibri"/>
          <w:sz w:val="22"/>
          <w:szCs w:val="22"/>
        </w:rPr>
        <w:t xml:space="preserve">Objective evidence – you look at facts (records, logs, observed behaviour), not assurances or opinions.</w:t>
      </w:r>
    </w:p>
    <w:p>
      <w:pPr>
        <w:pStyle w:val="ListParagraph"/>
        <w:numPr>
          <w:ilvl w:val="0"/>
          <w:numId w:val="2"/>
        </w:numPr>
        <w:spacing w:after="100"/>
      </w:pPr>
      <w:r>
        <w:rPr>
          <w:rFonts w:ascii="Calibri" w:cs="Calibri" w:eastAsia="Calibri" w:hAnsi="Calibri"/>
          <w:sz w:val="22"/>
          <w:szCs w:val="22"/>
        </w:rPr>
        <w:t xml:space="preserve">Audit criteria – you compare what you find against a defined reference: here, ISO/IEC 42001 plus the organization's own AIMS documentation.</w:t>
      </w:r>
    </w:p>
    <w:p>
      <w:pPr>
        <w:spacing w:after="160" w:line="276"/>
      </w:pPr>
      <w:r>
        <w:rPr>
          <w:rFonts w:ascii="Calibri" w:cs="Calibri" w:eastAsia="Calibri" w:hAnsi="Calibri"/>
          <w:sz w:val="22"/>
          <w:szCs w:val="22"/>
        </w:rPr>
        <w:t xml:space="preserve">An audit is not a consulting engagement, a witch hunt, or a test of individuals. You are testing whether a management system works — people are simply one source of evidence about that.</w:t>
      </w:r>
    </w:p>
    <w:p>
      <w:pPr>
        <w:pStyle w:val="Heading2"/>
        <w:spacing w:after="150" w:before="300"/>
      </w:pPr>
      <w:r>
        <w:t xml:space="preserve">1.2 First-, Second- and Third-Party Audits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4200"/>
      </w:tblGrid>
      <w:tr>
        <w:trPr>
          <w:cantSplit/>
          <w:tblHeader/>
        </w:trPr>
        <w:tc>
          <w:tcPr>
            <w:tcW w:type="dxa" w:w="3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Type</w:t>
            </w:r>
          </w:p>
        </w:tc>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Who audits whom</w:t>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Typical purpose</w:t>
            </w:r>
          </w:p>
        </w:tc>
      </w:tr>
      <w:tr>
        <w:trPr>
          <w:cantSplit/>
        </w:trP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First-party (internal)</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organization audits itself</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Maintain and improve its own AIMS; required by Clause 9.2 of ISO 42001 itself</w:t>
            </w:r>
          </w:p>
        </w:tc>
      </w:tr>
      <w:tr>
        <w:trPr>
          <w:cantSplit/>
        </w:trP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Second-party</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customer audits its supplier</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Due diligence before or during a commercial relationship involving AI</w:t>
            </w:r>
          </w:p>
        </w:tc>
      </w:tr>
      <w:tr>
        <w:trPr>
          <w:cantSplit/>
        </w:trP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Third-party (certification)</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 accredited, independent certification body audits the organization</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Issue and maintain a certificate of conformity to ISO/IEC 42001</w:t>
            </w:r>
          </w:p>
        </w:tc>
      </w:tr>
    </w:tbl>
    <w:p>
      <w:pPr>
        <w:spacing w:after="160" w:line="276"/>
      </w:pPr>
      <w:r>
        <w:rPr>
          <w:rFonts w:ascii="Calibri" w:cs="Calibri" w:eastAsia="Calibri" w:hAnsi="Calibri"/>
          <w:sz w:val="22"/>
          <w:szCs w:val="22"/>
        </w:rPr>
        <w:t xml:space="preserve">This handbook is written primarily from the third-party auditor's chair, because it is the most rigorous version of the job and every skill transfers downward to first- and second-party audits.</w:t>
      </w:r>
    </w:p>
    <w:p>
      <w:pPr>
        <w:pStyle w:val="Heading2"/>
        <w:spacing w:after="150" w:before="300"/>
      </w:pPr>
      <w:r>
        <w:t xml:space="preserve">1.3 Key Terms You Need Before You Start</w:t>
      </w:r>
    </w:p>
    <w:p>
      <w:pPr>
        <w:spacing w:after="160" w:line="276"/>
      </w:pPr>
      <w:r>
        <w:rPr>
          <w:rFonts w:ascii="Calibri" w:cs="Calibri" w:eastAsia="Calibri" w:hAnsi="Calibri"/>
          <w:b/>
          <w:bCs/>
          <w:i w:val="false"/>
          <w:iCs w:val="false"/>
          <w:sz w:val="22"/>
          <w:szCs w:val="22"/>
        </w:rPr>
        <w:t xml:space="preserve">AIMS: </w:t>
      </w:r>
      <w:r>
        <w:rPr>
          <w:rFonts w:ascii="Calibri" w:cs="Calibri" w:eastAsia="Calibri" w:hAnsi="Calibri"/>
          <w:b w:val="false"/>
          <w:bCs w:val="false"/>
          <w:i w:val="false"/>
          <w:iCs w:val="false"/>
          <w:sz w:val="22"/>
          <w:szCs w:val="22"/>
        </w:rPr>
        <w:t xml:space="preserve">AI Management System – the set of policies, processes, roles and controls an organization uses to govern its development, provision or use of AI, per ISO/IEC 42001.</w:t>
      </w:r>
    </w:p>
    <w:p>
      <w:pPr>
        <w:spacing w:after="160" w:line="276"/>
      </w:pPr>
      <w:r>
        <w:rPr>
          <w:rFonts w:ascii="Calibri" w:cs="Calibri" w:eastAsia="Calibri" w:hAnsi="Calibri"/>
          <w:b/>
          <w:bCs/>
          <w:i w:val="false"/>
          <w:iCs w:val="false"/>
          <w:sz w:val="22"/>
          <w:szCs w:val="22"/>
        </w:rPr>
        <w:t xml:space="preserve">Audit criteria: </w:t>
      </w:r>
      <w:r>
        <w:rPr>
          <w:rFonts w:ascii="Calibri" w:cs="Calibri" w:eastAsia="Calibri" w:hAnsi="Calibri"/>
          <w:b w:val="false"/>
          <w:bCs w:val="false"/>
          <w:i w:val="false"/>
          <w:iCs w:val="false"/>
          <w:sz w:val="22"/>
          <w:szCs w:val="22"/>
        </w:rPr>
        <w:t xml:space="preserve">The set of requirements used as a reference against which evidence is compared — for an ISO 42001 audit, this is the standard's clauses plus the organization's own AIMS documentation.</w:t>
      </w:r>
    </w:p>
    <w:p>
      <w:pPr>
        <w:spacing w:after="160" w:line="276"/>
      </w:pPr>
      <w:r>
        <w:rPr>
          <w:rFonts w:ascii="Calibri" w:cs="Calibri" w:eastAsia="Calibri" w:hAnsi="Calibri"/>
          <w:b/>
          <w:bCs/>
          <w:i w:val="false"/>
          <w:iCs w:val="false"/>
          <w:sz w:val="22"/>
          <w:szCs w:val="22"/>
        </w:rPr>
        <w:t xml:space="preserve">Audit evidence: </w:t>
      </w:r>
      <w:r>
        <w:rPr>
          <w:rFonts w:ascii="Calibri" w:cs="Calibri" w:eastAsia="Calibri" w:hAnsi="Calibri"/>
          <w:b w:val="false"/>
          <w:bCs w:val="false"/>
          <w:i w:val="false"/>
          <w:iCs w:val="false"/>
          <w:sz w:val="22"/>
          <w:szCs w:val="22"/>
        </w:rPr>
        <w:t xml:space="preserve">Records, statements of fact, or other verifiable information relevant to the audit criteria (ISO 19011). Must be objective, not opinion.</w:t>
      </w:r>
    </w:p>
    <w:p>
      <w:pPr>
        <w:spacing w:after="160" w:line="276"/>
      </w:pPr>
      <w:r>
        <w:rPr>
          <w:rFonts w:ascii="Calibri" w:cs="Calibri" w:eastAsia="Calibri" w:hAnsi="Calibri"/>
          <w:b/>
          <w:bCs/>
          <w:i w:val="false"/>
          <w:iCs w:val="false"/>
          <w:sz w:val="22"/>
          <w:szCs w:val="22"/>
        </w:rPr>
        <w:t xml:space="preserve">Audit finding: </w:t>
      </w:r>
      <w:r>
        <w:rPr>
          <w:rFonts w:ascii="Calibri" w:cs="Calibri" w:eastAsia="Calibri" w:hAnsi="Calibri"/>
          <w:b w:val="false"/>
          <w:bCs w:val="false"/>
          <w:i w:val="false"/>
          <w:iCs w:val="false"/>
          <w:sz w:val="22"/>
          <w:szCs w:val="22"/>
        </w:rPr>
        <w:t xml:space="preserve">The result of evaluating evidence against criteria: conformity, nonconformity, or an opportunity for improvement (OFI).</w:t>
      </w:r>
    </w:p>
    <w:p>
      <w:pPr>
        <w:spacing w:after="160" w:line="276"/>
      </w:pPr>
      <w:r>
        <w:rPr>
          <w:rFonts w:ascii="Calibri" w:cs="Calibri" w:eastAsia="Calibri" w:hAnsi="Calibri"/>
          <w:b/>
          <w:bCs/>
          <w:i w:val="false"/>
          <w:iCs w:val="false"/>
          <w:sz w:val="22"/>
          <w:szCs w:val="22"/>
        </w:rPr>
        <w:t xml:space="preserve">Nonconformity (NC): </w:t>
      </w:r>
      <w:r>
        <w:rPr>
          <w:rFonts w:ascii="Calibri" w:cs="Calibri" w:eastAsia="Calibri" w:hAnsi="Calibri"/>
          <w:b w:val="false"/>
          <w:bCs w:val="false"/>
          <w:i w:val="false"/>
          <w:iCs w:val="false"/>
          <w:sz w:val="22"/>
          <w:szCs w:val="22"/>
        </w:rPr>
        <w:t xml:space="preserve">Non-fulfilment of a requirement. Graded Major (systemic failure, absence of a required process, or a cluster of minors indicating breakdown) or Minor (an isolated lapse that does not indicate the process has failed).</w:t>
      </w:r>
    </w:p>
    <w:p>
      <w:pPr>
        <w:spacing w:after="160" w:line="276"/>
      </w:pPr>
      <w:r>
        <w:rPr>
          <w:rFonts w:ascii="Calibri" w:cs="Calibri" w:eastAsia="Calibri" w:hAnsi="Calibri"/>
          <w:b/>
          <w:bCs/>
          <w:i w:val="false"/>
          <w:iCs w:val="false"/>
          <w:sz w:val="22"/>
          <w:szCs w:val="22"/>
        </w:rPr>
        <w:t xml:space="preserve">Observation / OFI: </w:t>
      </w:r>
      <w:r>
        <w:rPr>
          <w:rFonts w:ascii="Calibri" w:cs="Calibri" w:eastAsia="Calibri" w:hAnsi="Calibri"/>
          <w:b w:val="false"/>
          <w:bCs w:val="false"/>
          <w:i w:val="false"/>
          <w:iCs w:val="false"/>
          <w:sz w:val="22"/>
          <w:szCs w:val="22"/>
        </w:rPr>
        <w:t xml:space="preserve">Not a nonconformity — a noted opportunity for improvement the auditee may choose to act on.</w:t>
      </w:r>
    </w:p>
    <w:p>
      <w:pPr>
        <w:spacing w:after="160" w:line="276"/>
      </w:pPr>
      <w:r>
        <w:rPr>
          <w:rFonts w:ascii="Calibri" w:cs="Calibri" w:eastAsia="Calibri" w:hAnsi="Calibri"/>
          <w:b/>
          <w:bCs/>
          <w:i w:val="false"/>
          <w:iCs w:val="false"/>
          <w:sz w:val="22"/>
          <w:szCs w:val="22"/>
        </w:rPr>
        <w:t xml:space="preserve">Objective evidence: </w:t>
      </w:r>
      <w:r>
        <w:rPr>
          <w:rFonts w:ascii="Calibri" w:cs="Calibri" w:eastAsia="Calibri" w:hAnsi="Calibri"/>
          <w:b w:val="false"/>
          <w:bCs w:val="false"/>
          <w:i w:val="false"/>
          <w:iCs w:val="false"/>
          <w:sz w:val="22"/>
          <w:szCs w:val="22"/>
        </w:rPr>
        <w:t xml:space="preserve">Data supporting the existence or truth of something, verifiable through observation, measurement, testing or other means — not the auditor's opinion or the auditee's assurance alone.</w:t>
      </w:r>
    </w:p>
    <w:p>
      <w:pPr>
        <w:spacing w:after="160" w:line="276"/>
      </w:pPr>
      <w:r>
        <w:rPr>
          <w:rFonts w:ascii="Calibri" w:cs="Calibri" w:eastAsia="Calibri" w:hAnsi="Calibri"/>
          <w:b/>
          <w:bCs/>
          <w:i w:val="false"/>
          <w:iCs w:val="false"/>
          <w:sz w:val="22"/>
          <w:szCs w:val="22"/>
        </w:rPr>
        <w:t xml:space="preserve">Audit trail: </w:t>
      </w:r>
      <w:r>
        <w:rPr>
          <w:rFonts w:ascii="Calibri" w:cs="Calibri" w:eastAsia="Calibri" w:hAnsi="Calibri"/>
          <w:b w:val="false"/>
          <w:bCs w:val="false"/>
          <w:i w:val="false"/>
          <w:iCs w:val="false"/>
          <w:sz w:val="22"/>
          <w:szCs w:val="22"/>
        </w:rPr>
        <w:t xml:space="preserve">The path an auditor follows to trace a requirement through to practice (or vice-versa), e.g. following one AI system from the risk register through to production monitoring logs.</w:t>
      </w:r>
    </w:p>
    <w:p>
      <w:pPr>
        <w:spacing w:after="160" w:line="276"/>
      </w:pPr>
      <w:r>
        <w:rPr>
          <w:rFonts w:ascii="Calibri" w:cs="Calibri" w:eastAsia="Calibri" w:hAnsi="Calibri"/>
          <w:b/>
          <w:bCs/>
          <w:i w:val="false"/>
          <w:iCs w:val="false"/>
          <w:sz w:val="22"/>
          <w:szCs w:val="22"/>
        </w:rPr>
        <w:t xml:space="preserve">Sampling: </w:t>
      </w:r>
      <w:r>
        <w:rPr>
          <w:rFonts w:ascii="Calibri" w:cs="Calibri" w:eastAsia="Calibri" w:hAnsi="Calibri"/>
          <w:b w:val="false"/>
          <w:bCs w:val="false"/>
          <w:i w:val="false"/>
          <w:iCs w:val="false"/>
          <w:sz w:val="22"/>
          <w:szCs w:val="22"/>
        </w:rPr>
        <w:t xml:space="preserve">Selecting a representative subset of records, systems or interviews to examine, because auditing 100% of everything is rarely feasible.</w:t>
      </w:r>
    </w:p>
    <w:p>
      <w:pPr>
        <w:spacing w:after="160" w:line="276"/>
      </w:pPr>
      <w:r>
        <w:rPr>
          <w:rFonts w:ascii="Calibri" w:cs="Calibri" w:eastAsia="Calibri" w:hAnsi="Calibri"/>
          <w:sz w:val="22"/>
          <w:szCs w:val="22"/>
        </w:rPr>
        <w:t xml:space="preserve">(The full glossary, including certification-cycle terms, appears at the end of this handbook.)</w:t>
      </w:r>
    </w:p>
    <w:p>
      <w:pPr>
        <w:pStyle w:val="Heading2"/>
        <w:spacing w:after="150" w:before="300"/>
      </w:pPr>
      <w:r>
        <w:t xml:space="preserve">1.4 The Auditor's Code of Conduct (ISO 19011 Principles)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Principle</w:t>
            </w:r>
          </w:p>
        </w:tc>
        <w:tc>
          <w:tcPr>
            <w:tcW w:type="dxa" w:w="8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means in practice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Integrity</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 honest, diligent, and only take on work you're competent to do.</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Fair presentation</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 truthfully and accurately — including significant obstacles or unresolved disagreements.</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Due professional care</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Apply diligence and judgement proportionate to the importance of the task and the confidence placed in you.</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Confidentiality</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 information you gain access to; don't use it for personal gain or to harm the auditee.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Independence</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 free of bias and conflict of interest; if you built the system you're auditing, you cannot audit it.</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Evidence-based approach</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Conclusions must rest on verifiable evidence, not gut feel, gathered through a rational sampling process.</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Risk-based approach</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Focus audit effort on what matters most — the AI systems and controls with the highest potential impact.</w:t>
            </w:r>
          </w:p>
        </w:tc>
      </w:tr>
    </w:tbl>
    <w:p>
      <w:pPr>
        <w:pStyle w:val="Heading2"/>
        <w:spacing w:after="150" w:before="300"/>
      </w:pPr>
      <w:r>
        <w:t xml:space="preserve">1.5 The Audit Cycle at a Glance</w:t>
      </w:r>
    </w:p>
    <w:p>
      <w:pPr>
        <w:spacing w:after="160" w:line="276"/>
      </w:pPr>
      <w:r>
        <w:rPr>
          <w:rFonts w:ascii="Calibri" w:cs="Calibri" w:eastAsia="Calibri" w:hAnsi="Calibri"/>
          <w:sz w:val="22"/>
          <w:szCs w:val="22"/>
        </w:rPr>
        <w:t xml:space="preserve">Every audit — internal or third-party, ISO 42001 or any other management system standard — follows the same five phases. Part Four of this handbook gives you a template for each one.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8400"/>
      </w:tblGrid>
      <w:tr>
        <w:trPr>
          <w:cantSplit/>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Phase</w:t>
            </w:r>
          </w:p>
        </w:tc>
        <w:tc>
          <w:tcPr>
            <w:tcW w:type="dxa" w:w="8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happens</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Plan</w:t>
            </w:r>
          </w:p>
        </w:tc>
        <w:tc>
          <w:tcPr>
            <w:tcW w:type="dxa" w:w="8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Define objectives, scope, criteria, team and schedule (Template 1).</w:t>
            </w:r>
          </w:p>
        </w:tc>
      </w:tr>
      <w:tr>
        <w:trPr>
          <w:cantSplit/>
        </w:trP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Prepare</w:t>
            </w:r>
          </w:p>
        </w:tc>
        <w:tc>
          <w:tcPr>
            <w:tcW w:type="dxa" w:w="8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Review documentation in advance; build checklists (Templates 2–4).</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Conduct</w:t>
            </w:r>
          </w:p>
        </w:tc>
        <w:tc>
          <w:tcPr>
            <w:tcW w:type="dxa" w:w="8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Opening meeting, gather evidence, hold closing meeting (Templates 5, 7).</w:t>
            </w:r>
          </w:p>
        </w:tc>
      </w:tr>
      <w:tr>
        <w:trPr>
          <w:cantSplit/>
        </w:trP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Report</w:t>
            </w:r>
          </w:p>
        </w:tc>
        <w:tc>
          <w:tcPr>
            <w:tcW w:type="dxa" w:w="8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Write up findings and an overall recommendation (Templates 6, 8).</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 Follow up</w:t>
            </w:r>
          </w:p>
        </w:tc>
        <w:tc>
          <w:tcPr>
            <w:tcW w:type="dxa" w:w="8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Track corrective actions to verified closure; feed lessons into the next audit (Templates 9–11).</w:t>
            </w:r>
          </w:p>
        </w:tc>
      </w:tr>
    </w:tbl>
    <w:p>
      <w:r>
        <w:br w:type="page"/>
      </w:r>
    </w:p>
    <w:p>
      <w:pPr>
        <w:pStyle w:val="Heading1"/>
        <w:spacing w:after="200" w:before="400"/>
      </w:pPr>
      <w:r>
        <w:t xml:space="preserve">Part Two – Understanding ISO/IEC 42001 and the AIMS</w:t>
      </w:r>
    </w:p>
    <w:p>
      <w:pPr>
        <w:pStyle w:val="Heading2"/>
        <w:spacing w:after="150" w:before="300"/>
      </w:pPr>
      <w:r>
        <w:t xml:space="preserve">2.1 What ISO/IEC 42001 Is, and Why It Exists</w:t>
      </w:r>
    </w:p>
    <w:p>
      <w:pPr>
        <w:spacing w:after="160" w:line="276"/>
      </w:pPr>
      <w:r>
        <w:rPr>
          <w:rFonts w:ascii="Calibri" w:cs="Calibri" w:eastAsia="Calibri" w:hAnsi="Calibri"/>
          <w:sz w:val="22"/>
          <w:szCs w:val="22"/>
        </w:rPr>
        <w:t xml:space="preserve">ISO/IEC 42001:2023 is the first international management-system standard for artificial intelligence. Published in December 2023, it gives organizations that develop, provide, or use AI systems a structured way to govern the risks and opportunities AI creates — covering fairness, transparency, safety, data quality, accountability, and societal impact, alongside the usual management-system disciplines of leadership, planning, support, operation, evaluation and improvement.</w:t>
      </w:r>
    </w:p>
    <w:p>
      <w:pPr>
        <w:spacing w:after="160" w:line="276"/>
      </w:pPr>
      <w:r>
        <w:rPr>
          <w:rFonts w:ascii="Calibri" w:cs="Calibri" w:eastAsia="Calibri" w:hAnsi="Calibri"/>
          <w:sz w:val="22"/>
          <w:szCs w:val="22"/>
        </w:rPr>
        <w:t xml:space="preserve">It follows the same “Harmonized Structure” (formerly Annex SL) used by ISO 27001, ISO 9001 and ISO 22301 — the same clauses 4 through 10. That's good news if you've audited one of those standards before: the skeleton is identical, and only the AI-specific content in the flesh changes.</w:t>
      </w:r>
    </w:p>
    <w:p>
      <w:pPr>
        <w:pStyle w:val="Heading2"/>
        <w:spacing w:after="150" w:before="300"/>
      </w:pPr>
      <w:r>
        <w:t xml:space="preserve">2.2 The Anatomy of the Standard</w:t>
      </w:r>
    </w:p>
    <w:p>
      <w:pPr>
        <w:pStyle w:val="ListParagraph"/>
        <w:numPr>
          <w:ilvl w:val="0"/>
          <w:numId w:val="2"/>
        </w:numPr>
        <w:spacing w:after="100"/>
      </w:pPr>
      <w:r>
        <w:rPr>
          <w:rFonts w:ascii="Calibri" w:cs="Calibri" w:eastAsia="Calibri" w:hAnsi="Calibri"/>
          <w:sz w:val="22"/>
          <w:szCs w:val="22"/>
        </w:rPr>
        <w:t xml:space="preserve">Clauses 1–3 – Scope, normative references, terms and definitions (not directly auditable requirements).</w:t>
      </w:r>
    </w:p>
    <w:p>
      <w:pPr>
        <w:pStyle w:val="ListParagraph"/>
        <w:numPr>
          <w:ilvl w:val="0"/>
          <w:numId w:val="2"/>
        </w:numPr>
        <w:spacing w:after="100"/>
      </w:pPr>
      <w:r>
        <w:rPr>
          <w:rFonts w:ascii="Calibri" w:cs="Calibri" w:eastAsia="Calibri" w:hAnsi="Calibri"/>
          <w:sz w:val="22"/>
          <w:szCs w:val="22"/>
        </w:rPr>
        <w:t xml:space="preserve">Clauses 4–10 – The mandatory management-system requirements. Every certified organization must satisfy all of these.</w:t>
      </w:r>
    </w:p>
    <w:p>
      <w:pPr>
        <w:pStyle w:val="ListParagraph"/>
        <w:numPr>
          <w:ilvl w:val="0"/>
          <w:numId w:val="2"/>
        </w:numPr>
        <w:spacing w:after="100"/>
      </w:pPr>
      <w:r>
        <w:rPr>
          <w:rFonts w:ascii="Calibri" w:cs="Calibri" w:eastAsia="Calibri" w:hAnsi="Calibri"/>
          <w:sz w:val="22"/>
          <w:szCs w:val="22"/>
        </w:rPr>
        <w:t xml:space="preserve">Annex A – A reference set of 38 AI-specific controls across 9 objectives (A.2–A.10). Controls are selected as “applicable” based on the organization's own risk assessment, not applied wholesale.</w:t>
      </w:r>
    </w:p>
    <w:p>
      <w:pPr>
        <w:pStyle w:val="ListParagraph"/>
        <w:numPr>
          <w:ilvl w:val="0"/>
          <w:numId w:val="2"/>
        </w:numPr>
        <w:spacing w:after="100"/>
      </w:pPr>
      <w:r>
        <w:rPr>
          <w:rFonts w:ascii="Calibri" w:cs="Calibri" w:eastAsia="Calibri" w:hAnsi="Calibri"/>
          <w:sz w:val="22"/>
          <w:szCs w:val="22"/>
        </w:rPr>
        <w:t xml:space="preserve">Annex B – Implementation guidance explaining how to apply the Annex A controls.</w:t>
      </w:r>
    </w:p>
    <w:p>
      <w:pPr>
        <w:pStyle w:val="ListParagraph"/>
        <w:numPr>
          <w:ilvl w:val="0"/>
          <w:numId w:val="2"/>
        </w:numPr>
        <w:spacing w:after="100"/>
      </w:pPr>
      <w:r>
        <w:rPr>
          <w:rFonts w:ascii="Calibri" w:cs="Calibri" w:eastAsia="Calibri" w:hAnsi="Calibri"/>
          <w:sz w:val="22"/>
          <w:szCs w:val="22"/>
        </w:rPr>
        <w:t xml:space="preserve">Annex C – Potential AI-related organizational objectives (examples).</w:t>
      </w:r>
    </w:p>
    <w:p>
      <w:pPr>
        <w:pStyle w:val="ListParagraph"/>
        <w:numPr>
          <w:ilvl w:val="0"/>
          <w:numId w:val="2"/>
        </w:numPr>
        <w:spacing w:after="100"/>
      </w:pPr>
      <w:r>
        <w:rPr>
          <w:rFonts w:ascii="Calibri" w:cs="Calibri" w:eastAsia="Calibri" w:hAnsi="Calibri"/>
          <w:sz w:val="22"/>
          <w:szCs w:val="22"/>
        </w:rPr>
        <w:t xml:space="preserve">Annex D – Guidance on using the standard across different domains/sectors and with other management systems.</w:t>
      </w:r>
    </w:p>
    <w:p>
      <w:pPr>
        <w:pStyle w:val="Heading2"/>
        <w:spacing w:after="150" w:before="300"/>
      </w:pPr>
      <w:r>
        <w:t xml:space="preserve">2.3 Clauses 4–10, Explained in Plain Language</w:t>
      </w:r>
    </w:p>
    <w:p>
      <w:pPr>
        <w:spacing w:after="160" w:line="276"/>
      </w:pPr>
      <w:r>
        <w:rPr>
          <w:rFonts w:ascii="Calibri" w:cs="Calibri" w:eastAsia="Calibri" w:hAnsi="Calibri"/>
          <w:sz w:val="22"/>
          <w:szCs w:val="22"/>
        </w:rPr>
        <w:t xml:space="preserve">This is the table you will use constantly. “What an auditor checks” becomes the backbone of Template 3 in the companion workbook.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200"/>
        <w:gridCol w:w="3600"/>
      </w:tblGrid>
      <w:tr>
        <w:trPr>
          <w:cantSplit/>
          <w:tblHeader/>
        </w:trPr>
        <w:tc>
          <w:tcPr>
            <w:tcW w:type="dxa" w:w="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Clause</w:t>
            </w:r>
          </w:p>
        </w:tc>
        <w:tc>
          <w:tcPr>
            <w:tcW w:type="dxa" w:w="1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Title</w:t>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requires (plain language)</w:t>
            </w:r>
          </w:p>
        </w:tc>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an auditor checks</w:t>
            </w:r>
          </w:p>
        </w:tc>
      </w:tr>
      <w:tr>
        <w:trPr>
          <w:cantSplit/>
        </w:trP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Context of the Organization</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Identify internal/external issues affecting the AIMS; identify interested parties (regulators, users, affected persons, staff) and their needs; define and document the AIMS scope; describe how AIMS processes interact.</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Scope statement; issues log (e.g. SWOT/PESTLE); interested-parties register; justification for any exclusions.</w:t>
            </w:r>
          </w:p>
        </w:tc>
      </w:tr>
      <w:tr>
        <w:trPr>
          <w:cantSplit/>
        </w:trP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Leadership</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Top management demonstrates commitment (resources, integration into business strategy); a documented AI Policy exists and is communicated; AIMS roles, responsibilities and authorities are assigned.</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Management review minutes; AI Policy document; organization chart / RACI for AIMS roles; evidence leadership actively engages (budget approvals, steering committee minutes).</w:t>
            </w:r>
          </w:p>
        </w:tc>
      </w:tr>
      <w:tr>
        <w:trPr>
          <w:cantSplit/>
        </w:trP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Planning</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and opportunity assessment methodology; AI-specific risk assessment (6.1.2) and risk treatment (6.1.3); AI system impact assessment covering effects on individuals, groups and society (6.1.4, unique to 42001); Statement of Applicability; measurable AI objectives; change planning.</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assessment procedure &amp; risk register; Statement of Applicability with justified inclusions/exclusions; risk treatment plan; AI system impact assessment reports; documented objectives with owners, timelines and metrics.</w:t>
            </w:r>
          </w:p>
        </w:tc>
      </w:tr>
      <w:tr>
        <w:trPr>
          <w:cantSplit/>
        </w:trP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Support</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Adequate resources (people, tools, compute, data); staff competence and training; organizational awareness; internal/external communication plan; control of documented information (creation, approval, version, access, retention).</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Training records / competence matrix; communications plan and evidence of execution; document register with version history and access controls.</w:t>
            </w:r>
          </w:p>
        </w:tc>
      </w:tr>
      <w:tr>
        <w:trPr>
          <w:cantSplit/>
        </w:trP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Operation</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AIMS processes are planned, implemented and controlled, including change control; risk assessments and impact assessments are actually carried out when required (not just planned); outputs are retained as evidence.</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Change logs; risk assessments triggered by real changes; impact assessment outputs; evidence that the plan in Clause 6 is actually being executed.</w:t>
            </w:r>
          </w:p>
        </w:tc>
      </w:tr>
      <w:tr>
        <w:trPr>
          <w:cantSplit/>
        </w:trP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Performance Evaluation</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Monitoring and measurement of AIMS performance against objectives; a programmed internal audit function using independent auditors; management review at planned intervals covering audit results, risk status, and improvement needs.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KPI dashboards / monitoring logs; internal audit program, plans and reports; management review minutes with the required inputs and outputs.</w:t>
            </w:r>
          </w:p>
        </w:tc>
      </w:tr>
      <w:tr>
        <w:trPr>
          <w:cantSplit/>
        </w:trP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Improvement</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Nonconformities are identified, corrected, root-caused, and prevented from recurring; the organization can demonstrate continual improvement of the AIMS's suitability, adequacy and effectiveness.</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Nonconformity / corrective action log; root cause analysis records; trend data showing the AIMS improving over time.</w:t>
            </w:r>
          </w:p>
        </w:tc>
      </w:tr>
    </w:tbl>
    <w:p>
      <w:pPr>
        <w:pStyle w:val="Heading2"/>
        <w:spacing w:after="150" w:before="300"/>
      </w:pPr>
      <w:r>
        <w:t xml:space="preserve">2.4 Annex A: The 38 AI Controls, in Plain Language</w:t>
      </w:r>
    </w:p>
    <w:p>
      <w:pPr>
        <w:spacing w:after="160" w:line="276"/>
      </w:pPr>
      <w:r>
        <w:rPr>
          <w:rFonts w:ascii="Calibri" w:cs="Calibri" w:eastAsia="Calibri" w:hAnsi="Calibri"/>
          <w:sz w:val="22"/>
          <w:szCs w:val="22"/>
        </w:rPr>
        <w:t xml:space="preserve">Annex A is organized into 9 control objectives. Not every control will be applicable to every organization — applicability is decided in the Statement of Applicability (SoA), described next.</w:t>
      </w:r>
    </w:p>
    <w:p>
      <w:pPr>
        <w:pStyle w:val="Heading3"/>
        <w:spacing w:after="120" w:before="240"/>
      </w:pPr>
      <w:r>
        <w:t xml:space="preserve">A.2 – Policies related to AI</w:t>
      </w:r>
    </w:p>
    <w:p>
      <w:pPr>
        <w:spacing w:after="160" w:line="276"/>
      </w:pPr>
      <w:r>
        <w:rPr>
          <w:rFonts w:ascii="Calibri" w:cs="Calibri" w:eastAsia="Calibri" w:hAnsi="Calibri"/>
          <w:sz w:val="22"/>
          <w:szCs w:val="22"/>
        </w:rPr>
        <w:t xml:space="preserve">Is there a dedicated AI policy, does it align with other org policies (security, quality, ethics), and is it reviewed on a schedule?</w:t>
      </w:r>
    </w:p>
    <w:p>
      <w:pPr>
        <w:pStyle w:val="ListParagraph"/>
        <w:numPr>
          <w:ilvl w:val="0"/>
          <w:numId w:val="2"/>
        </w:numPr>
        <w:spacing w:after="100"/>
      </w:pPr>
      <w:r>
        <w:rPr>
          <w:rFonts w:ascii="Calibri" w:cs="Calibri" w:eastAsia="Calibri" w:hAnsi="Calibri"/>
          <w:sz w:val="22"/>
          <w:szCs w:val="22"/>
        </w:rPr>
        <w:t xml:space="preserve">A.2.2 AI policy</w:t>
      </w:r>
    </w:p>
    <w:p>
      <w:pPr>
        <w:pStyle w:val="ListParagraph"/>
        <w:numPr>
          <w:ilvl w:val="0"/>
          <w:numId w:val="2"/>
        </w:numPr>
        <w:spacing w:after="100"/>
      </w:pPr>
      <w:r>
        <w:rPr>
          <w:rFonts w:ascii="Calibri" w:cs="Calibri" w:eastAsia="Calibri" w:hAnsi="Calibri"/>
          <w:sz w:val="22"/>
          <w:szCs w:val="22"/>
        </w:rPr>
        <w:t xml:space="preserve">A.2.3 Alignment with other organizational policies</w:t>
      </w:r>
    </w:p>
    <w:p>
      <w:pPr>
        <w:pStyle w:val="ListParagraph"/>
        <w:numPr>
          <w:ilvl w:val="0"/>
          <w:numId w:val="2"/>
        </w:numPr>
        <w:spacing w:after="100"/>
      </w:pPr>
      <w:r>
        <w:rPr>
          <w:rFonts w:ascii="Calibri" w:cs="Calibri" w:eastAsia="Calibri" w:hAnsi="Calibri"/>
          <w:sz w:val="22"/>
          <w:szCs w:val="22"/>
        </w:rPr>
        <w:t xml:space="preserve">A.2.4 Review of the AI policy</w:t>
      </w:r>
    </w:p>
    <w:p>
      <w:pPr>
        <w:pStyle w:val="Heading3"/>
        <w:spacing w:after="120" w:before="240"/>
      </w:pPr>
      <w:r>
        <w:t xml:space="preserve">A.3 – Internal organization</w:t>
      </w:r>
    </w:p>
    <w:p>
      <w:pPr>
        <w:spacing w:after="160" w:line="276"/>
      </w:pPr>
      <w:r>
        <w:rPr>
          <w:rFonts w:ascii="Calibri" w:cs="Calibri" w:eastAsia="Calibri" w:hAnsi="Calibri"/>
          <w:sz w:val="22"/>
          <w:szCs w:val="22"/>
        </w:rPr>
        <w:t xml:space="preserve">Are AI-specific roles/responsibilities assigned, and is there a channel for staff to raise concerns about an AI system?</w:t>
      </w:r>
    </w:p>
    <w:p>
      <w:pPr>
        <w:pStyle w:val="ListParagraph"/>
        <w:numPr>
          <w:ilvl w:val="0"/>
          <w:numId w:val="2"/>
        </w:numPr>
        <w:spacing w:after="100"/>
      </w:pPr>
      <w:r>
        <w:rPr>
          <w:rFonts w:ascii="Calibri" w:cs="Calibri" w:eastAsia="Calibri" w:hAnsi="Calibri"/>
          <w:sz w:val="22"/>
          <w:szCs w:val="22"/>
        </w:rPr>
        <w:t xml:space="preserve">A.3.2 AI roles and responsibilities</w:t>
      </w:r>
    </w:p>
    <w:p>
      <w:pPr>
        <w:pStyle w:val="ListParagraph"/>
        <w:numPr>
          <w:ilvl w:val="0"/>
          <w:numId w:val="2"/>
        </w:numPr>
        <w:spacing w:after="100"/>
      </w:pPr>
      <w:r>
        <w:rPr>
          <w:rFonts w:ascii="Calibri" w:cs="Calibri" w:eastAsia="Calibri" w:hAnsi="Calibri"/>
          <w:sz w:val="22"/>
          <w:szCs w:val="22"/>
        </w:rPr>
        <w:t xml:space="preserve">A.3.3 Reporting of concerns</w:t>
      </w:r>
    </w:p>
    <w:p>
      <w:pPr>
        <w:pStyle w:val="Heading3"/>
        <w:spacing w:after="120" w:before="240"/>
      </w:pPr>
      <w:r>
        <w:t xml:space="preserve">A.4 – Resources for AI systems</w:t>
      </w:r>
    </w:p>
    <w:p>
      <w:pPr>
        <w:spacing w:after="160" w:line="276"/>
      </w:pPr>
      <w:r>
        <w:rPr>
          <w:rFonts w:ascii="Calibri" w:cs="Calibri" w:eastAsia="Calibri" w:hAnsi="Calibri"/>
          <w:sz w:val="22"/>
          <w:szCs w:val="22"/>
        </w:rPr>
        <w:t xml:space="preserve">Are the data, tools, compute and people needed to responsibly run AI systems identified, adequate and documented?</w:t>
      </w:r>
    </w:p>
    <w:p>
      <w:pPr>
        <w:pStyle w:val="ListParagraph"/>
        <w:numPr>
          <w:ilvl w:val="0"/>
          <w:numId w:val="2"/>
        </w:numPr>
        <w:spacing w:after="100"/>
      </w:pPr>
      <w:r>
        <w:rPr>
          <w:rFonts w:ascii="Calibri" w:cs="Calibri" w:eastAsia="Calibri" w:hAnsi="Calibri"/>
          <w:sz w:val="22"/>
          <w:szCs w:val="22"/>
        </w:rPr>
        <w:t xml:space="preserve">A.4.2 Resource documentation</w:t>
      </w:r>
    </w:p>
    <w:p>
      <w:pPr>
        <w:pStyle w:val="ListParagraph"/>
        <w:numPr>
          <w:ilvl w:val="0"/>
          <w:numId w:val="2"/>
        </w:numPr>
        <w:spacing w:after="100"/>
      </w:pPr>
      <w:r>
        <w:rPr>
          <w:rFonts w:ascii="Calibri" w:cs="Calibri" w:eastAsia="Calibri" w:hAnsi="Calibri"/>
          <w:sz w:val="22"/>
          <w:szCs w:val="22"/>
        </w:rPr>
        <w:t xml:space="preserve">A.4.3 Data resources</w:t>
      </w:r>
    </w:p>
    <w:p>
      <w:pPr>
        <w:pStyle w:val="ListParagraph"/>
        <w:numPr>
          <w:ilvl w:val="0"/>
          <w:numId w:val="2"/>
        </w:numPr>
        <w:spacing w:after="100"/>
      </w:pPr>
      <w:r>
        <w:rPr>
          <w:rFonts w:ascii="Calibri" w:cs="Calibri" w:eastAsia="Calibri" w:hAnsi="Calibri"/>
          <w:sz w:val="22"/>
          <w:szCs w:val="22"/>
        </w:rPr>
        <w:t xml:space="preserve">A.4.4 Tooling resources</w:t>
      </w:r>
    </w:p>
    <w:p>
      <w:pPr>
        <w:pStyle w:val="ListParagraph"/>
        <w:numPr>
          <w:ilvl w:val="0"/>
          <w:numId w:val="2"/>
        </w:numPr>
        <w:spacing w:after="100"/>
      </w:pPr>
      <w:r>
        <w:rPr>
          <w:rFonts w:ascii="Calibri" w:cs="Calibri" w:eastAsia="Calibri" w:hAnsi="Calibri"/>
          <w:sz w:val="22"/>
          <w:szCs w:val="22"/>
        </w:rPr>
        <w:t xml:space="preserve">A.4.5 System and computing resources</w:t>
      </w:r>
    </w:p>
    <w:p>
      <w:pPr>
        <w:pStyle w:val="ListParagraph"/>
        <w:numPr>
          <w:ilvl w:val="0"/>
          <w:numId w:val="2"/>
        </w:numPr>
        <w:spacing w:after="100"/>
      </w:pPr>
      <w:r>
        <w:rPr>
          <w:rFonts w:ascii="Calibri" w:cs="Calibri" w:eastAsia="Calibri" w:hAnsi="Calibri"/>
          <w:sz w:val="22"/>
          <w:szCs w:val="22"/>
        </w:rPr>
        <w:t xml:space="preserve">A.4.6 Human resources</w:t>
      </w:r>
    </w:p>
    <w:p>
      <w:pPr>
        <w:pStyle w:val="Heading3"/>
        <w:spacing w:after="120" w:before="240"/>
      </w:pPr>
      <w:r>
        <w:t xml:space="preserve">A.5 – Assessing impacts of AI systems</w:t>
      </w:r>
    </w:p>
    <w:p>
      <w:pPr>
        <w:spacing w:after="160" w:line="276"/>
      </w:pPr>
      <w:r>
        <w:rPr>
          <w:rFonts w:ascii="Calibri" w:cs="Calibri" w:eastAsia="Calibri" w:hAnsi="Calibri"/>
          <w:sz w:val="22"/>
          <w:szCs w:val="22"/>
        </w:rPr>
        <w:t xml:space="preserve">Is there a formal process to assess how an AI system could affect individuals, groups and society, and are results documented?</w:t>
      </w:r>
    </w:p>
    <w:p>
      <w:pPr>
        <w:pStyle w:val="ListParagraph"/>
        <w:numPr>
          <w:ilvl w:val="0"/>
          <w:numId w:val="2"/>
        </w:numPr>
        <w:spacing w:after="100"/>
      </w:pPr>
      <w:r>
        <w:rPr>
          <w:rFonts w:ascii="Calibri" w:cs="Calibri" w:eastAsia="Calibri" w:hAnsi="Calibri"/>
          <w:sz w:val="22"/>
          <w:szCs w:val="22"/>
        </w:rPr>
        <w:t xml:space="preserve">A.5.2 AI system impact assessment process</w:t>
      </w:r>
    </w:p>
    <w:p>
      <w:pPr>
        <w:pStyle w:val="ListParagraph"/>
        <w:numPr>
          <w:ilvl w:val="0"/>
          <w:numId w:val="2"/>
        </w:numPr>
        <w:spacing w:after="100"/>
      </w:pPr>
      <w:r>
        <w:rPr>
          <w:rFonts w:ascii="Calibri" w:cs="Calibri" w:eastAsia="Calibri" w:hAnsi="Calibri"/>
          <w:sz w:val="22"/>
          <w:szCs w:val="22"/>
        </w:rPr>
        <w:t xml:space="preserve">A.5.3 Documentation of AI system impact assessments</w:t>
      </w:r>
    </w:p>
    <w:p>
      <w:pPr>
        <w:pStyle w:val="ListParagraph"/>
        <w:numPr>
          <w:ilvl w:val="0"/>
          <w:numId w:val="2"/>
        </w:numPr>
        <w:spacing w:after="100"/>
      </w:pPr>
      <w:r>
        <w:rPr>
          <w:rFonts w:ascii="Calibri" w:cs="Calibri" w:eastAsia="Calibri" w:hAnsi="Calibri"/>
          <w:sz w:val="22"/>
          <w:szCs w:val="22"/>
        </w:rPr>
        <w:t xml:space="preserve">A.5.4 Impact on individuals/groups</w:t>
      </w:r>
    </w:p>
    <w:p>
      <w:pPr>
        <w:pStyle w:val="ListParagraph"/>
        <w:numPr>
          <w:ilvl w:val="0"/>
          <w:numId w:val="2"/>
        </w:numPr>
        <w:spacing w:after="100"/>
      </w:pPr>
      <w:r>
        <w:rPr>
          <w:rFonts w:ascii="Calibri" w:cs="Calibri" w:eastAsia="Calibri" w:hAnsi="Calibri"/>
          <w:sz w:val="22"/>
          <w:szCs w:val="22"/>
        </w:rPr>
        <w:t xml:space="preserve">A.5.5 Societal impacts</w:t>
      </w:r>
    </w:p>
    <w:p>
      <w:pPr>
        <w:pStyle w:val="Heading3"/>
        <w:spacing w:after="120" w:before="240"/>
      </w:pPr>
      <w:r>
        <w:t xml:space="preserve">A.6 – AI system life cycle</w:t>
      </w:r>
    </w:p>
    <w:p>
      <w:pPr>
        <w:spacing w:after="160" w:line="276"/>
      </w:pPr>
      <w:r>
        <w:rPr>
          <w:rFonts w:ascii="Calibri" w:cs="Calibri" w:eastAsia="Calibri" w:hAnsi="Calibri"/>
          <w:sz w:val="22"/>
          <w:szCs w:val="22"/>
        </w:rPr>
        <w:t xml:space="preserve">Is responsible-AI thinking built into every life-cycle stage: requirements, design, testing, deployment, monitoring, and logging?</w:t>
      </w:r>
    </w:p>
    <w:p>
      <w:pPr>
        <w:pStyle w:val="ListParagraph"/>
        <w:numPr>
          <w:ilvl w:val="0"/>
          <w:numId w:val="2"/>
        </w:numPr>
        <w:spacing w:after="100"/>
      </w:pPr>
      <w:r>
        <w:rPr>
          <w:rFonts w:ascii="Calibri" w:cs="Calibri" w:eastAsia="Calibri" w:hAnsi="Calibri"/>
          <w:sz w:val="22"/>
          <w:szCs w:val="22"/>
        </w:rPr>
        <w:t xml:space="preserve">A.6.1.2 Objectives for responsible development</w:t>
      </w:r>
    </w:p>
    <w:p>
      <w:pPr>
        <w:pStyle w:val="ListParagraph"/>
        <w:numPr>
          <w:ilvl w:val="0"/>
          <w:numId w:val="2"/>
        </w:numPr>
        <w:spacing w:after="100"/>
      </w:pPr>
      <w:r>
        <w:rPr>
          <w:rFonts w:ascii="Calibri" w:cs="Calibri" w:eastAsia="Calibri" w:hAnsi="Calibri"/>
          <w:sz w:val="22"/>
          <w:szCs w:val="22"/>
        </w:rPr>
        <w:t xml:space="preserve">A.6.1.3 Responsible design &amp; development processes</w:t>
      </w:r>
    </w:p>
    <w:p>
      <w:pPr>
        <w:pStyle w:val="ListParagraph"/>
        <w:numPr>
          <w:ilvl w:val="0"/>
          <w:numId w:val="2"/>
        </w:numPr>
        <w:spacing w:after="100"/>
      </w:pPr>
      <w:r>
        <w:rPr>
          <w:rFonts w:ascii="Calibri" w:cs="Calibri" w:eastAsia="Calibri" w:hAnsi="Calibri"/>
          <w:sz w:val="22"/>
          <w:szCs w:val="22"/>
        </w:rPr>
        <w:t xml:space="preserve">A.6.2.2 Requirements &amp; specification</w:t>
      </w:r>
    </w:p>
    <w:p>
      <w:pPr>
        <w:pStyle w:val="ListParagraph"/>
        <w:numPr>
          <w:ilvl w:val="0"/>
          <w:numId w:val="2"/>
        </w:numPr>
        <w:spacing w:after="100"/>
      </w:pPr>
      <w:r>
        <w:rPr>
          <w:rFonts w:ascii="Calibri" w:cs="Calibri" w:eastAsia="Calibri" w:hAnsi="Calibri"/>
          <w:sz w:val="22"/>
          <w:szCs w:val="22"/>
        </w:rPr>
        <w:t xml:space="preserve">A.6.2.3 Design &amp; development documentation</w:t>
      </w:r>
    </w:p>
    <w:p>
      <w:pPr>
        <w:pStyle w:val="ListParagraph"/>
        <w:numPr>
          <w:ilvl w:val="0"/>
          <w:numId w:val="2"/>
        </w:numPr>
        <w:spacing w:after="100"/>
      </w:pPr>
      <w:r>
        <w:rPr>
          <w:rFonts w:ascii="Calibri" w:cs="Calibri" w:eastAsia="Calibri" w:hAnsi="Calibri"/>
          <w:sz w:val="22"/>
          <w:szCs w:val="22"/>
        </w:rPr>
        <w:t xml:space="preserve">A.6.2.4 Verification and validation</w:t>
      </w:r>
    </w:p>
    <w:p>
      <w:pPr>
        <w:pStyle w:val="ListParagraph"/>
        <w:numPr>
          <w:ilvl w:val="0"/>
          <w:numId w:val="2"/>
        </w:numPr>
        <w:spacing w:after="100"/>
      </w:pPr>
      <w:r>
        <w:rPr>
          <w:rFonts w:ascii="Calibri" w:cs="Calibri" w:eastAsia="Calibri" w:hAnsi="Calibri"/>
          <w:sz w:val="22"/>
          <w:szCs w:val="22"/>
        </w:rPr>
        <w:t xml:space="preserve">A.6.2.5 Deployment</w:t>
      </w:r>
    </w:p>
    <w:p>
      <w:pPr>
        <w:pStyle w:val="ListParagraph"/>
        <w:numPr>
          <w:ilvl w:val="0"/>
          <w:numId w:val="2"/>
        </w:numPr>
        <w:spacing w:after="100"/>
      </w:pPr>
      <w:r>
        <w:rPr>
          <w:rFonts w:ascii="Calibri" w:cs="Calibri" w:eastAsia="Calibri" w:hAnsi="Calibri"/>
          <w:sz w:val="22"/>
          <w:szCs w:val="22"/>
        </w:rPr>
        <w:t xml:space="preserve">A.6.2.6 Operation and monitoring</w:t>
      </w:r>
    </w:p>
    <w:p>
      <w:pPr>
        <w:pStyle w:val="ListParagraph"/>
        <w:numPr>
          <w:ilvl w:val="0"/>
          <w:numId w:val="2"/>
        </w:numPr>
        <w:spacing w:after="100"/>
      </w:pPr>
      <w:r>
        <w:rPr>
          <w:rFonts w:ascii="Calibri" w:cs="Calibri" w:eastAsia="Calibri" w:hAnsi="Calibri"/>
          <w:sz w:val="22"/>
          <w:szCs w:val="22"/>
        </w:rPr>
        <w:t xml:space="preserve">A.6.2.7 Technical documentation</w:t>
      </w:r>
    </w:p>
    <w:p>
      <w:pPr>
        <w:pStyle w:val="ListParagraph"/>
        <w:numPr>
          <w:ilvl w:val="0"/>
          <w:numId w:val="2"/>
        </w:numPr>
        <w:spacing w:after="100"/>
      </w:pPr>
      <w:r>
        <w:rPr>
          <w:rFonts w:ascii="Calibri" w:cs="Calibri" w:eastAsia="Calibri" w:hAnsi="Calibri"/>
          <w:sz w:val="22"/>
          <w:szCs w:val="22"/>
        </w:rPr>
        <w:t xml:space="preserve">A.6.2.8 Event logging</w:t>
      </w:r>
    </w:p>
    <w:p>
      <w:pPr>
        <w:pStyle w:val="Heading3"/>
        <w:spacing w:after="120" w:before="240"/>
      </w:pPr>
      <w:r>
        <w:t xml:space="preserve">A.7 – Data for AI systems</w:t>
      </w:r>
    </w:p>
    <w:p>
      <w:pPr>
        <w:spacing w:after="160" w:line="276"/>
      </w:pPr>
      <w:r>
        <w:rPr>
          <w:rFonts w:ascii="Calibri" w:cs="Calibri" w:eastAsia="Calibri" w:hAnsi="Calibri"/>
          <w:sz w:val="22"/>
          <w:szCs w:val="22"/>
        </w:rPr>
        <w:t xml:space="preserve">Is training/operational data acquired, quality-checked, traceable to its source, and properly prepared?</w:t>
      </w:r>
    </w:p>
    <w:p>
      <w:pPr>
        <w:pStyle w:val="ListParagraph"/>
        <w:numPr>
          <w:ilvl w:val="0"/>
          <w:numId w:val="2"/>
        </w:numPr>
        <w:spacing w:after="100"/>
      </w:pPr>
      <w:r>
        <w:rPr>
          <w:rFonts w:ascii="Calibri" w:cs="Calibri" w:eastAsia="Calibri" w:hAnsi="Calibri"/>
          <w:sz w:val="22"/>
          <w:szCs w:val="22"/>
        </w:rPr>
        <w:t xml:space="preserve">A.7.2 Data for development/enhancement</w:t>
      </w:r>
    </w:p>
    <w:p>
      <w:pPr>
        <w:pStyle w:val="ListParagraph"/>
        <w:numPr>
          <w:ilvl w:val="0"/>
          <w:numId w:val="2"/>
        </w:numPr>
        <w:spacing w:after="100"/>
      </w:pPr>
      <w:r>
        <w:rPr>
          <w:rFonts w:ascii="Calibri" w:cs="Calibri" w:eastAsia="Calibri" w:hAnsi="Calibri"/>
          <w:sz w:val="22"/>
          <w:szCs w:val="22"/>
        </w:rPr>
        <w:t xml:space="preserve">A.7.3 Acquisition of data</w:t>
      </w:r>
    </w:p>
    <w:p>
      <w:pPr>
        <w:pStyle w:val="ListParagraph"/>
        <w:numPr>
          <w:ilvl w:val="0"/>
          <w:numId w:val="2"/>
        </w:numPr>
        <w:spacing w:after="100"/>
      </w:pPr>
      <w:r>
        <w:rPr>
          <w:rFonts w:ascii="Calibri" w:cs="Calibri" w:eastAsia="Calibri" w:hAnsi="Calibri"/>
          <w:sz w:val="22"/>
          <w:szCs w:val="22"/>
        </w:rPr>
        <w:t xml:space="preserve">A.7.4 Quality of data</w:t>
      </w:r>
    </w:p>
    <w:p>
      <w:pPr>
        <w:pStyle w:val="ListParagraph"/>
        <w:numPr>
          <w:ilvl w:val="0"/>
          <w:numId w:val="2"/>
        </w:numPr>
        <w:spacing w:after="100"/>
      </w:pPr>
      <w:r>
        <w:rPr>
          <w:rFonts w:ascii="Calibri" w:cs="Calibri" w:eastAsia="Calibri" w:hAnsi="Calibri"/>
          <w:sz w:val="22"/>
          <w:szCs w:val="22"/>
        </w:rPr>
        <w:t xml:space="preserve">A.7.5 Data provenance</w:t>
      </w:r>
    </w:p>
    <w:p>
      <w:pPr>
        <w:pStyle w:val="ListParagraph"/>
        <w:numPr>
          <w:ilvl w:val="0"/>
          <w:numId w:val="2"/>
        </w:numPr>
        <w:spacing w:after="100"/>
      </w:pPr>
      <w:r>
        <w:rPr>
          <w:rFonts w:ascii="Calibri" w:cs="Calibri" w:eastAsia="Calibri" w:hAnsi="Calibri"/>
          <w:sz w:val="22"/>
          <w:szCs w:val="22"/>
        </w:rPr>
        <w:t xml:space="preserve">A.7.6 Data preparation</w:t>
      </w:r>
    </w:p>
    <w:p>
      <w:pPr>
        <w:pStyle w:val="Heading3"/>
        <w:spacing w:after="120" w:before="240"/>
      </w:pPr>
      <w:r>
        <w:t xml:space="preserve">A.8 – Information for interested parties</w:t>
      </w:r>
    </w:p>
    <w:p>
      <w:pPr>
        <w:spacing w:after="160" w:line="276"/>
      </w:pPr>
      <w:r>
        <w:rPr>
          <w:rFonts w:ascii="Calibri" w:cs="Calibri" w:eastAsia="Calibri" w:hAnsi="Calibri"/>
          <w:sz w:val="22"/>
          <w:szCs w:val="22"/>
        </w:rPr>
        <w:t xml:space="preserve">Do users and other stakeholders receive clear information about the AI system, and are incidents communicated?</w:t>
      </w:r>
    </w:p>
    <w:p>
      <w:pPr>
        <w:pStyle w:val="ListParagraph"/>
        <w:numPr>
          <w:ilvl w:val="0"/>
          <w:numId w:val="2"/>
        </w:numPr>
        <w:spacing w:after="100"/>
      </w:pPr>
      <w:r>
        <w:rPr>
          <w:rFonts w:ascii="Calibri" w:cs="Calibri" w:eastAsia="Calibri" w:hAnsi="Calibri"/>
          <w:sz w:val="22"/>
          <w:szCs w:val="22"/>
        </w:rPr>
        <w:t xml:space="preserve">A.8.2 System documentation &amp; user information</w:t>
      </w:r>
    </w:p>
    <w:p>
      <w:pPr>
        <w:pStyle w:val="ListParagraph"/>
        <w:numPr>
          <w:ilvl w:val="0"/>
          <w:numId w:val="2"/>
        </w:numPr>
        <w:spacing w:after="100"/>
      </w:pPr>
      <w:r>
        <w:rPr>
          <w:rFonts w:ascii="Calibri" w:cs="Calibri" w:eastAsia="Calibri" w:hAnsi="Calibri"/>
          <w:sz w:val="22"/>
          <w:szCs w:val="22"/>
        </w:rPr>
        <w:t xml:space="preserve">A.8.3 External reporting</w:t>
      </w:r>
    </w:p>
    <w:p>
      <w:pPr>
        <w:pStyle w:val="ListParagraph"/>
        <w:numPr>
          <w:ilvl w:val="0"/>
          <w:numId w:val="2"/>
        </w:numPr>
        <w:spacing w:after="100"/>
      </w:pPr>
      <w:r>
        <w:rPr>
          <w:rFonts w:ascii="Calibri" w:cs="Calibri" w:eastAsia="Calibri" w:hAnsi="Calibri"/>
          <w:sz w:val="22"/>
          <w:szCs w:val="22"/>
        </w:rPr>
        <w:t xml:space="preserve">A.8.4 Communication of incidents</w:t>
      </w:r>
    </w:p>
    <w:p>
      <w:pPr>
        <w:pStyle w:val="ListParagraph"/>
        <w:numPr>
          <w:ilvl w:val="0"/>
          <w:numId w:val="2"/>
        </w:numPr>
        <w:spacing w:after="100"/>
      </w:pPr>
      <w:r>
        <w:rPr>
          <w:rFonts w:ascii="Calibri" w:cs="Calibri" w:eastAsia="Calibri" w:hAnsi="Calibri"/>
          <w:sz w:val="22"/>
          <w:szCs w:val="22"/>
        </w:rPr>
        <w:t xml:space="preserve">A.8.5 Information for interested parties</w:t>
      </w:r>
    </w:p>
    <w:p>
      <w:pPr>
        <w:pStyle w:val="Heading3"/>
        <w:spacing w:after="120" w:before="240"/>
      </w:pPr>
      <w:r>
        <w:t xml:space="preserve">A.9 – Use of AI systems</w:t>
      </w:r>
    </w:p>
    <w:p>
      <w:pPr>
        <w:spacing w:after="160" w:line="276"/>
      </w:pPr>
      <w:r>
        <w:rPr>
          <w:rFonts w:ascii="Calibri" w:cs="Calibri" w:eastAsia="Calibri" w:hAnsi="Calibri"/>
          <w:sz w:val="22"/>
          <w:szCs w:val="22"/>
        </w:rPr>
        <w:t xml:space="preserve">Are there controls over how the organization itself uses AI systems (including third-party/off-the-shelf AI), matched to intended use?</w:t>
      </w:r>
    </w:p>
    <w:p>
      <w:pPr>
        <w:pStyle w:val="ListParagraph"/>
        <w:numPr>
          <w:ilvl w:val="0"/>
          <w:numId w:val="2"/>
        </w:numPr>
        <w:spacing w:after="100"/>
      </w:pPr>
      <w:r>
        <w:rPr>
          <w:rFonts w:ascii="Calibri" w:cs="Calibri" w:eastAsia="Calibri" w:hAnsi="Calibri"/>
          <w:sz w:val="22"/>
          <w:szCs w:val="22"/>
        </w:rPr>
        <w:t xml:space="preserve">A.9.2 Responsible-use processes</w:t>
      </w:r>
    </w:p>
    <w:p>
      <w:pPr>
        <w:pStyle w:val="ListParagraph"/>
        <w:numPr>
          <w:ilvl w:val="0"/>
          <w:numId w:val="2"/>
        </w:numPr>
        <w:spacing w:after="100"/>
      </w:pPr>
      <w:r>
        <w:rPr>
          <w:rFonts w:ascii="Calibri" w:cs="Calibri" w:eastAsia="Calibri" w:hAnsi="Calibri"/>
          <w:sz w:val="22"/>
          <w:szCs w:val="22"/>
        </w:rPr>
        <w:t xml:space="preserve">A.9.3 Objectives for responsible use</w:t>
      </w:r>
    </w:p>
    <w:p>
      <w:pPr>
        <w:pStyle w:val="ListParagraph"/>
        <w:numPr>
          <w:ilvl w:val="0"/>
          <w:numId w:val="2"/>
        </w:numPr>
        <w:spacing w:after="100"/>
      </w:pPr>
      <w:r>
        <w:rPr>
          <w:rFonts w:ascii="Calibri" w:cs="Calibri" w:eastAsia="Calibri" w:hAnsi="Calibri"/>
          <w:sz w:val="22"/>
          <w:szCs w:val="22"/>
        </w:rPr>
        <w:t xml:space="preserve">A.9.4 Intended use of the AI system</w:t>
      </w:r>
    </w:p>
    <w:p>
      <w:pPr>
        <w:pStyle w:val="Heading3"/>
        <w:spacing w:after="120" w:before="240"/>
      </w:pPr>
      <w:r>
        <w:t xml:space="preserve">A.10 – Third-party and customer relationships</w:t>
      </w:r>
    </w:p>
    <w:p>
      <w:pPr>
        <w:spacing w:after="160" w:line="276"/>
      </w:pPr>
      <w:r>
        <w:rPr>
          <w:rFonts w:ascii="Calibri" w:cs="Calibri" w:eastAsia="Calibri" w:hAnsi="Calibri"/>
          <w:sz w:val="22"/>
          <w:szCs w:val="22"/>
        </w:rPr>
        <w:t xml:space="preserve">Are AI-related responsibilities clearly split between the org, its AI suppliers, and its customers, with supplier oversight in place?</w:t>
      </w:r>
    </w:p>
    <w:p>
      <w:pPr>
        <w:pStyle w:val="ListParagraph"/>
        <w:numPr>
          <w:ilvl w:val="0"/>
          <w:numId w:val="2"/>
        </w:numPr>
        <w:spacing w:after="100"/>
      </w:pPr>
      <w:r>
        <w:rPr>
          <w:rFonts w:ascii="Calibri" w:cs="Calibri" w:eastAsia="Calibri" w:hAnsi="Calibri"/>
          <w:sz w:val="22"/>
          <w:szCs w:val="22"/>
        </w:rPr>
        <w:t xml:space="preserve">A.10.2 Allocation of responsibilities</w:t>
      </w:r>
    </w:p>
    <w:p>
      <w:pPr>
        <w:pStyle w:val="ListParagraph"/>
        <w:numPr>
          <w:ilvl w:val="0"/>
          <w:numId w:val="2"/>
        </w:numPr>
        <w:spacing w:after="100"/>
      </w:pPr>
      <w:r>
        <w:rPr>
          <w:rFonts w:ascii="Calibri" w:cs="Calibri" w:eastAsia="Calibri" w:hAnsi="Calibri"/>
          <w:sz w:val="22"/>
          <w:szCs w:val="22"/>
        </w:rPr>
        <w:t xml:space="preserve">A.10.3 Suppliers</w:t>
      </w:r>
    </w:p>
    <w:p>
      <w:pPr>
        <w:pStyle w:val="ListParagraph"/>
        <w:numPr>
          <w:ilvl w:val="0"/>
          <w:numId w:val="2"/>
        </w:numPr>
        <w:spacing w:after="100"/>
      </w:pPr>
      <w:r>
        <w:rPr>
          <w:rFonts w:ascii="Calibri" w:cs="Calibri" w:eastAsia="Calibri" w:hAnsi="Calibri"/>
          <w:sz w:val="22"/>
          <w:szCs w:val="22"/>
        </w:rPr>
        <w:t xml:space="preserve">A.10.4 Customers</w:t>
      </w:r>
    </w:p>
    <w:p>
      <w:pPr>
        <w:pStyle w:val="Heading2"/>
        <w:spacing w:after="150" w:before="300"/>
      </w:pPr>
      <w:r>
        <w:t xml:space="preserve">2.5 The Statement of Applicability (SoA)</w:t>
      </w:r>
    </w:p>
    <w:p>
      <w:pPr>
        <w:spacing w:after="160" w:line="276"/>
      </w:pPr>
      <w:r>
        <w:rPr>
          <w:rFonts w:ascii="Calibri" w:cs="Calibri" w:eastAsia="Calibri" w:hAnsi="Calibri"/>
          <w:sz w:val="22"/>
          <w:szCs w:val="22"/>
        </w:rPr>
        <w:t xml:space="preserve">The SoA is the single most important document you will review before Stage 1. For every one of the 38 Annex A controls it records:</w:t>
      </w:r>
    </w:p>
    <w:p>
      <w:pPr>
        <w:pStyle w:val="ListParagraph"/>
        <w:numPr>
          <w:ilvl w:val="0"/>
          <w:numId w:val="3"/>
        </w:numPr>
        <w:spacing w:after="100"/>
      </w:pPr>
      <w:r>
        <w:rPr>
          <w:rFonts w:ascii="Calibri" w:cs="Calibri" w:eastAsia="Calibri" w:hAnsi="Calibri"/>
          <w:sz w:val="22"/>
          <w:szCs w:val="22"/>
        </w:rPr>
        <w:t xml:space="preserve">Whether the control is applicable to the organization's AI systems and context.</w:t>
      </w:r>
    </w:p>
    <w:p>
      <w:pPr>
        <w:pStyle w:val="ListParagraph"/>
        <w:numPr>
          <w:ilvl w:val="0"/>
          <w:numId w:val="3"/>
        </w:numPr>
        <w:spacing w:after="100"/>
      </w:pPr>
      <w:r>
        <w:rPr>
          <w:rFonts w:ascii="Calibri" w:cs="Calibri" w:eastAsia="Calibri" w:hAnsi="Calibri"/>
          <w:sz w:val="22"/>
          <w:szCs w:val="22"/>
        </w:rPr>
        <w:t xml:space="preserve">The justification for including or excluding it (e.g. “excluded – organization does not use third-party AI suppliers”).</w:t>
      </w:r>
    </w:p>
    <w:p>
      <w:pPr>
        <w:pStyle w:val="ListParagraph"/>
        <w:numPr>
          <w:ilvl w:val="0"/>
          <w:numId w:val="3"/>
        </w:numPr>
        <w:spacing w:after="100"/>
      </w:pPr>
      <w:r>
        <w:rPr>
          <w:rFonts w:ascii="Calibri" w:cs="Calibri" w:eastAsia="Calibri" w:hAnsi="Calibri"/>
          <w:sz w:val="22"/>
          <w:szCs w:val="22"/>
        </w:rPr>
        <w:t xml:space="preserve">How the control is implemented (policy, procedure, tool) if included.</w:t>
      </w:r>
    </w:p>
    <w:p>
      <w:pPr>
        <w:spacing w:after="160" w:line="276"/>
      </w:pPr>
      <w:r>
        <w:rPr>
          <w:rFonts w:ascii="Calibri" w:cs="Calibri" w:eastAsia="Calibri" w:hAnsi="Calibri"/>
          <w:sz w:val="22"/>
          <w:szCs w:val="22"/>
        </w:rPr>
        <w:t xml:space="preserve">As an auditor, treat the SoA as a map: it tells you which of the 38 controls you actually need to test, and the organization's own stated justification is itself something you must sample and challenge — don't just accept exclusions at face value.</w:t>
      </w:r>
    </w:p>
    <w:p>
      <w:r>
        <w:br w:type="page"/>
      </w:r>
    </w:p>
    <w:p>
      <w:pPr>
        <w:pStyle w:val="Heading1"/>
        <w:spacing w:after="200" w:before="400"/>
      </w:pPr>
      <w:r>
        <w:t xml:space="preserve">Part Three – The Certification Audit Journey End to End</w:t>
      </w:r>
    </w:p>
    <w:p>
      <w:pPr>
        <w:pStyle w:val="Heading2"/>
        <w:spacing w:after="150" w:before="300"/>
      </w:pPr>
      <w:r>
        <w:t xml:space="preserve">3.1 The Full Timeline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600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Stage</w:t>
            </w:r>
          </w:p>
        </w:tc>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Typical duration</w:t>
            </w:r>
          </w:p>
        </w:tc>
        <w:tc>
          <w:tcPr>
            <w:tcW w:type="dxa" w:w="6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Purpose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Application &amp; scoping</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Varies</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Certification body and client agree scope, sites, and audit team; contract signed.</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Stage 1 – Readiness review</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1–2 days, often remote</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Confirm the AIMS is designed to meet the standard: scope, policy, risk methodology, SoA, and readiness for Stage 2.</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Gap remediation window</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4–12 weeks (max ~6 months)</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Organization fixes any Areas of Concern raised at Stage 1.</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Stage 2 – Certification audit</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3–9+ days, on-site/hybrid</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 whether the AIMS actually operates as designed, clause by clause and control by control.</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Certification decision</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Post-audit</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 independent technical reviewer at the certification body reviews the audit file before a certificate is issued.</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Surveillance audits</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Annually, 2–5+ days</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Shorter sampled audits confirming the AIMS remains effective, across the 3-year certificate cycle.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Recertification audit</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Before year 3 expiry</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full reassessment, similar in depth to the original Stage 2.</w:t>
            </w:r>
          </w:p>
        </w:tc>
      </w:tr>
    </w:tbl>
    <w:p>
      <w:pPr>
        <w:pStyle w:val="Heading2"/>
        <w:spacing w:after="150" w:before="300"/>
      </w:pPr>
      <w:r>
        <w:t xml:space="preserve">3.2 Who's in the Room</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7400"/>
      </w:tblGrid>
      <w:tr>
        <w:trPr>
          <w:cantSplit/>
          <w:tblHeader/>
        </w:trPr>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w:t>
            </w:r>
          </w:p>
        </w:tc>
        <w:tc>
          <w:tcPr>
            <w:tcW w:type="dxa" w:w="7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Responsibility</w:t>
            </w:r>
          </w:p>
        </w:tc>
      </w:tr>
      <w:tr>
        <w:trPr>
          <w:cantSplit/>
        </w:trP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Lead auditor</w:t>
            </w:r>
          </w:p>
        </w:tc>
        <w:tc>
          <w:tcPr>
            <w:tcW w:type="dxa" w:w="7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Owns the audit plan, leads the team, chairs opening/closing meetings, signs the report.</w:t>
            </w:r>
          </w:p>
        </w:tc>
      </w:tr>
      <w:tr>
        <w:trPr>
          <w:cantSplit/>
        </w:trP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Technical expert / AI specialist</w:t>
            </w:r>
          </w:p>
        </w:tc>
        <w:tc>
          <w:tcPr>
            <w:tcW w:type="dxa" w:w="7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Supports the audit team on specialist topics (e.g. model validation, bias testing) without acting as a full auditor.</w:t>
            </w:r>
          </w:p>
        </w:tc>
      </w:tr>
      <w:tr>
        <w:trPr>
          <w:cantSplit/>
        </w:trP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Management representative (auditee)</w:t>
            </w:r>
          </w:p>
        </w:tc>
        <w:tc>
          <w:tcPr>
            <w:tcW w:type="dxa" w:w="7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organization's main point of contact; usually owns the AIMS day to day.</w:t>
            </w:r>
          </w:p>
        </w:tc>
      </w:tr>
      <w:tr>
        <w:trPr>
          <w:cantSplit/>
        </w:trP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Control / process owners (auditee)</w:t>
            </w:r>
          </w:p>
        </w:tc>
        <w:tc>
          <w:tcPr>
            <w:tcW w:type="dxa" w:w="7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Interviewed and provide evidence for their specific area (e.g. data governance lead, ML engineering lead).</w:t>
            </w:r>
          </w:p>
        </w:tc>
      </w:tr>
    </w:tbl>
    <w:p>
      <w:pPr>
        <w:pStyle w:val="Heading2"/>
        <w:spacing w:after="150" w:before="300"/>
      </w:pPr>
      <w:r>
        <w:t xml:space="preserve">3.3 Stage 1 Audit – What Actually Happens</w:t>
      </w:r>
    </w:p>
    <w:p>
      <w:pPr>
        <w:spacing w:after="160" w:line="276"/>
      </w:pPr>
      <w:r>
        <w:rPr>
          <w:rFonts w:ascii="Calibri" w:cs="Calibri" w:eastAsia="Calibri" w:hAnsi="Calibri"/>
          <w:sz w:val="22"/>
          <w:szCs w:val="22"/>
        </w:rPr>
        <w:t xml:space="preserve">Stage 1 is a documentation and readiness review, not a full test of operating effectiveness. The auditor is checking that the blueprint is sound before spending days testing whether it's followed.</w:t>
      </w:r>
    </w:p>
    <w:p>
      <w:pPr>
        <w:pStyle w:val="ListParagraph"/>
        <w:numPr>
          <w:ilvl w:val="0"/>
          <w:numId w:val="2"/>
        </w:numPr>
        <w:spacing w:after="100"/>
      </w:pPr>
      <w:r>
        <w:rPr>
          <w:rFonts w:ascii="Calibri" w:cs="Calibri" w:eastAsia="Calibri" w:hAnsi="Calibri"/>
          <w:sz w:val="22"/>
          <w:szCs w:val="22"/>
        </w:rPr>
        <w:t xml:space="preserve">Confirm the AIMS scope statement is clear, justified, and matches the organization's real AI activities.</w:t>
      </w:r>
    </w:p>
    <w:p>
      <w:pPr>
        <w:pStyle w:val="ListParagraph"/>
        <w:numPr>
          <w:ilvl w:val="0"/>
          <w:numId w:val="2"/>
        </w:numPr>
        <w:spacing w:after="100"/>
      </w:pPr>
      <w:r>
        <w:rPr>
          <w:rFonts w:ascii="Calibri" w:cs="Calibri" w:eastAsia="Calibri" w:hAnsi="Calibri"/>
          <w:sz w:val="22"/>
          <w:szCs w:val="22"/>
        </w:rPr>
        <w:t xml:space="preserve">Review the AI Policy, risk assessment methodology, and Statement of Applicability.</w:t>
      </w:r>
    </w:p>
    <w:p>
      <w:pPr>
        <w:pStyle w:val="ListParagraph"/>
        <w:numPr>
          <w:ilvl w:val="0"/>
          <w:numId w:val="2"/>
        </w:numPr>
        <w:spacing w:after="100"/>
      </w:pPr>
      <w:r>
        <w:rPr>
          <w:rFonts w:ascii="Calibri" w:cs="Calibri" w:eastAsia="Calibri" w:hAnsi="Calibri"/>
          <w:sz w:val="22"/>
          <w:szCs w:val="22"/>
        </w:rPr>
        <w:t xml:space="preserve">Check that Clause 9.2 (internal audit) and 9.3 (management review) have at least been planned, even if not yet executed.</w:t>
      </w:r>
    </w:p>
    <w:p>
      <w:pPr>
        <w:pStyle w:val="ListParagraph"/>
        <w:numPr>
          <w:ilvl w:val="0"/>
          <w:numId w:val="2"/>
        </w:numPr>
        <w:spacing w:after="100"/>
      </w:pPr>
      <w:r>
        <w:rPr>
          <w:rFonts w:ascii="Calibri" w:cs="Calibri" w:eastAsia="Calibri" w:hAnsi="Calibri"/>
          <w:sz w:val="22"/>
          <w:szCs w:val="22"/>
        </w:rPr>
        <w:t xml:space="preserve">Confirm the organization understands and can support a Stage 2 audit (site access, staff availability, sampling plan).</w:t>
      </w:r>
    </w:p>
    <w:p>
      <w:pPr>
        <w:spacing w:after="160" w:line="276"/>
      </w:pPr>
      <w:r>
        <w:rPr>
          <w:rFonts w:ascii="Calibri" w:cs="Calibri" w:eastAsia="Calibri" w:hAnsi="Calibri"/>
          <w:sz w:val="22"/>
          <w:szCs w:val="22"/>
        </w:rPr>
        <w:t xml:space="preserve">Output: a list of “Areas of Concern” (not formal nonconformities) that should be resolved before Stage 2, plus a finalized Stage 2 plan.</w:t>
      </w:r>
    </w:p>
    <w:p>
      <w:pPr>
        <w:pStyle w:val="Heading2"/>
        <w:spacing w:after="150" w:before="300"/>
      </w:pPr>
      <w:r>
        <w:t xml:space="preserve">3.4 Stage 2 Audit – What Actually Happens</w:t>
      </w:r>
    </w:p>
    <w:p>
      <w:pPr>
        <w:spacing w:after="160" w:line="276"/>
      </w:pPr>
      <w:r>
        <w:rPr>
          <w:rFonts w:ascii="Calibri" w:cs="Calibri" w:eastAsia="Calibri" w:hAnsi="Calibri"/>
          <w:sz w:val="22"/>
          <w:szCs w:val="22"/>
        </w:rPr>
        <w:t xml:space="preserve">Stage 2 tests operating effectiveness: does the AIMS work in practice, not just on paper?</w:t>
      </w:r>
    </w:p>
    <w:p>
      <w:pPr>
        <w:pStyle w:val="ListParagraph"/>
        <w:numPr>
          <w:ilvl w:val="0"/>
          <w:numId w:val="2"/>
        </w:numPr>
        <w:spacing w:after="100"/>
      </w:pPr>
      <w:r>
        <w:rPr>
          <w:rFonts w:ascii="Calibri" w:cs="Calibri" w:eastAsia="Calibri" w:hAnsi="Calibri"/>
          <w:sz w:val="22"/>
          <w:szCs w:val="22"/>
        </w:rPr>
        <w:t xml:space="preserve">Trace one or more real AI systems through their full lifecycle — from risk assessment, through design/testing, to production monitoring and incident logs.</w:t>
      </w:r>
    </w:p>
    <w:p>
      <w:pPr>
        <w:pStyle w:val="ListParagraph"/>
        <w:numPr>
          <w:ilvl w:val="0"/>
          <w:numId w:val="2"/>
        </w:numPr>
        <w:spacing w:after="100"/>
      </w:pPr>
      <w:r>
        <w:rPr>
          <w:rFonts w:ascii="Calibri" w:cs="Calibri" w:eastAsia="Calibri" w:hAnsi="Calibri"/>
          <w:sz w:val="22"/>
          <w:szCs w:val="22"/>
        </w:rPr>
        <w:t xml:space="preserve">Interview control owners and sample records against every applicable clause and Annex A control.</w:t>
      </w:r>
    </w:p>
    <w:p>
      <w:pPr>
        <w:pStyle w:val="ListParagraph"/>
        <w:numPr>
          <w:ilvl w:val="0"/>
          <w:numId w:val="2"/>
        </w:numPr>
        <w:spacing w:after="100"/>
      </w:pPr>
      <w:r>
        <w:rPr>
          <w:rFonts w:ascii="Calibri" w:cs="Calibri" w:eastAsia="Calibri" w:hAnsi="Calibri"/>
          <w:sz w:val="22"/>
          <w:szCs w:val="22"/>
        </w:rPr>
        <w:t xml:space="preserve">Test evidence: monitoring dashboards, model/bias test results, training records, change logs, management review minutes, corrective actions from any prior internal audits.</w:t>
      </w:r>
    </w:p>
    <w:p>
      <w:pPr>
        <w:pStyle w:val="ListParagraph"/>
        <w:numPr>
          <w:ilvl w:val="0"/>
          <w:numId w:val="2"/>
        </w:numPr>
        <w:spacing w:after="100"/>
      </w:pPr>
      <w:r>
        <w:rPr>
          <w:rFonts w:ascii="Calibri" w:cs="Calibri" w:eastAsia="Calibri" w:hAnsi="Calibri"/>
          <w:sz w:val="22"/>
          <w:szCs w:val="22"/>
        </w:rPr>
        <w:t xml:space="preserve">Formally grade any nonconformities found (major / minor) and note observations.</w:t>
      </w:r>
    </w:p>
    <w:p>
      <w:pPr>
        <w:spacing w:after="160" w:line="276"/>
      </w:pPr>
      <w:r>
        <w:rPr>
          <w:rFonts w:ascii="Calibri" w:cs="Calibri" w:eastAsia="Calibri" w:hAnsi="Calibri"/>
          <w:sz w:val="22"/>
          <w:szCs w:val="22"/>
        </w:rPr>
        <w:t xml:space="preserve">Output: a formal audit report with a certification recommendation, which goes to an independent reviewer at the certification body for a final decision.</w:t>
      </w:r>
    </w:p>
    <w:p>
      <w:pPr>
        <w:pStyle w:val="Heading2"/>
        <w:spacing w:after="150" w:before="300"/>
      </w:pPr>
      <w:r>
        <w:t xml:space="preserve">3.5 Surveillance and Recertification</w:t>
      </w:r>
    </w:p>
    <w:p>
      <w:pPr>
        <w:spacing w:after="160" w:line="276"/>
      </w:pPr>
      <w:r>
        <w:rPr>
          <w:rFonts w:ascii="Calibri" w:cs="Calibri" w:eastAsia="Calibri" w:hAnsi="Calibri"/>
          <w:sz w:val="22"/>
          <w:szCs w:val="22"/>
        </w:rPr>
        <w:t xml:space="preserve">Once certified, the organization is audited at least annually (surveillance) using a rotating sample of clauses and controls — not everything every time. Before the 3-year certificate expires, a recertification audit repeats the depth of a Stage 2 audit. Template 11 in the workbook helps you plan this multi-year sampling schedule so nothing goes unchecked for the whole cycle.</w:t>
      </w:r>
    </w:p>
    <w:p>
      <w:pPr>
        <w:pStyle w:val="Heading2"/>
        <w:spacing w:after="150" w:before="300"/>
      </w:pPr>
      <w:r>
        <w:t xml:space="preserve">3.6 Running This as an Internal Audit Instead</w:t>
      </w:r>
    </w:p>
    <w:p>
      <w:pPr>
        <w:spacing w:after="160" w:line="276"/>
      </w:pPr>
      <w:r>
        <w:rPr>
          <w:rFonts w:ascii="Calibri" w:cs="Calibri" w:eastAsia="Calibri" w:hAnsi="Calibri"/>
          <w:sz w:val="22"/>
          <w:szCs w:val="22"/>
        </w:rPr>
        <w:t xml:space="preserve">Everything in this handbook works for a first-party (internal) audit — ISO/IEC 42001 Clause 9.2 requires the organization to run one on itself at planned intervals. The audit method, evidence standards, and every template in Part Four are identical. Five things differ in practice, and it's worth being deliberate about each of them.</w:t>
      </w:r>
    </w:p>
    <w:p>
      <w:pPr>
        <w:pStyle w:val="Heading3"/>
        <w:spacing w:after="120" w:before="240"/>
      </w:pPr>
      <w:r>
        <w:t xml:space="preserve">There is no Stage 1 / Stage 2 split</w:t>
      </w:r>
    </w:p>
    <w:p>
      <w:pPr>
        <w:spacing w:after="160" w:line="276"/>
      </w:pPr>
      <w:r>
        <w:rPr>
          <w:rFonts w:ascii="Calibri" w:cs="Calibri" w:eastAsia="Calibri" w:hAnsi="Calibri"/>
          <w:sz w:val="22"/>
          <w:szCs w:val="22"/>
        </w:rPr>
        <w:t xml:space="preserve">Stage 1 and Stage 2 are certification-body constructs required by accreditation rules (ISO/IEC 17021-1), not by ISO/IEC 42001 itself. An internal audit is normally run as a single visit (or a rolling program across the year) using Template 3 (Clause Checklist) and Template 4 (Annex A Controls) directly — you can still use Template 2's document list as a pre-visit desk review if the AIMS is new or has changed significantly, but you don't need to formally label it “Stage 1.”</w:t>
      </w:r>
    </w:p>
    <w:p>
      <w:pPr>
        <w:pStyle w:val="Heading3"/>
        <w:spacing w:after="120" w:before="240"/>
      </w:pPr>
      <w:r>
        <w:t xml:space="preserve">Independence works differently, but it's not optional</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Independence check:  </w:t>
            </w:r>
            <w:r>
              <w:rPr>
                <w:rFonts w:ascii="Calibri" w:cs="Calibri" w:eastAsia="Calibri" w:hAnsi="Calibri"/>
                <w:sz w:val="22"/>
                <w:szCs w:val="22"/>
              </w:rPr>
              <w:t xml:space="preserve">Before you start, confirm that no auditor on the team is auditing their own work area, process, or recent decisions. Clause 9.2 explicitly requires internal auditors to be objective and impartial — this is usually satisfied by having a different team or a peer from another department audit an area, or by using an external contractor for a small organization where every AIMS-relevant person is otherwise implicated.</w:t>
            </w:r>
          </w:p>
        </w:tc>
      </w:tr>
    </w:tbl>
    <w:p>
      <w:pPr>
        <w:spacing w:after="160" w:line="276"/>
      </w:pPr>
      <w:r>
        <w:rPr>
          <w:rFonts w:ascii="Calibri" w:cs="Calibri" w:eastAsia="Calibri" w:hAnsi="Calibri"/>
          <w:sz w:val="22"/>
          <w:szCs w:val="22"/>
        </w:rPr>
        <w:t xml:space="preserve">In a certification audit this is guaranteed structurally (the certification body is a separate organization). In an internal audit you have to engineer it deliberately — record who audited what, and who they report to, so the independence claim is demonstrable if challenged later (including by a future certification body auditor reviewing your internal audit program).</w:t>
      </w:r>
    </w:p>
    <w:p>
      <w:pPr>
        <w:pStyle w:val="Heading3"/>
        <w:spacing w:after="120" w:before="240"/>
      </w:pPr>
      <w:r>
        <w:t xml:space="preserve">The report feeds management review, not a certification decision</w:t>
      </w:r>
    </w:p>
    <w:p>
      <w:pPr>
        <w:spacing w:after="160" w:line="276"/>
      </w:pPr>
      <w:r>
        <w:rPr>
          <w:rFonts w:ascii="Calibri" w:cs="Calibri" w:eastAsia="Calibri" w:hAnsi="Calibri"/>
          <w:sz w:val="22"/>
          <w:szCs w:val="22"/>
        </w:rPr>
        <w:t xml:space="preserve">There's no independent technical reviewer and no certificate at stake. Instead, your completed Template 8 becomes a required input to Clause 9.3 (Management Review) — top management needs your findings, their severity, and your recommendation to decide whether the AIMS remains suitable, adequate and effective. Replace the certification-style recommendation (“Recommend / Recommend with conditions / Do not recommend”) with a management-facing recommendation, for example “No major issues — AIMS operating effectively,” or “Action required — see corrective actions before next review.”</w:t>
      </w:r>
    </w:p>
    <w:p>
      <w:pPr>
        <w:pStyle w:val="Heading3"/>
        <w:spacing w:after="120" w:before="240"/>
      </w:pPr>
      <w:r>
        <w:t xml:space="preserve">Scheduling follows your own audit program, not a 3-year cycle</w:t>
      </w:r>
    </w:p>
    <w:p>
      <w:pPr>
        <w:spacing w:after="160" w:line="276"/>
      </w:pPr>
      <w:r>
        <w:rPr>
          <w:rFonts w:ascii="Calibri" w:cs="Calibri" w:eastAsia="Calibri" w:hAnsi="Calibri"/>
          <w:sz w:val="22"/>
          <w:szCs w:val="22"/>
        </w:rPr>
        <w:t xml:space="preserve">Third-party certification locks you into Stage 1/Stage 2/surveillance/recertification on a 3-year clock set by the certification body. An internal audit program is set by the organization itself — commonly annual, or risk-based (auditing higher-risk AI systems more frequently). Template 11 still works for this: rename “Year 1/2/3 Surveillance” to your own audit cycle labels (e.g. “H1 2027,” “H2 2027”) and use it the same way, to make sure every clause and applicable control gets covered over your chosen cycle.</w:t>
      </w:r>
    </w:p>
    <w:p>
      <w:pPr>
        <w:pStyle w:val="Heading3"/>
        <w:spacing w:after="120" w:before="240"/>
      </w:pPr>
      <w:r>
        <w:t xml:space="preserve">Quick translation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cantSplit/>
          <w:tblHeader/>
        </w:trPr>
        <w:tc>
          <w:tcPr>
            <w:tcW w:type="dxa" w:w="4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Certification-audit term (used elsewhere in this handbook)</w:t>
            </w:r>
          </w:p>
        </w:tc>
        <w:tc>
          <w:tcPr>
            <w:tcW w:type="dxa" w:w="4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Internal-audit equivalent</w:t>
            </w:r>
          </w:p>
        </w:tc>
      </w:tr>
      <w:tr>
        <w:trPr>
          <w:cantSplit/>
        </w:trPr>
        <w:tc>
          <w:tcPr>
            <w:tcW w:type="dxa" w:w="4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Certification body</w:t>
            </w:r>
          </w:p>
        </w:tc>
        <w:tc>
          <w:tcPr>
            <w:tcW w:type="dxa" w:w="4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Internal audit function, compliance team, or an independent peer/contractor</w:t>
            </w:r>
          </w:p>
        </w:tc>
      </w:tr>
      <w:tr>
        <w:trPr>
          <w:cantSplit/>
        </w:trPr>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Stage 1 + Stage 2</w:t>
            </w:r>
          </w:p>
        </w:tc>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single audit visit, or a rolling program across the year, using Templates 3 &amp; 4 directly</w:t>
            </w:r>
          </w:p>
        </w:tc>
      </w:tr>
      <w:tr>
        <w:trPr>
          <w:cantSplit/>
        </w:trPr>
        <w:tc>
          <w:tcPr>
            <w:tcW w:type="dxa" w:w="4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Certification decision / independent technical reviewer</w:t>
            </w:r>
          </w:p>
        </w:tc>
        <w:tc>
          <w:tcPr>
            <w:tcW w:type="dxa" w:w="4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Management review (Clause 9.3) — top management decides on adequacy and next steps</w:t>
            </w:r>
          </w:p>
        </w:tc>
      </w:tr>
      <w:tr>
        <w:trPr>
          <w:cantSplit/>
        </w:trPr>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Certification recommendation (Template 8)</w:t>
            </w:r>
          </w:p>
        </w:tc>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Recommendation to management, e.g. “No major issues” or “Action required”</w:t>
            </w:r>
          </w:p>
        </w:tc>
      </w:tr>
      <w:tr>
        <w:trPr>
          <w:cantSplit/>
        </w:trPr>
        <w:tc>
          <w:tcPr>
            <w:tcW w:type="dxa" w:w="4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Surveillance audit</w:t>
            </w:r>
          </w:p>
        </w:tc>
        <w:tc>
          <w:tcPr>
            <w:tcW w:type="dxa" w:w="4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Next scheduled internal audit visit in the organization's own audit program</w:t>
            </w:r>
          </w:p>
        </w:tc>
      </w:tr>
      <w:tr>
        <w:trPr>
          <w:cantSplit/>
        </w:trPr>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Recertification audit</w:t>
            </w:r>
          </w:p>
        </w:tc>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Full-scope internal audit at the organization's own chosen interval (e.g. annually)</w:t>
            </w:r>
          </w:p>
        </w:tc>
      </w:tr>
      <w:tr>
        <w:trPr>
          <w:cantSplit/>
        </w:trPr>
        <w:tc>
          <w:tcPr>
            <w:tcW w:type="dxa" w:w="4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Lead auditor (accredited, external)</w:t>
            </w:r>
          </w:p>
        </w:tc>
        <w:tc>
          <w:tcPr>
            <w:tcW w:type="dxa" w:w="4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Internal audit lead — must still be independent of the area being audited</w:t>
            </w:r>
          </w:p>
        </w:tc>
      </w:tr>
    </w:tbl>
    <w:p>
      <w:pPr>
        <w:spacing w:after="160" w:line="276"/>
      </w:pPr>
      <w:r>
        <w:rPr>
          <w:rFonts w:ascii="Calibri" w:cs="Calibri" w:eastAsia="Calibri" w:hAnsi="Calibri"/>
          <w:sz w:val="22"/>
          <w:szCs w:val="22"/>
        </w:rPr>
        <w:t xml:space="preserve">Templates 1 and 8 in the companion workbook both include an "Audit Program Type" field — set it to Internal Audit and the field labels and dropdown options adjust to this language.</w:t>
      </w:r>
    </w:p>
    <w:p>
      <w:r>
        <w:br w:type="page"/>
      </w:r>
    </w:p>
    <w:p>
      <w:pPr>
        <w:pStyle w:val="Heading1"/>
        <w:spacing w:after="200" w:before="400"/>
      </w:pPr>
      <w:r>
        <w:t xml:space="preserve">Part Four – Step-by-Step Walkthroughs</w:t>
      </w:r>
    </w:p>
    <w:p>
      <w:pPr>
        <w:spacing w:after="160" w:line="276"/>
      </w:pPr>
      <w:r>
        <w:rPr>
          <w:rFonts w:ascii="Calibri" w:cs="Calibri" w:eastAsia="Calibri" w:hAnsi="Calibri"/>
          <w:sz w:val="22"/>
          <w:szCs w:val="22"/>
        </w:rPr>
        <w:t xml:space="preserve">Each walkthrough below maps to one tab in the companion workbook, “ISO 42001 Audit Toolkit.xlsx.” Work through them in order the first time; on future audits, jump straight to the tab you need.</w:t>
      </w:r>
    </w:p>
    <w:p>
      <w:pPr>
        <w:pStyle w:val="Heading2"/>
        <w:spacing w:after="150" w:before="300"/>
      </w:pPr>
      <w:r>
        <w:t xml:space="preserve">Walkthrough A: Building the Audit Program &amp; Plan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1 - Audit Program" in the ISO 42001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a vague request (“audit our AIMS”) into a concrete, resourced, scheduled engagement.</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At the very start of every audit — internal or third-party, initial or surveillance.</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Confirm the audit type (Stage 1, Stage 2, surveillance, recertification, or internal) and the trigger (scheduled cycle, contract requirement, incident).</w:t>
      </w:r>
    </w:p>
    <w:p>
      <w:pPr>
        <w:pStyle w:val="ListParagraph"/>
        <w:numPr>
          <w:ilvl w:val="0"/>
          <w:numId w:val="3"/>
        </w:numPr>
        <w:spacing w:after="100"/>
      </w:pPr>
      <w:r>
        <w:rPr>
          <w:rFonts w:ascii="Calibri" w:cs="Calibri" w:eastAsia="Calibri" w:hAnsi="Calibri"/>
          <w:sz w:val="22"/>
          <w:szCs w:val="22"/>
        </w:rPr>
        <w:t xml:space="preserve">Define the audit objectives — typically: determine conformity to ISO/IEC 42001, evaluate the AIMS's ability to meet applicable requirements, and identify improvement opportunities.</w:t>
      </w:r>
    </w:p>
    <w:p>
      <w:pPr>
        <w:pStyle w:val="ListParagraph"/>
        <w:numPr>
          <w:ilvl w:val="0"/>
          <w:numId w:val="3"/>
        </w:numPr>
        <w:spacing w:after="100"/>
      </w:pPr>
      <w:r>
        <w:rPr>
          <w:rFonts w:ascii="Calibri" w:cs="Calibri" w:eastAsia="Calibri" w:hAnsi="Calibri"/>
          <w:sz w:val="22"/>
          <w:szCs w:val="22"/>
        </w:rPr>
        <w:t xml:space="preserve">Define the scope: which sites, business units, AI systems and organizational boundaries are included — pull this from the client's own AIMS scope statement, don't invent your own.</w:t>
      </w:r>
    </w:p>
    <w:p>
      <w:pPr>
        <w:pStyle w:val="ListParagraph"/>
        <w:numPr>
          <w:ilvl w:val="0"/>
          <w:numId w:val="3"/>
        </w:numPr>
        <w:spacing w:after="100"/>
      </w:pPr>
      <w:r>
        <w:rPr>
          <w:rFonts w:ascii="Calibri" w:cs="Calibri" w:eastAsia="Calibri" w:hAnsi="Calibri"/>
          <w:sz w:val="22"/>
          <w:szCs w:val="22"/>
        </w:rPr>
        <w:t xml:space="preserve">Define the audit criteria: ISO/IEC 42001:2023 clauses 4–10, the organization's Statement of Applicability, and its own documented AIMS procedures.</w:t>
      </w:r>
    </w:p>
    <w:p>
      <w:pPr>
        <w:pStyle w:val="ListParagraph"/>
        <w:numPr>
          <w:ilvl w:val="0"/>
          <w:numId w:val="3"/>
        </w:numPr>
        <w:spacing w:after="100"/>
      </w:pPr>
      <w:r>
        <w:rPr>
          <w:rFonts w:ascii="Calibri" w:cs="Calibri" w:eastAsia="Calibri" w:hAnsi="Calibri"/>
          <w:sz w:val="22"/>
          <w:szCs w:val="22"/>
        </w:rPr>
        <w:t xml:space="preserve">Assign a competent, independent audit team; note any technical experts needed (e.g. someone who understands model validation or the client's specific AI use case).</w:t>
      </w:r>
    </w:p>
    <w:p>
      <w:pPr>
        <w:pStyle w:val="ListParagraph"/>
        <w:numPr>
          <w:ilvl w:val="0"/>
          <w:numId w:val="3"/>
        </w:numPr>
        <w:spacing w:after="100"/>
      </w:pPr>
      <w:r>
        <w:rPr>
          <w:rFonts w:ascii="Calibri" w:cs="Calibri" w:eastAsia="Calibri" w:hAnsi="Calibri"/>
          <w:sz w:val="22"/>
          <w:szCs w:val="22"/>
        </w:rPr>
        <w:t xml:space="preserve">Set dates for Stage 1, the remediation window, and Stage 2 (or the single visit, for an internal audit).</w:t>
      </w:r>
    </w:p>
    <w:p>
      <w:pPr>
        <w:pStyle w:val="ListParagraph"/>
        <w:numPr>
          <w:ilvl w:val="0"/>
          <w:numId w:val="3"/>
        </w:numPr>
        <w:spacing w:after="100"/>
      </w:pPr>
      <w:r>
        <w:rPr>
          <w:rFonts w:ascii="Calibri" w:cs="Calibri" w:eastAsia="Calibri" w:hAnsi="Calibri"/>
          <w:sz w:val="22"/>
          <w:szCs w:val="22"/>
        </w:rPr>
        <w:t xml:space="preserve">Fill in Template 1's schedule grid, listing each clause/control area against a planned date and assigned auditor.</w:t>
      </w:r>
    </w:p>
    <w:p>
      <w:pPr>
        <w:pStyle w:val="ListParagraph"/>
        <w:numPr>
          <w:ilvl w:val="0"/>
          <w:numId w:val="3"/>
        </w:numPr>
        <w:spacing w:after="100"/>
      </w:pPr>
      <w:r>
        <w:rPr>
          <w:rFonts w:ascii="Calibri" w:cs="Calibri" w:eastAsia="Calibri" w:hAnsi="Calibri"/>
          <w:sz w:val="22"/>
          <w:szCs w:val="22"/>
        </w:rPr>
        <w:t xml:space="preserve">Send the plan to the auditee's management representative for confirmation of logistics (site access, interviewee availability, remote/on-site mix).</w:t>
      </w:r>
    </w:p>
    <w:p>
      <w:pPr>
        <w:pStyle w:val="Heading3"/>
        <w:spacing w:after="120" w:before="240"/>
      </w:pPr>
      <w:r>
        <w:t xml:space="preserve">Worked example</w:t>
      </w:r>
    </w:p>
    <w:p>
      <w:pPr>
        <w:spacing w:after="160" w:line="276"/>
      </w:pPr>
      <w:r>
        <w:rPr>
          <w:rFonts w:ascii="Calibri" w:cs="Calibri" w:eastAsia="Calibri" w:hAnsi="Calibri"/>
          <w:sz w:val="22"/>
          <w:szCs w:val="22"/>
        </w:rPr>
        <w:t xml:space="preserve">A 40-person AI startup providing a hiring-screening model requests Stage 1 + Stage 2 certification. Scope: “Development and provision of the AI-powered candidate screening product, [Product Name], including the AIMS supporting its full lifecycle, at the single Austin, TX office.” Objectives: standard three above. Criteria: ISO/IEC 42001:2023 + client SoA v1.2 + client Risk Management Procedure v3.</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let scope creep in without a documented scope change — if the auditee's actual footprint (e.g. a second AI product) doesn't match the stated scope, that's a Stage 1 finding, not something to just note verbally.</w:t>
      </w:r>
    </w:p>
    <w:p>
      <w:pPr>
        <w:pStyle w:val="ListParagraph"/>
        <w:numPr>
          <w:ilvl w:val="0"/>
          <w:numId w:val="2"/>
        </w:numPr>
        <w:spacing w:after="100"/>
      </w:pPr>
      <w:r>
        <w:rPr>
          <w:rFonts w:ascii="Calibri" w:cs="Calibri" w:eastAsia="Calibri" w:hAnsi="Calibri"/>
          <w:sz w:val="22"/>
          <w:szCs w:val="22"/>
        </w:rPr>
        <w:t xml:space="preserve">Under-resourcing the plan (e.g. one auditor, two days, for a company running twelve AI systems) is the single most common root cause of a weak audit — size the plan to the number of AI systems and controls in scope.</w:t>
      </w:r>
    </w:p>
    <w:p>
      <w:pPr>
        <w:spacing w:after="200"/>
      </w:pPr>
    </w:p>
    <w:p>
      <w:pPr>
        <w:pStyle w:val="Heading2"/>
        <w:spacing w:after="150" w:before="300"/>
      </w:pPr>
      <w:r>
        <w:t xml:space="preserve">Walkthrough B: Running the Opening Meeting</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7 - Meeting Minutes" in the ISO 42001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Set expectations, confirm logistics, and remove ambiguity before evidence-gathering starts.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The first activity of every on-site or remote audit day one.</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Introduce the audit team and confirm attendee list against Template 7's sign-in section.</w:t>
      </w:r>
    </w:p>
    <w:p>
      <w:pPr>
        <w:pStyle w:val="ListParagraph"/>
        <w:numPr>
          <w:ilvl w:val="0"/>
          <w:numId w:val="3"/>
        </w:numPr>
        <w:spacing w:after="100"/>
      </w:pPr>
      <w:r>
        <w:rPr>
          <w:rFonts w:ascii="Calibri" w:cs="Calibri" w:eastAsia="Calibri" w:hAnsi="Calibri"/>
          <w:sz w:val="22"/>
          <w:szCs w:val="22"/>
        </w:rPr>
        <w:t xml:space="preserve">Reconfirm objectives, scope and criteria from Template 1 — ask the auditee to confirm nothing has changed.</w:t>
      </w:r>
    </w:p>
    <w:p>
      <w:pPr>
        <w:pStyle w:val="ListParagraph"/>
        <w:numPr>
          <w:ilvl w:val="0"/>
          <w:numId w:val="3"/>
        </w:numPr>
        <w:spacing w:after="100"/>
      </w:pPr>
      <w:r>
        <w:rPr>
          <w:rFonts w:ascii="Calibri" w:cs="Calibri" w:eastAsia="Calibri" w:hAnsi="Calibri"/>
          <w:sz w:val="22"/>
          <w:szCs w:val="22"/>
        </w:rPr>
        <w:t xml:space="preserve">Explain the audit method: interviews, document sampling, system walkthroughs, and how findings will be communicated (daily debriefs are good practice for multi-day audits).</w:t>
      </w:r>
    </w:p>
    <w:p>
      <w:pPr>
        <w:pStyle w:val="ListParagraph"/>
        <w:numPr>
          <w:ilvl w:val="0"/>
          <w:numId w:val="3"/>
        </w:numPr>
        <w:spacing w:after="100"/>
      </w:pPr>
      <w:r>
        <w:rPr>
          <w:rFonts w:ascii="Calibri" w:cs="Calibri" w:eastAsia="Calibri" w:hAnsi="Calibri"/>
          <w:sz w:val="22"/>
          <w:szCs w:val="22"/>
        </w:rPr>
        <w:t xml:space="preserve">Confirm confidentiality expectations and reporting language (major/minor/observation).</w:t>
      </w:r>
    </w:p>
    <w:p>
      <w:pPr>
        <w:pStyle w:val="ListParagraph"/>
        <w:numPr>
          <w:ilvl w:val="0"/>
          <w:numId w:val="3"/>
        </w:numPr>
        <w:spacing w:after="100"/>
      </w:pPr>
      <w:r>
        <w:rPr>
          <w:rFonts w:ascii="Calibri" w:cs="Calibri" w:eastAsia="Calibri" w:hAnsi="Calibri"/>
          <w:sz w:val="22"/>
          <w:szCs w:val="22"/>
        </w:rPr>
        <w:t xml:space="preserve">Confirm practical logistics: work areas, IT/system access, availability of interviewees, health &amp; safety/site rules, and the time of the closing meeting.</w:t>
      </w:r>
    </w:p>
    <w:p>
      <w:pPr>
        <w:pStyle w:val="ListParagraph"/>
        <w:numPr>
          <w:ilvl w:val="0"/>
          <w:numId w:val="3"/>
        </w:numPr>
        <w:spacing w:after="100"/>
      </w:pPr>
      <w:r>
        <w:rPr>
          <w:rFonts w:ascii="Calibri" w:cs="Calibri" w:eastAsia="Calibri" w:hAnsi="Calibri"/>
          <w:sz w:val="22"/>
          <w:szCs w:val="22"/>
        </w:rPr>
        <w:t xml:space="preserve">Record any last-minute scope or documentation changes raised by the auditee.</w:t>
      </w:r>
    </w:p>
    <w:p>
      <w:pPr>
        <w:pStyle w:val="ListParagraph"/>
        <w:numPr>
          <w:ilvl w:val="0"/>
          <w:numId w:val="3"/>
        </w:numPr>
        <w:spacing w:after="100"/>
      </w:pPr>
      <w:r>
        <w:rPr>
          <w:rFonts w:ascii="Calibri" w:cs="Calibri" w:eastAsia="Calibri" w:hAnsi="Calibri"/>
          <w:sz w:val="22"/>
          <w:szCs w:val="22"/>
        </w:rPr>
        <w:t xml:space="preserve">Have the lead auditor and management representative sign/date the meeting record in Template 7.</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If the auditee tries to narrow scope verbally in this meeting (“we'd rather you not look at Product X”), don't agree informally — this needs to go back through the audit plan (Template 1) as a documented, justified change.</w:t>
      </w:r>
    </w:p>
    <w:p>
      <w:pPr>
        <w:spacing w:after="200"/>
      </w:pPr>
    </w:p>
    <w:p>
      <w:pPr>
        <w:pStyle w:val="Heading2"/>
        <w:spacing w:after="150" w:before="300"/>
      </w:pPr>
      <w:r>
        <w:t xml:space="preserve">Walkthrough C: Stage 1 Documentation Review</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2 - Stage 1 Checklist" in the ISO 42001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Confirm the AIMS design is sound before committing days to Stage 2.</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After the opening meeting, before any Stage 2 is scheduled.</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Request the core document set in advance: scope statement, AI Policy, risk assessment methodology, risk register, SoA, risk treatment plan, AI system impact assessment process, internal audit program, and management review schedule.</w:t>
      </w:r>
    </w:p>
    <w:p>
      <w:pPr>
        <w:pStyle w:val="ListParagraph"/>
        <w:numPr>
          <w:ilvl w:val="0"/>
          <w:numId w:val="3"/>
        </w:numPr>
        <w:spacing w:after="100"/>
      </w:pPr>
      <w:r>
        <w:rPr>
          <w:rFonts w:ascii="Calibri" w:cs="Calibri" w:eastAsia="Calibri" w:hAnsi="Calibri"/>
          <w:sz w:val="22"/>
          <w:szCs w:val="22"/>
        </w:rPr>
        <w:t xml:space="preserve">Work down Template 2's checklist, mapped to Clauses 4–7 plus the SoA — for each item, record whether the document exists, whether it addresses the clause's requirements, and any gaps.</w:t>
      </w:r>
    </w:p>
    <w:p>
      <w:pPr>
        <w:pStyle w:val="ListParagraph"/>
        <w:numPr>
          <w:ilvl w:val="0"/>
          <w:numId w:val="3"/>
        </w:numPr>
        <w:spacing w:after="100"/>
      </w:pPr>
      <w:r>
        <w:rPr>
          <w:rFonts w:ascii="Calibri" w:cs="Calibri" w:eastAsia="Calibri" w:hAnsi="Calibri"/>
          <w:sz w:val="22"/>
          <w:szCs w:val="22"/>
        </w:rPr>
        <w:t xml:space="preserve">Check internal consistency: does the risk register reference the same AI systems named in the scope statement? Does the SoA's justification match what's actually described in the risk treatment plan?</w:t>
      </w:r>
    </w:p>
    <w:p>
      <w:pPr>
        <w:pStyle w:val="ListParagraph"/>
        <w:numPr>
          <w:ilvl w:val="0"/>
          <w:numId w:val="3"/>
        </w:numPr>
        <w:spacing w:after="100"/>
      </w:pPr>
      <w:r>
        <w:rPr>
          <w:rFonts w:ascii="Calibri" w:cs="Calibri" w:eastAsia="Calibri" w:hAnsi="Calibri"/>
          <w:sz w:val="22"/>
          <w:szCs w:val="22"/>
        </w:rPr>
        <w:t xml:space="preserve">Verify Clause 9.2 and 9.3 have at least been planned (dates, owners) even though you won't test execution until Stage 2.</w:t>
      </w:r>
    </w:p>
    <w:p>
      <w:pPr>
        <w:pStyle w:val="ListParagraph"/>
        <w:numPr>
          <w:ilvl w:val="0"/>
          <w:numId w:val="3"/>
        </w:numPr>
        <w:spacing w:after="100"/>
      </w:pPr>
      <w:r>
        <w:rPr>
          <w:rFonts w:ascii="Calibri" w:cs="Calibri" w:eastAsia="Calibri" w:hAnsi="Calibri"/>
          <w:sz w:val="22"/>
          <w:szCs w:val="22"/>
        </w:rPr>
        <w:t xml:space="preserve">Compile Areas of Concern (AOCs) — gaps serious enough to block a productive Stage 2 — distinct from full nonconformities, which are not issued at Stage 1.</w:t>
      </w:r>
    </w:p>
    <w:p>
      <w:pPr>
        <w:pStyle w:val="ListParagraph"/>
        <w:numPr>
          <w:ilvl w:val="0"/>
          <w:numId w:val="3"/>
        </w:numPr>
        <w:spacing w:after="100"/>
      </w:pPr>
      <w:r>
        <w:rPr>
          <w:rFonts w:ascii="Calibri" w:cs="Calibri" w:eastAsia="Calibri" w:hAnsi="Calibri"/>
          <w:sz w:val="22"/>
          <w:szCs w:val="22"/>
        </w:rPr>
        <w:t xml:space="preserve">Agree remediation actions and a realistic Stage 2 date with the auditee (Template 1).</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common beginner mistake is treating Stage 1 like a light version of Stage 2 and trying to test operating effectiveness — resist this; Stage 1 is about the design being complete and coherent, not yet about proof it works.</w:t>
      </w:r>
    </w:p>
    <w:p>
      <w:pPr>
        <w:pStyle w:val="ListParagraph"/>
        <w:numPr>
          <w:ilvl w:val="0"/>
          <w:numId w:val="2"/>
        </w:numPr>
        <w:spacing w:after="100"/>
      </w:pPr>
      <w:r>
        <w:rPr>
          <w:rFonts w:ascii="Calibri" w:cs="Calibri" w:eastAsia="Calibri" w:hAnsi="Calibri"/>
          <w:sz w:val="22"/>
          <w:szCs w:val="22"/>
        </w:rPr>
        <w:t xml:space="preserve">If the SoA excludes a control the organization clearly needs (e.g. excluding A.10.3 Suppliers when the client heavily uses third-party foundation models), flag it as an AOC immediately — it will resurface as a major NC at Stage 2 if ignored.</w:t>
      </w:r>
    </w:p>
    <w:p>
      <w:pPr>
        <w:spacing w:after="200"/>
      </w:pPr>
    </w:p>
    <w:p>
      <w:pPr>
        <w:pStyle w:val="Heading2"/>
        <w:spacing w:after="150" w:before="300"/>
      </w:pPr>
      <w:r>
        <w:t xml:space="preserve">Walkthrough D: Stage 2 Clause-by-Clause Audit</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3 - Stage 2 Clauses" in the ISO 42001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Test whether Clauses 4–10 are implemented and operating effectively, not just documented.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During the main certification (or internal) audit.</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For each clause row in Template 3, read the pre-filled audit question, then gather evidence via document review, interview, or observation.</w:t>
      </w:r>
    </w:p>
    <w:p>
      <w:pPr>
        <w:pStyle w:val="ListParagraph"/>
        <w:numPr>
          <w:ilvl w:val="0"/>
          <w:numId w:val="3"/>
        </w:numPr>
        <w:spacing w:after="100"/>
      </w:pPr>
      <w:r>
        <w:rPr>
          <w:rFonts w:ascii="Calibri" w:cs="Calibri" w:eastAsia="Calibri" w:hAnsi="Calibri"/>
          <w:sz w:val="22"/>
          <w:szCs w:val="22"/>
        </w:rPr>
        <w:t xml:space="preserve">Always follow the “audit trail” principle: pick a real example (a specific AI system, a specific risk, a specific training record) and trace it end-to-end rather than asking generic questions.</w:t>
      </w:r>
    </w:p>
    <w:p>
      <w:pPr>
        <w:pStyle w:val="ListParagraph"/>
        <w:numPr>
          <w:ilvl w:val="0"/>
          <w:numId w:val="3"/>
        </w:numPr>
        <w:spacing w:after="100"/>
      </w:pPr>
      <w:r>
        <w:rPr>
          <w:rFonts w:ascii="Calibri" w:cs="Calibri" w:eastAsia="Calibri" w:hAnsi="Calibri"/>
          <w:sz w:val="22"/>
          <w:szCs w:val="22"/>
        </w:rPr>
        <w:t xml:space="preserve">Record exactly what evidence you examined in the 'Evidence Examined' column (document name/ID, interviewee, date, system observed) — this must be specific enough that someone else could find the same evidence later.</w:t>
      </w:r>
    </w:p>
    <w:p>
      <w:pPr>
        <w:pStyle w:val="ListParagraph"/>
        <w:numPr>
          <w:ilvl w:val="0"/>
          <w:numId w:val="3"/>
        </w:numPr>
        <w:spacing w:after="100"/>
      </w:pPr>
      <w:r>
        <w:rPr>
          <w:rFonts w:ascii="Calibri" w:cs="Calibri" w:eastAsia="Calibri" w:hAnsi="Calibri"/>
          <w:sz w:val="22"/>
          <w:szCs w:val="22"/>
        </w:rPr>
        <w:t xml:space="preserve">Mark each row Conforms / Nonconformity / Observation, and cross-reference any nonconformity to a row in Template 6 (NC Tracker).</w:t>
      </w:r>
    </w:p>
    <w:p>
      <w:pPr>
        <w:pStyle w:val="ListParagraph"/>
        <w:numPr>
          <w:ilvl w:val="0"/>
          <w:numId w:val="3"/>
        </w:numPr>
        <w:spacing w:after="100"/>
      </w:pPr>
      <w:r>
        <w:rPr>
          <w:rFonts w:ascii="Calibri" w:cs="Calibri" w:eastAsia="Calibri" w:hAnsi="Calibri"/>
          <w:sz w:val="22"/>
          <w:szCs w:val="22"/>
        </w:rPr>
        <w:t xml:space="preserve">Use a risk-based sampling approach: spend more time on higher-risk AI systems (e.g. one affecting hiring or credit decisions) than on a low-risk internal chatbot.</w:t>
      </w:r>
    </w:p>
    <w:p>
      <w:pPr>
        <w:pStyle w:val="ListParagraph"/>
        <w:numPr>
          <w:ilvl w:val="0"/>
          <w:numId w:val="3"/>
        </w:numPr>
        <w:spacing w:after="100"/>
      </w:pPr>
      <w:r>
        <w:rPr>
          <w:rFonts w:ascii="Calibri" w:cs="Calibri" w:eastAsia="Calibri" w:hAnsi="Calibri"/>
          <w:sz w:val="22"/>
          <w:szCs w:val="22"/>
        </w:rPr>
        <w:t xml:space="preserve">At the end of each day, summarize progress and any emerging themes for the daily debrief with the auditee.</w:t>
      </w:r>
    </w:p>
    <w:p>
      <w:pPr>
        <w:pStyle w:val="Heading3"/>
        <w:spacing w:after="120" w:before="240"/>
      </w:pPr>
      <w:r>
        <w:t xml:space="preserve">Worked example</w:t>
      </w:r>
    </w:p>
    <w:p>
      <w:pPr>
        <w:spacing w:after="160" w:line="276"/>
      </w:pPr>
      <w:r>
        <w:rPr>
          <w:rFonts w:ascii="Calibri" w:cs="Calibri" w:eastAsia="Calibri" w:hAnsi="Calibri"/>
          <w:sz w:val="22"/>
          <w:szCs w:val="22"/>
        </w:rPr>
        <w:t xml:space="preserve">Clause 6.1.4 (AI system impact assessment) row: Question — “Has an impact assessment been performed for each in-scope AI system, covering effects on individuals, groups and society?” Evidence examined — “Impact Assessment IA-2026-004 for [Product Name], dated 2026-03-02, reviewed with ML Lead J. Alvarez; sampled 2 of 5 required assessments.” Result — Nonconformity (Minor): 3 of 5 in-scope AI systems had no completed impact assessment on file.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Vague evidence notes (“confirmed via interview” with no name, date, or specifics) make your findings indefensible if challenged — always name the who/what/when.</w:t>
      </w:r>
    </w:p>
    <w:p>
      <w:pPr>
        <w:pStyle w:val="ListParagraph"/>
        <w:numPr>
          <w:ilvl w:val="0"/>
          <w:numId w:val="2"/>
        </w:numPr>
        <w:spacing w:after="100"/>
      </w:pPr>
      <w:r>
        <w:rPr>
          <w:rFonts w:ascii="Calibri" w:cs="Calibri" w:eastAsia="Calibri" w:hAnsi="Calibri"/>
          <w:sz w:val="22"/>
          <w:szCs w:val="22"/>
        </w:rPr>
        <w:t xml:space="preserve">Don't confuse 'the document says it happens' with 'it happens' — always ask for the record that proves execution (a completed form, a log entry, a signed-off report).</w:t>
      </w:r>
    </w:p>
    <w:p>
      <w:pPr>
        <w:spacing w:after="200"/>
      </w:pPr>
    </w:p>
    <w:p>
      <w:pPr>
        <w:pStyle w:val="Heading2"/>
        <w:spacing w:after="150" w:before="300"/>
      </w:pPr>
      <w:r>
        <w:t xml:space="preserve">Walkthrough E: Auditing the Annex A Controls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4 - Annex A Controls" in the ISO 42001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Verify that every control marked 'applicable' in the SoA is genuinely implemented.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Alongside the Stage 2 clause audit — typically organized by AI system rather than strictly control-by-control.</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Cross-reference Template 4 against the client's Statement of Applicability: only test controls marked applicable, but spot-check a sample of 'not applicable' justifications too.</w:t>
      </w:r>
    </w:p>
    <w:p>
      <w:pPr>
        <w:pStyle w:val="ListParagraph"/>
        <w:numPr>
          <w:ilvl w:val="0"/>
          <w:numId w:val="3"/>
        </w:numPr>
        <w:spacing w:after="100"/>
      </w:pPr>
      <w:r>
        <w:rPr>
          <w:rFonts w:ascii="Calibri" w:cs="Calibri" w:eastAsia="Calibri" w:hAnsi="Calibri"/>
          <w:sz w:val="22"/>
          <w:szCs w:val="22"/>
        </w:rPr>
        <w:t xml:space="preserve">For each applicable control, use the pre-filled plain-language audit question in Template 4 as your interview/document-review starting point.</w:t>
      </w:r>
    </w:p>
    <w:p>
      <w:pPr>
        <w:pStyle w:val="ListParagraph"/>
        <w:numPr>
          <w:ilvl w:val="0"/>
          <w:numId w:val="3"/>
        </w:numPr>
        <w:spacing w:after="100"/>
      </w:pPr>
      <w:r>
        <w:rPr>
          <w:rFonts w:ascii="Calibri" w:cs="Calibri" w:eastAsia="Calibri" w:hAnsi="Calibri"/>
          <w:sz w:val="22"/>
          <w:szCs w:val="22"/>
        </w:rPr>
        <w:t xml:space="preserve">Gather at least one piece of objective evidence per control per AI system sampled — a policy alone is not sufficient evidence of an operational control.</w:t>
      </w:r>
    </w:p>
    <w:p>
      <w:pPr>
        <w:pStyle w:val="ListParagraph"/>
        <w:numPr>
          <w:ilvl w:val="0"/>
          <w:numId w:val="3"/>
        </w:numPr>
        <w:spacing w:after="100"/>
      </w:pPr>
      <w:r>
        <w:rPr>
          <w:rFonts w:ascii="Calibri" w:cs="Calibri" w:eastAsia="Calibri" w:hAnsi="Calibri"/>
          <w:sz w:val="22"/>
          <w:szCs w:val="22"/>
        </w:rPr>
        <w:t xml:space="preserve">For life-cycle controls (A.6), trace one AI system from requirements (A.6.2.2) through to production monitoring and event logging (A.6.2.6–A.6.2.8) as a single continuous thread.</w:t>
      </w:r>
    </w:p>
    <w:p>
      <w:pPr>
        <w:pStyle w:val="ListParagraph"/>
        <w:numPr>
          <w:ilvl w:val="0"/>
          <w:numId w:val="3"/>
        </w:numPr>
        <w:spacing w:after="100"/>
      </w:pPr>
      <w:r>
        <w:rPr>
          <w:rFonts w:ascii="Calibri" w:cs="Calibri" w:eastAsia="Calibri" w:hAnsi="Calibri"/>
          <w:sz w:val="22"/>
          <w:szCs w:val="22"/>
        </w:rPr>
        <w:t xml:space="preserve">For data controls (A.7), sample actual training/operational datasets and check provenance records, not just the data-quality procedure document.</w:t>
      </w:r>
    </w:p>
    <w:p>
      <w:pPr>
        <w:pStyle w:val="ListParagraph"/>
        <w:numPr>
          <w:ilvl w:val="0"/>
          <w:numId w:val="3"/>
        </w:numPr>
        <w:spacing w:after="100"/>
      </w:pPr>
      <w:r>
        <w:rPr>
          <w:rFonts w:ascii="Calibri" w:cs="Calibri" w:eastAsia="Calibri" w:hAnsi="Calibri"/>
          <w:sz w:val="22"/>
          <w:szCs w:val="22"/>
        </w:rPr>
        <w:t xml:space="preserve">Record conformity, evidence, and any nonconformities exactly as in Template 3, cross-referencing Template 6.</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audit all 38 controls in isolation from the clauses — the most efficient and realistic audits interleave Annex A controls into the same system walkthroughs used for Clause 8 (Operation).</w:t>
      </w:r>
    </w:p>
    <w:p>
      <w:pPr>
        <w:pStyle w:val="ListParagraph"/>
        <w:numPr>
          <w:ilvl w:val="0"/>
          <w:numId w:val="2"/>
        </w:numPr>
        <w:spacing w:after="100"/>
      </w:pPr>
      <w:r>
        <w:rPr>
          <w:rFonts w:ascii="Calibri" w:cs="Calibri" w:eastAsia="Calibri" w:hAnsi="Calibri"/>
          <w:sz w:val="22"/>
          <w:szCs w:val="22"/>
        </w:rPr>
        <w:t xml:space="preserve">Applicability is not permanent — if the organization has started using a new AI supplier since the SoA was written, A.10.3 (Suppliers) may now be applicable even if the SoA still says otherwise; flag the SoA itself as needing an update.</w:t>
      </w:r>
    </w:p>
    <w:p>
      <w:pPr>
        <w:spacing w:after="200"/>
      </w:pPr>
    </w:p>
    <w:p>
      <w:pPr>
        <w:pStyle w:val="Heading2"/>
        <w:spacing w:after="150" w:before="300"/>
      </w:pPr>
      <w:r>
        <w:t xml:space="preserve">Walkthrough F: Logging Evidence As You Go</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5 - Evidence Log" in the ISO 42001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Keep a single, chronological, defensible record of everything you examined.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Continuously, throughout Stage 1 and Stage 2 — not reconstructed afterward from memory.</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Every time you review a document, interview someone, or observe a system, add one row to Template 5 immediately.</w:t>
      </w:r>
    </w:p>
    <w:p>
      <w:pPr>
        <w:pStyle w:val="ListParagraph"/>
        <w:numPr>
          <w:ilvl w:val="0"/>
          <w:numId w:val="3"/>
        </w:numPr>
        <w:spacing w:after="100"/>
      </w:pPr>
      <w:r>
        <w:rPr>
          <w:rFonts w:ascii="Calibri" w:cs="Calibri" w:eastAsia="Calibri" w:hAnsi="Calibri"/>
          <w:sz w:val="22"/>
          <w:szCs w:val="22"/>
        </w:rPr>
        <w:t xml:space="preserve">Record: a unique Evidence ID, date/time, source (person interviewed or document reference with version/date), the clause or control it relates to, and a specific description of what you saw.</w:t>
      </w:r>
    </w:p>
    <w:p>
      <w:pPr>
        <w:pStyle w:val="ListParagraph"/>
        <w:numPr>
          <w:ilvl w:val="0"/>
          <w:numId w:val="3"/>
        </w:numPr>
        <w:spacing w:after="100"/>
      </w:pPr>
      <w:r>
        <w:rPr>
          <w:rFonts w:ascii="Calibri" w:cs="Calibri" w:eastAsia="Calibri" w:hAnsi="Calibri"/>
          <w:sz w:val="22"/>
          <w:szCs w:val="22"/>
        </w:rPr>
        <w:t xml:space="preserve">Tag each row with a status: Supports Conformity / Supports Nonconformity / Needs Follow-up.</w:t>
      </w:r>
    </w:p>
    <w:p>
      <w:pPr>
        <w:pStyle w:val="ListParagraph"/>
        <w:numPr>
          <w:ilvl w:val="0"/>
          <w:numId w:val="3"/>
        </w:numPr>
        <w:spacing w:after="100"/>
      </w:pPr>
      <w:r>
        <w:rPr>
          <w:rFonts w:ascii="Calibri" w:cs="Calibri" w:eastAsia="Calibri" w:hAnsi="Calibri"/>
          <w:sz w:val="22"/>
          <w:szCs w:val="22"/>
        </w:rPr>
        <w:t xml:space="preserve">Cross-reference Evidence IDs from Templates 3, 4 and 6 back into this log so any finding can be traced to its exact source.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Reconstructing evidence notes at the end of the day from memory is how audits lose credibility — log in real time, even briefly, then expand at the next break.</w:t>
      </w:r>
    </w:p>
    <w:p>
      <w:pPr>
        <w:spacing w:after="200"/>
      </w:pPr>
    </w:p>
    <w:p>
      <w:pPr>
        <w:pStyle w:val="Heading2"/>
        <w:spacing w:after="150" w:before="300"/>
      </w:pPr>
      <w:r>
        <w:t xml:space="preserve">Walkthrough G: Writing Nonconformities and Grading Severity</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6 - NC Tracker" in the ISO 42001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a gap you observed into a clear, defensible, actionable finding.</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As soon as you identify a gap between what the standard/procedure requires and what you found.</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Write the finding using the 'Should be / As found' structure: ‘Should be’ states the requirement in the standard or the organization's own procedure, in neutral language, with no personal opinion; ‘As found’ states exactly what you observed, including the objective evidence (document IDs, sample sizes, names/dates).</w:t>
      </w:r>
    </w:p>
    <w:p>
      <w:pPr>
        <w:pStyle w:val="ListParagraph"/>
        <w:numPr>
          <w:ilvl w:val="0"/>
          <w:numId w:val="3"/>
        </w:numPr>
        <w:spacing w:after="100"/>
      </w:pPr>
      <w:r>
        <w:rPr>
          <w:rFonts w:ascii="Calibri" w:cs="Calibri" w:eastAsia="Calibri" w:hAnsi="Calibri"/>
          <w:sz w:val="22"/>
          <w:szCs w:val="22"/>
        </w:rPr>
        <w:t xml:space="preserve">Cross-reference the specific clause or Annex A control number the finding relates to.</w:t>
      </w:r>
    </w:p>
    <w:p>
      <w:pPr>
        <w:pStyle w:val="ListParagraph"/>
        <w:numPr>
          <w:ilvl w:val="0"/>
          <w:numId w:val="3"/>
        </w:numPr>
        <w:spacing w:after="100"/>
      </w:pPr>
      <w:r>
        <w:rPr>
          <w:rFonts w:ascii="Calibri" w:cs="Calibri" w:eastAsia="Calibri" w:hAnsi="Calibri"/>
          <w:sz w:val="22"/>
          <w:szCs w:val="22"/>
        </w:rPr>
        <w:t xml:space="preserve">Grade the finding using the decision rules below, and record the grade in Template 6.</w:t>
      </w:r>
    </w:p>
    <w:p>
      <w:pPr>
        <w:pStyle w:val="ListParagraph"/>
        <w:numPr>
          <w:ilvl w:val="0"/>
          <w:numId w:val="3"/>
        </w:numPr>
        <w:spacing w:after="100"/>
      </w:pPr>
      <w:r>
        <w:rPr>
          <w:rFonts w:ascii="Calibri" w:cs="Calibri" w:eastAsia="Calibri" w:hAnsi="Calibri"/>
          <w:sz w:val="22"/>
          <w:szCs w:val="22"/>
        </w:rPr>
        <w:t xml:space="preserve">Where possible, note the scope of the gap (isolated incident vs. pattern across multiple systems/teams) — this evidence supports your grading and helps the auditee's root cause analysis.</w:t>
      </w:r>
    </w:p>
    <w:p>
      <w:pPr>
        <w:pStyle w:val="ListParagraph"/>
        <w:numPr>
          <w:ilvl w:val="0"/>
          <w:numId w:val="3"/>
        </w:numPr>
        <w:spacing w:after="100"/>
      </w:pPr>
      <w:r>
        <w:rPr>
          <w:rFonts w:ascii="Calibri" w:cs="Calibri" w:eastAsia="Calibri" w:hAnsi="Calibri"/>
          <w:sz w:val="22"/>
          <w:szCs w:val="22"/>
        </w:rPr>
        <w:t xml:space="preserve">Present the finding to the auditee for factual acknowledgment (not agreement with severity) before the closing meeting — factual disputes should be resolved before the report is finalized, severity grading is the auditor's call.</w:t>
      </w:r>
    </w:p>
    <w:p>
      <w:pPr>
        <w:pStyle w:val="ListParagraph"/>
        <w:numPr>
          <w:ilvl w:val="0"/>
          <w:numId w:val="3"/>
        </w:numPr>
        <w:spacing w:after="100"/>
      </w:pPr>
      <w:r>
        <w:rPr>
          <w:rFonts w:ascii="Calibri" w:cs="Calibri" w:eastAsia="Calibri" w:hAnsi="Calibri"/>
          <w:sz w:val="22"/>
          <w:szCs w:val="22"/>
        </w:rPr>
        <w:t xml:space="preserve">After the audit, track the auditee's correction, root cause and corrective action to verified closure in Template 9.</w:t>
      </w:r>
    </w:p>
    <w:p>
      <w:pPr>
        <w:pStyle w:val="Heading3"/>
        <w:spacing w:after="120" w:before="240"/>
      </w:pPr>
      <w:r>
        <w:t xml:space="preserve">Worked example</w:t>
      </w:r>
    </w:p>
    <w:p>
      <w:pPr>
        <w:spacing w:after="160" w:line="276"/>
      </w:pPr>
      <w:r>
        <w:rPr>
          <w:rFonts w:ascii="Calibri" w:cs="Calibri" w:eastAsia="Calibri" w:hAnsi="Calibri"/>
          <w:sz w:val="22"/>
          <w:szCs w:val="22"/>
        </w:rPr>
        <w:t xml:space="preserve">Should be: “The organization's Risk Treatment Procedure (RTP-01, v2) requires an AI system impact assessment to be completed and approved before any AI system is moved to production.”</w:t>
      </w:r>
    </w:p>
    <w:p>
      <w:pPr>
        <w:spacing w:after="160" w:line="276"/>
      </w:pPr>
      <w:r>
        <w:rPr>
          <w:rFonts w:ascii="Calibri" w:cs="Calibri" w:eastAsia="Calibri" w:hAnsi="Calibri"/>
          <w:sz w:val="22"/>
          <w:szCs w:val="22"/>
        </w:rPr>
        <w:t xml:space="preserve">As found: “Of 5 AI systems in scope, 3 (Product A, Product C, internal tool D) were in production without a completed impact assessment on file. Product A has been in production since 2025-11-01, 9 months prior to this audit.”</w:t>
      </w:r>
    </w:p>
    <w:p>
      <w:pPr>
        <w:spacing w:after="160" w:line="276"/>
      </w:pPr>
      <w:r>
        <w:rPr>
          <w:rFonts w:ascii="Calibri" w:cs="Calibri" w:eastAsia="Calibri" w:hAnsi="Calibri"/>
          <w:sz w:val="22"/>
          <w:szCs w:val="22"/>
        </w:rPr>
        <w:t xml:space="preserve">Grading rationale: Affects 3 of 5 systems (pattern, not isolated) and one system has operated 9 months outside the control → graded Major.</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Major nonconformity: a required process or control is missing entirely, has broken down systemically, or a cluster of related minors shows the AIMS is not achieving its intended outcome for that area.</w:t>
      </w:r>
    </w:p>
    <w:p>
      <w:pPr>
        <w:pStyle w:val="ListParagraph"/>
        <w:numPr>
          <w:ilvl w:val="0"/>
          <w:numId w:val="2"/>
        </w:numPr>
        <w:spacing w:after="100"/>
      </w:pPr>
      <w:r>
        <w:rPr>
          <w:rFonts w:ascii="Calibri" w:cs="Calibri" w:eastAsia="Calibri" w:hAnsi="Calibri"/>
          <w:sz w:val="22"/>
          <w:szCs w:val="22"/>
        </w:rPr>
        <w:t xml:space="preserve">Minor nonconformity: an isolated lapse in an otherwise-functioning process (e.g. one training record missing a signature) that doesn't call the whole control into question.</w:t>
      </w:r>
    </w:p>
    <w:p>
      <w:pPr>
        <w:pStyle w:val="ListParagraph"/>
        <w:numPr>
          <w:ilvl w:val="0"/>
          <w:numId w:val="2"/>
        </w:numPr>
        <w:spacing w:after="100"/>
      </w:pPr>
      <w:r>
        <w:rPr>
          <w:rFonts w:ascii="Calibri" w:cs="Calibri" w:eastAsia="Calibri" w:hAnsi="Calibri"/>
          <w:sz w:val="22"/>
          <w:szCs w:val="22"/>
        </w:rPr>
        <w:t xml:space="preserve">Observation / OFI: not a nonconformity at all — a good-practice suggestion. Don't inflate observations into nonconformities just to look thorough, and don't downgrade a real pattern to an observation just to be lenient.</w:t>
      </w:r>
    </w:p>
    <w:p>
      <w:pPr>
        <w:pStyle w:val="ListParagraph"/>
        <w:numPr>
          <w:ilvl w:val="0"/>
          <w:numId w:val="2"/>
        </w:numPr>
        <w:spacing w:after="100"/>
      </w:pPr>
      <w:r>
        <w:rPr>
          <w:rFonts w:ascii="Calibri" w:cs="Calibri" w:eastAsia="Calibri" w:hAnsi="Calibri"/>
          <w:sz w:val="22"/>
          <w:szCs w:val="22"/>
        </w:rPr>
        <w:t xml:space="preserve">Never write a finding as a personal opinion (“I think their training program is weak”) — always anchor to a specific requirement and specific evidence.</w:t>
      </w:r>
    </w:p>
    <w:p>
      <w:pPr>
        <w:spacing w:after="200"/>
      </w:pPr>
    </w:p>
    <w:p>
      <w:pPr>
        <w:pStyle w:val="Heading2"/>
        <w:spacing w:after="150" w:before="300"/>
      </w:pPr>
      <w:r>
        <w:t xml:space="preserve">Walkthrough H: The Closing Meeting</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7 - Meeting Minutes" in the ISO 42001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Present findings clearly, resolve factual disputes, and confirm next steps — with no surprises in the written report.</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At the end of the on-site/remote audit period.</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Thank participants and restate the scope, objectives and criteria that were actually covered (note any planned areas that could not be sampled, and why).</w:t>
      </w:r>
    </w:p>
    <w:p>
      <w:pPr>
        <w:pStyle w:val="ListParagraph"/>
        <w:numPr>
          <w:ilvl w:val="0"/>
          <w:numId w:val="3"/>
        </w:numPr>
        <w:spacing w:after="100"/>
      </w:pPr>
      <w:r>
        <w:rPr>
          <w:rFonts w:ascii="Calibri" w:cs="Calibri" w:eastAsia="Calibri" w:hAnsi="Calibri"/>
          <w:sz w:val="22"/>
          <w:szCs w:val="22"/>
        </w:rPr>
        <w:t xml:space="preserve">Present each nonconformity using the Should be/As found structure from Template 6, and each observation, in order of severity.</w:t>
      </w:r>
    </w:p>
    <w:p>
      <w:pPr>
        <w:pStyle w:val="ListParagraph"/>
        <w:numPr>
          <w:ilvl w:val="0"/>
          <w:numId w:val="3"/>
        </w:numPr>
        <w:spacing w:after="100"/>
      </w:pPr>
      <w:r>
        <w:rPr>
          <w:rFonts w:ascii="Calibri" w:cs="Calibri" w:eastAsia="Calibri" w:hAnsi="Calibri"/>
          <w:sz w:val="22"/>
          <w:szCs w:val="22"/>
        </w:rPr>
        <w:t xml:space="preserve">Give the auditee the opportunity to provide additional factual evidence on the spot if they believe a finding is factually incorrect — update the record if warranted, but do not let this become a severity negotiation.</w:t>
      </w:r>
    </w:p>
    <w:p>
      <w:pPr>
        <w:pStyle w:val="ListParagraph"/>
        <w:numPr>
          <w:ilvl w:val="0"/>
          <w:numId w:val="3"/>
        </w:numPr>
        <w:spacing w:after="100"/>
      </w:pPr>
      <w:r>
        <w:rPr>
          <w:rFonts w:ascii="Calibri" w:cs="Calibri" w:eastAsia="Calibri" w:hAnsi="Calibri"/>
          <w:sz w:val="22"/>
          <w:szCs w:val="22"/>
        </w:rPr>
        <w:t xml:space="preserve">Explain the certification recommendation process, timeline for the written report, and expectations for corrective action submission and deadlines.</w:t>
      </w:r>
    </w:p>
    <w:p>
      <w:pPr>
        <w:pStyle w:val="ListParagraph"/>
        <w:numPr>
          <w:ilvl w:val="0"/>
          <w:numId w:val="3"/>
        </w:numPr>
        <w:spacing w:after="100"/>
      </w:pPr>
      <w:r>
        <w:rPr>
          <w:rFonts w:ascii="Calibri" w:cs="Calibri" w:eastAsia="Calibri" w:hAnsi="Calibri"/>
          <w:sz w:val="22"/>
          <w:szCs w:val="22"/>
        </w:rPr>
        <w:t xml:space="preserve">Record attendance, key discussion points, and any disagreements in Template 7's closing-meeting section.</w:t>
      </w:r>
    </w:p>
    <w:p>
      <w:pPr>
        <w:pStyle w:val="ListParagraph"/>
        <w:numPr>
          <w:ilvl w:val="0"/>
          <w:numId w:val="3"/>
        </w:numPr>
        <w:spacing w:after="100"/>
      </w:pPr>
      <w:r>
        <w:rPr>
          <w:rFonts w:ascii="Calibri" w:cs="Calibri" w:eastAsia="Calibri" w:hAnsi="Calibri"/>
          <w:sz w:val="22"/>
          <w:szCs w:val="22"/>
        </w:rPr>
        <w:t xml:space="preserve">Confirm next steps and dates (report delivery date, corrective action due date, any follow-up audit).</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Findings presented for the first time in the written report, with nothing raised at the closing meeting, will reasonably be seen as unfair — there should be zero surprises between closing meeting and report.</w:t>
      </w:r>
    </w:p>
    <w:p>
      <w:pPr>
        <w:spacing w:after="200"/>
      </w:pPr>
    </w:p>
    <w:p>
      <w:pPr>
        <w:pStyle w:val="Heading2"/>
        <w:spacing w:after="150" w:before="300"/>
      </w:pPr>
      <w:r>
        <w:t xml:space="preserve">Walkthrough I: Writing the Audit Report</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8 - Audit Report" in the ISO 42001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Produce a single authoritative record of the audit, sufficient on its own for a certification decision.</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Within the certification body's required timeframe after the closing meeting (commonly 5–10 business days).</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Complete the header fields in Template 8: organization, scope, criteria, dates, audit team, and audit type (Stage 1/2/surveillance/recertification).</w:t>
      </w:r>
    </w:p>
    <w:p>
      <w:pPr>
        <w:pStyle w:val="ListParagraph"/>
        <w:numPr>
          <w:ilvl w:val="0"/>
          <w:numId w:val="3"/>
        </w:numPr>
        <w:spacing w:after="100"/>
      </w:pPr>
      <w:r>
        <w:rPr>
          <w:rFonts w:ascii="Calibri" w:cs="Calibri" w:eastAsia="Calibri" w:hAnsi="Calibri"/>
          <w:sz w:val="22"/>
          <w:szCs w:val="22"/>
        </w:rPr>
        <w:t xml:space="preserve">Write an executive summary: overall conclusion on conformity, number and severity of findings, and a certification recommendation (recommend / recommend with conditions / do not recommend).</w:t>
      </w:r>
    </w:p>
    <w:p>
      <w:pPr>
        <w:pStyle w:val="ListParagraph"/>
        <w:numPr>
          <w:ilvl w:val="0"/>
          <w:numId w:val="3"/>
        </w:numPr>
        <w:spacing w:after="100"/>
      </w:pPr>
      <w:r>
        <w:rPr>
          <w:rFonts w:ascii="Calibri" w:cs="Calibri" w:eastAsia="Calibri" w:hAnsi="Calibri"/>
          <w:sz w:val="22"/>
          <w:szCs w:val="22"/>
        </w:rPr>
        <w:t xml:space="preserve">List every nonconformity and observation, pulling directly from Template 6 — do not re-word or soften findings that were already presented at the closing meeting.</w:t>
      </w:r>
    </w:p>
    <w:p>
      <w:pPr>
        <w:pStyle w:val="ListParagraph"/>
        <w:numPr>
          <w:ilvl w:val="0"/>
          <w:numId w:val="3"/>
        </w:numPr>
        <w:spacing w:after="100"/>
      </w:pPr>
      <w:r>
        <w:rPr>
          <w:rFonts w:ascii="Calibri" w:cs="Calibri" w:eastAsia="Calibri" w:hAnsi="Calibri"/>
          <w:sz w:val="22"/>
          <w:szCs w:val="22"/>
        </w:rPr>
        <w:t xml:space="preserve">Summarize the areas/clauses/controls actually sampled versus planned, and disclose any limitations (e.g. an interviewee unavailable, a system not accessible).</w:t>
      </w:r>
    </w:p>
    <w:p>
      <w:pPr>
        <w:pStyle w:val="ListParagraph"/>
        <w:numPr>
          <w:ilvl w:val="0"/>
          <w:numId w:val="3"/>
        </w:numPr>
        <w:spacing w:after="100"/>
      </w:pPr>
      <w:r>
        <w:rPr>
          <w:rFonts w:ascii="Calibri" w:cs="Calibri" w:eastAsia="Calibri" w:hAnsi="Calibri"/>
          <w:sz w:val="22"/>
          <w:szCs w:val="22"/>
        </w:rPr>
        <w:t xml:space="preserve">Attach or reference the completed Templates 2–6 as supporting audit working papers.</w:t>
      </w:r>
    </w:p>
    <w:p>
      <w:pPr>
        <w:pStyle w:val="ListParagraph"/>
        <w:numPr>
          <w:ilvl w:val="0"/>
          <w:numId w:val="3"/>
        </w:numPr>
        <w:spacing w:after="100"/>
      </w:pPr>
      <w:r>
        <w:rPr>
          <w:rFonts w:ascii="Calibri" w:cs="Calibri" w:eastAsia="Calibri" w:hAnsi="Calibri"/>
          <w:sz w:val="22"/>
          <w:szCs w:val="22"/>
        </w:rPr>
        <w:t xml:space="preserve">Have the lead auditor sign and date the report, then submit for independent technical review at the certification body (for third-party audits) or to management (for internal audits, per Clause 9.3).</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report with findings but no clear overall recommendation leaves the certification decision-maker (or management, internally) without what they need — always state a clear conclusion.</w:t>
      </w:r>
    </w:p>
    <w:p>
      <w:pPr>
        <w:spacing w:after="200"/>
      </w:pPr>
    </w:p>
    <w:p>
      <w:pPr>
        <w:pStyle w:val="Heading2"/>
        <w:spacing w:after="150" w:before="300"/>
      </w:pPr>
      <w:r>
        <w:t xml:space="preserve">Walkthrough J: Tracking Corrective Actions to Closure</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9 - CAP Tracker" in the ISO 42001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Ensure every nonconformity is not just promised a fix, but demonstrably and effectively closed.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After the report is issued, continuing until every nonconformity is verified closed (required before certification for majors, and within an agreed window for minors).</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For each nonconformity, require the auditee to submit: the correction (immediate fix), the root cause analysis, and the corrective action (systemic fix preventing recurrence).</w:t>
      </w:r>
    </w:p>
    <w:p>
      <w:pPr>
        <w:pStyle w:val="ListParagraph"/>
        <w:numPr>
          <w:ilvl w:val="0"/>
          <w:numId w:val="3"/>
        </w:numPr>
        <w:spacing w:after="100"/>
      </w:pPr>
      <w:r>
        <w:rPr>
          <w:rFonts w:ascii="Calibri" w:cs="Calibri" w:eastAsia="Calibri" w:hAnsi="Calibri"/>
          <w:sz w:val="22"/>
          <w:szCs w:val="22"/>
        </w:rPr>
        <w:t xml:space="preserve">Record the submission in Template 9 with owner and due date.</w:t>
      </w:r>
    </w:p>
    <w:p>
      <w:pPr>
        <w:pStyle w:val="ListParagraph"/>
        <w:numPr>
          <w:ilvl w:val="0"/>
          <w:numId w:val="3"/>
        </w:numPr>
        <w:spacing w:after="100"/>
      </w:pPr>
      <w:r>
        <w:rPr>
          <w:rFonts w:ascii="Calibri" w:cs="Calibri" w:eastAsia="Calibri" w:hAnsi="Calibri"/>
          <w:sz w:val="22"/>
          <w:szCs w:val="22"/>
        </w:rPr>
        <w:t xml:space="preserve">Assess whether the root cause analysis is genuine (addresses why the process failed) rather than superficial (“we reminded staff to follow the procedure” without explaining why they didn't).</w:t>
      </w:r>
    </w:p>
    <w:p>
      <w:pPr>
        <w:pStyle w:val="ListParagraph"/>
        <w:numPr>
          <w:ilvl w:val="0"/>
          <w:numId w:val="3"/>
        </w:numPr>
        <w:spacing w:after="100"/>
      </w:pPr>
      <w:r>
        <w:rPr>
          <w:rFonts w:ascii="Calibri" w:cs="Calibri" w:eastAsia="Calibri" w:hAnsi="Calibri"/>
          <w:sz w:val="22"/>
          <w:szCs w:val="22"/>
        </w:rPr>
        <w:t xml:space="preserve">Where possible, verify closure with evidence rather than a written assurance — request the actual updated record, a follow-up sample, or (for major NCs) conduct a focused follow-up audit.</w:t>
      </w:r>
    </w:p>
    <w:p>
      <w:pPr>
        <w:pStyle w:val="ListParagraph"/>
        <w:numPr>
          <w:ilvl w:val="0"/>
          <w:numId w:val="3"/>
        </w:numPr>
        <w:spacing w:after="100"/>
      </w:pPr>
      <w:r>
        <w:rPr>
          <w:rFonts w:ascii="Calibri" w:cs="Calibri" w:eastAsia="Calibri" w:hAnsi="Calibri"/>
          <w:sz w:val="22"/>
          <w:szCs w:val="22"/>
        </w:rPr>
        <w:t xml:space="preserve">Mark the nonconformity 'Closed – Verified' only once objective evidence of effectiveness exists; otherwise keep it open and escalate per the certification body's timeline rules.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Closing a major nonconformity based on a promise or a policy update alone, with no evidence the fix actually works, is one of the most common quality failures in certification audits — always ask 'how do you know this worked?'</w:t>
      </w:r>
    </w:p>
    <w:p>
      <w:pPr>
        <w:spacing w:after="200"/>
      </w:pPr>
    </w:p>
    <w:p>
      <w:pPr>
        <w:pStyle w:val="Heading2"/>
        <w:spacing w:after="150" w:before="300"/>
      </w:pPr>
      <w:r>
        <w:t xml:space="preserve">Walkthrough K: Maintaining an AI Risk Register Across Audits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10 - AI Risk Register" in the ISO 42001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Give yourself (and future auditors) a living record of the organization's AI risk landscape to focus future audits.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Updated at every audit, referenced when scoping the next one.</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Log every AI system in scope, its purpose, and its risk classification (e.g. based on potential impact on individuals/society, per Clause 6.1.4).</w:t>
      </w:r>
    </w:p>
    <w:p>
      <w:pPr>
        <w:pStyle w:val="ListParagraph"/>
        <w:numPr>
          <w:ilvl w:val="0"/>
          <w:numId w:val="3"/>
        </w:numPr>
        <w:spacing w:after="100"/>
      </w:pPr>
      <w:r>
        <w:rPr>
          <w:rFonts w:ascii="Calibri" w:cs="Calibri" w:eastAsia="Calibri" w:hAnsi="Calibri"/>
          <w:sz w:val="22"/>
          <w:szCs w:val="22"/>
        </w:rPr>
        <w:t xml:space="preserve">Record identified risks, existing controls, residual risk rating, and the owner, pulling from the organization's own risk register plus your own audit observations.</w:t>
      </w:r>
    </w:p>
    <w:p>
      <w:pPr>
        <w:pStyle w:val="ListParagraph"/>
        <w:numPr>
          <w:ilvl w:val="0"/>
          <w:numId w:val="3"/>
        </w:numPr>
        <w:spacing w:after="100"/>
      </w:pPr>
      <w:r>
        <w:rPr>
          <w:rFonts w:ascii="Calibri" w:cs="Calibri" w:eastAsia="Calibri" w:hAnsi="Calibri"/>
          <w:sz w:val="22"/>
          <w:szCs w:val="22"/>
        </w:rPr>
        <w:t xml:space="preserve">After each audit, update the register with new systems discovered, changes in risk rating, and any nonconformities linked to specific risks.</w:t>
      </w:r>
    </w:p>
    <w:p>
      <w:pPr>
        <w:pStyle w:val="ListParagraph"/>
        <w:numPr>
          <w:ilvl w:val="0"/>
          <w:numId w:val="3"/>
        </w:numPr>
        <w:spacing w:after="100"/>
      </w:pPr>
      <w:r>
        <w:rPr>
          <w:rFonts w:ascii="Calibri" w:cs="Calibri" w:eastAsia="Calibri" w:hAnsi="Calibri"/>
          <w:sz w:val="22"/>
          <w:szCs w:val="22"/>
        </w:rPr>
        <w:t xml:space="preserve">Use this register at the planning stage of the next audit (Template 1) to prioritize sampling toward the highest-risk systems.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Treat the client's own risk register as an evidence source to test (does it match reality?), and this template as your independent audit-side record — the two should be compared, not merged.</w:t>
      </w:r>
    </w:p>
    <w:p>
      <w:pPr>
        <w:spacing w:after="200"/>
      </w:pPr>
    </w:p>
    <w:p>
      <w:pPr>
        <w:pStyle w:val="Heading2"/>
        <w:spacing w:after="150" w:before="300"/>
      </w:pPr>
      <w:r>
        <w:t xml:space="preserve">Walkthrough L: Planning Your Multi-Year Audit Schedule</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11 - Audit Schedule" in the ISO 42001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Make sure every clause and every applicable Annex A control gets tested at least once across the 3-year certification cycle, even though surveillance audits only sample a subset each year.</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Immediately after initial certification, and reviewed after every audit.</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List all clauses (4–10) and applicable Annex A controls down the rows.</w:t>
      </w:r>
    </w:p>
    <w:p>
      <w:pPr>
        <w:pStyle w:val="ListParagraph"/>
        <w:numPr>
          <w:ilvl w:val="0"/>
          <w:numId w:val="3"/>
        </w:numPr>
        <w:spacing w:after="100"/>
      </w:pPr>
      <w:r>
        <w:rPr>
          <w:rFonts w:ascii="Calibri" w:cs="Calibri" w:eastAsia="Calibri" w:hAnsi="Calibri"/>
          <w:sz w:val="22"/>
          <w:szCs w:val="22"/>
        </w:rPr>
        <w:t xml:space="preserve">Across three columns (Year 1 surveillance, Year 2 surveillance, Year 3 recertification), mark which items will be sampled each year, ensuring full coverage by year 3.</w:t>
      </w:r>
    </w:p>
    <w:p>
      <w:pPr>
        <w:pStyle w:val="ListParagraph"/>
        <w:numPr>
          <w:ilvl w:val="0"/>
          <w:numId w:val="3"/>
        </w:numPr>
        <w:spacing w:after="100"/>
      </w:pPr>
      <w:r>
        <w:rPr>
          <w:rFonts w:ascii="Calibri" w:cs="Calibri" w:eastAsia="Calibri" w:hAnsi="Calibri"/>
          <w:sz w:val="22"/>
          <w:szCs w:val="22"/>
        </w:rPr>
        <w:t xml:space="preserve">Weight high-risk AI systems and any areas with prior nonconformities toward earlier surveillance visits.</w:t>
      </w:r>
    </w:p>
    <w:p>
      <w:pPr>
        <w:pStyle w:val="ListParagraph"/>
        <w:numPr>
          <w:ilvl w:val="0"/>
          <w:numId w:val="3"/>
        </w:numPr>
        <w:spacing w:after="100"/>
      </w:pPr>
      <w:r>
        <w:rPr>
          <w:rFonts w:ascii="Calibri" w:cs="Calibri" w:eastAsia="Calibri" w:hAnsi="Calibri"/>
          <w:sz w:val="22"/>
          <w:szCs w:val="22"/>
        </w:rPr>
        <w:t xml:space="preserve">Update the plan after each visit based on actual findings and any new AI systems introduced.</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schedule that samples the same easy clauses every year and never revisits a control tied to a past major nonconformity will not satisfy a competent technical reviewer — build revisits of past findings into the plan explicitly.</w:t>
      </w:r>
    </w:p>
    <w:p>
      <w:pPr>
        <w:spacing w:after="200"/>
      </w:pPr>
    </w:p>
    <w:p>
      <w:r>
        <w:br w:type="page"/>
      </w:r>
    </w:p>
    <w:p>
      <w:pPr>
        <w:pStyle w:val="Heading1"/>
        <w:spacing w:after="200" w:before="400"/>
      </w:pPr>
      <w:r>
        <w:t xml:space="preserve">Part Five – Reusing the Toolkit for Future Audits</w:t>
      </w:r>
    </w:p>
    <w:p>
      <w:pPr>
        <w:pStyle w:val="Heading2"/>
        <w:spacing w:after="150" w:before="300"/>
      </w:pPr>
      <w:r>
        <w:t xml:space="preserve">5.1 Treat the Toolkit as a Living System, Not a One-Off Form</w:t>
      </w:r>
    </w:p>
    <w:p>
      <w:pPr>
        <w:pStyle w:val="ListParagraph"/>
        <w:numPr>
          <w:ilvl w:val="0"/>
          <w:numId w:val="2"/>
        </w:numPr>
        <w:spacing w:after="100"/>
      </w:pPr>
      <w:r>
        <w:rPr>
          <w:rFonts w:ascii="Calibri" w:cs="Calibri" w:eastAsia="Calibri" w:hAnsi="Calibri"/>
          <w:sz w:val="22"/>
          <w:szCs w:val="22"/>
        </w:rPr>
        <w:t xml:space="preserve">Version-control the workbook (e.g. filename or tab date-stamped per audit) so you can compare findings year over year.</w:t>
      </w:r>
    </w:p>
    <w:p>
      <w:pPr>
        <w:pStyle w:val="ListParagraph"/>
        <w:numPr>
          <w:ilvl w:val="0"/>
          <w:numId w:val="2"/>
        </w:numPr>
        <w:spacing w:after="100"/>
      </w:pPr>
      <w:r>
        <w:rPr>
          <w:rFonts w:ascii="Calibri" w:cs="Calibri" w:eastAsia="Calibri" w:hAnsi="Calibri"/>
          <w:sz w:val="22"/>
          <w:szCs w:val="22"/>
        </w:rPr>
        <w:t xml:space="preserve">Carry forward open items from Template 9 into the next audit's Template 1 scope — never start a new audit blind to unresolved history.</w:t>
      </w:r>
    </w:p>
    <w:p>
      <w:pPr>
        <w:pStyle w:val="ListParagraph"/>
        <w:numPr>
          <w:ilvl w:val="0"/>
          <w:numId w:val="2"/>
        </w:numPr>
        <w:spacing w:after="100"/>
      </w:pPr>
      <w:r>
        <w:rPr>
          <w:rFonts w:ascii="Calibri" w:cs="Calibri" w:eastAsia="Calibri" w:hAnsi="Calibri"/>
          <w:sz w:val="22"/>
          <w:szCs w:val="22"/>
        </w:rPr>
        <w:t xml:space="preserve">Recalibrate sample sizes each year using Template 10's risk register — more AI systems or higher-risk systems justify a larger sample.</w:t>
      </w:r>
    </w:p>
    <w:p>
      <w:pPr>
        <w:pStyle w:val="ListParagraph"/>
        <w:numPr>
          <w:ilvl w:val="0"/>
          <w:numId w:val="2"/>
        </w:numPr>
        <w:spacing w:after="100"/>
      </w:pPr>
      <w:r>
        <w:rPr>
          <w:rFonts w:ascii="Calibri" w:cs="Calibri" w:eastAsia="Calibri" w:hAnsi="Calibri"/>
          <w:sz w:val="22"/>
          <w:szCs w:val="22"/>
        </w:rPr>
        <w:t xml:space="preserve">Update Template 3/4 checklist questions if the standard is amended, or if the organization's own SoA changes.</w:t>
      </w:r>
    </w:p>
    <w:p>
      <w:pPr>
        <w:pStyle w:val="Heading2"/>
        <w:spacing w:after="150" w:before="300"/>
      </w:pPr>
      <w:r>
        <w:t xml:space="preserve">5.2 Growing From Beginner to Confident Auditor</w:t>
      </w:r>
    </w:p>
    <w:p>
      <w:pPr>
        <w:pStyle w:val="ListParagraph"/>
        <w:numPr>
          <w:ilvl w:val="0"/>
          <w:numId w:val="2"/>
        </w:numPr>
        <w:spacing w:after="100"/>
      </w:pPr>
      <w:r>
        <w:rPr>
          <w:rFonts w:ascii="Calibri" w:cs="Calibri" w:eastAsia="Calibri" w:hAnsi="Calibri"/>
          <w:sz w:val="22"/>
          <w:szCs w:val="22"/>
        </w:rPr>
        <w:t xml:space="preserve">Shadow an experienced lead auditor on your first one or two engagements before leading one yourself.</w:t>
      </w:r>
    </w:p>
    <w:p>
      <w:pPr>
        <w:pStyle w:val="ListParagraph"/>
        <w:numPr>
          <w:ilvl w:val="0"/>
          <w:numId w:val="2"/>
        </w:numPr>
        <w:spacing w:after="100"/>
      </w:pPr>
      <w:r>
        <w:rPr>
          <w:rFonts w:ascii="Calibri" w:cs="Calibri" w:eastAsia="Calibri" w:hAnsi="Calibri"/>
          <w:sz w:val="22"/>
          <w:szCs w:val="22"/>
        </w:rPr>
        <w:t xml:space="preserve">After each audit, do a short personal retrospective: which questions produced the most useful evidence? Which findings were hardest to grade, and why?</w:t>
      </w:r>
    </w:p>
    <w:p>
      <w:pPr>
        <w:pStyle w:val="ListParagraph"/>
        <w:numPr>
          <w:ilvl w:val="0"/>
          <w:numId w:val="2"/>
        </w:numPr>
        <w:spacing w:after="100"/>
      </w:pPr>
      <w:r>
        <w:rPr>
          <w:rFonts w:ascii="Calibri" w:cs="Calibri" w:eastAsia="Calibri" w:hAnsi="Calibri"/>
          <w:sz w:val="22"/>
          <w:szCs w:val="22"/>
        </w:rPr>
        <w:t xml:space="preserve">Keep building your own bank of good/bad example nonconformity statements — nothing improves finding-writing faster than reviewing real examples.</w:t>
      </w:r>
    </w:p>
    <w:p>
      <w:pPr>
        <w:pStyle w:val="ListParagraph"/>
        <w:numPr>
          <w:ilvl w:val="0"/>
          <w:numId w:val="2"/>
        </w:numPr>
        <w:spacing w:after="100"/>
      </w:pPr>
      <w:r>
        <w:rPr>
          <w:rFonts w:ascii="Calibri" w:cs="Calibri" w:eastAsia="Calibri" w:hAnsi="Calibri"/>
          <w:sz w:val="22"/>
          <w:szCs w:val="22"/>
        </w:rPr>
        <w:t xml:space="preserve">Stay current: ISO/IEC 42001 and AI regulation generally are young and moving fast — revisit official ISO guidance and reputable certification-body publications periodically.</w:t>
      </w:r>
    </w:p>
    <w:p>
      <w:r>
        <w:br w:type="page"/>
      </w:r>
    </w:p>
    <w:p>
      <w:pPr>
        <w:pStyle w:val="Heading1"/>
        <w:spacing w:after="200" w:before="400"/>
      </w:pPr>
      <w:r>
        <w:t xml:space="preserve">Glossary</w:t>
      </w:r>
    </w:p>
    <w:p>
      <w:pPr>
        <w:spacing w:after="160" w:line="276"/>
      </w:pPr>
      <w:r>
        <w:rPr>
          <w:rFonts w:ascii="Calibri" w:cs="Calibri" w:eastAsia="Calibri" w:hAnsi="Calibri"/>
          <w:b/>
          <w:bCs/>
          <w:i w:val="false"/>
          <w:iCs w:val="false"/>
          <w:sz w:val="22"/>
          <w:szCs w:val="22"/>
        </w:rPr>
        <w:t xml:space="preserve">AIMS: </w:t>
      </w:r>
      <w:r>
        <w:rPr>
          <w:rFonts w:ascii="Calibri" w:cs="Calibri" w:eastAsia="Calibri" w:hAnsi="Calibri"/>
          <w:b w:val="false"/>
          <w:bCs w:val="false"/>
          <w:i w:val="false"/>
          <w:iCs w:val="false"/>
          <w:sz w:val="22"/>
          <w:szCs w:val="22"/>
        </w:rPr>
        <w:t xml:space="preserve">AI Management System – the set of policies, processes, roles and controls an organization uses to govern its development, provision or use of AI, per ISO/IEC 42001.</w:t>
      </w:r>
    </w:p>
    <w:p>
      <w:pPr>
        <w:spacing w:after="160" w:line="276"/>
      </w:pPr>
      <w:r>
        <w:rPr>
          <w:rFonts w:ascii="Calibri" w:cs="Calibri" w:eastAsia="Calibri" w:hAnsi="Calibri"/>
          <w:b/>
          <w:bCs/>
          <w:i w:val="false"/>
          <w:iCs w:val="false"/>
          <w:sz w:val="22"/>
          <w:szCs w:val="22"/>
        </w:rPr>
        <w:t xml:space="preserve">Audit criteria: </w:t>
      </w:r>
      <w:r>
        <w:rPr>
          <w:rFonts w:ascii="Calibri" w:cs="Calibri" w:eastAsia="Calibri" w:hAnsi="Calibri"/>
          <w:b w:val="false"/>
          <w:bCs w:val="false"/>
          <w:i w:val="false"/>
          <w:iCs w:val="false"/>
          <w:sz w:val="22"/>
          <w:szCs w:val="22"/>
        </w:rPr>
        <w:t xml:space="preserve">The set of requirements used as a reference against which evidence is compared — for an ISO 42001 audit, this is the standard's clauses plus the organization's own AIMS documentation.</w:t>
      </w:r>
    </w:p>
    <w:p>
      <w:pPr>
        <w:spacing w:after="160" w:line="276"/>
      </w:pPr>
      <w:r>
        <w:rPr>
          <w:rFonts w:ascii="Calibri" w:cs="Calibri" w:eastAsia="Calibri" w:hAnsi="Calibri"/>
          <w:b/>
          <w:bCs/>
          <w:i w:val="false"/>
          <w:iCs w:val="false"/>
          <w:sz w:val="22"/>
          <w:szCs w:val="22"/>
        </w:rPr>
        <w:t xml:space="preserve">Audit evidence: </w:t>
      </w:r>
      <w:r>
        <w:rPr>
          <w:rFonts w:ascii="Calibri" w:cs="Calibri" w:eastAsia="Calibri" w:hAnsi="Calibri"/>
          <w:b w:val="false"/>
          <w:bCs w:val="false"/>
          <w:i w:val="false"/>
          <w:iCs w:val="false"/>
          <w:sz w:val="22"/>
          <w:szCs w:val="22"/>
        </w:rPr>
        <w:t xml:space="preserve">Records, statements of fact, or other verifiable information relevant to the audit criteria (ISO 19011). Must be objective, not opinion.</w:t>
      </w:r>
    </w:p>
    <w:p>
      <w:pPr>
        <w:spacing w:after="160" w:line="276"/>
      </w:pPr>
      <w:r>
        <w:rPr>
          <w:rFonts w:ascii="Calibri" w:cs="Calibri" w:eastAsia="Calibri" w:hAnsi="Calibri"/>
          <w:b/>
          <w:bCs/>
          <w:i w:val="false"/>
          <w:iCs w:val="false"/>
          <w:sz w:val="22"/>
          <w:szCs w:val="22"/>
        </w:rPr>
        <w:t xml:space="preserve">Audit finding: </w:t>
      </w:r>
      <w:r>
        <w:rPr>
          <w:rFonts w:ascii="Calibri" w:cs="Calibri" w:eastAsia="Calibri" w:hAnsi="Calibri"/>
          <w:b w:val="false"/>
          <w:bCs w:val="false"/>
          <w:i w:val="false"/>
          <w:iCs w:val="false"/>
          <w:sz w:val="22"/>
          <w:szCs w:val="22"/>
        </w:rPr>
        <w:t xml:space="preserve">The result of evaluating evidence against criteria: conformity, nonconformity, or an opportunity for improvement (OFI).</w:t>
      </w:r>
    </w:p>
    <w:p>
      <w:pPr>
        <w:spacing w:after="160" w:line="276"/>
      </w:pPr>
      <w:r>
        <w:rPr>
          <w:rFonts w:ascii="Calibri" w:cs="Calibri" w:eastAsia="Calibri" w:hAnsi="Calibri"/>
          <w:b/>
          <w:bCs/>
          <w:i w:val="false"/>
          <w:iCs w:val="false"/>
          <w:sz w:val="22"/>
          <w:szCs w:val="22"/>
        </w:rPr>
        <w:t xml:space="preserve">Nonconformity (NC): </w:t>
      </w:r>
      <w:r>
        <w:rPr>
          <w:rFonts w:ascii="Calibri" w:cs="Calibri" w:eastAsia="Calibri" w:hAnsi="Calibri"/>
          <w:b w:val="false"/>
          <w:bCs w:val="false"/>
          <w:i w:val="false"/>
          <w:iCs w:val="false"/>
          <w:sz w:val="22"/>
          <w:szCs w:val="22"/>
        </w:rPr>
        <w:t xml:space="preserve">Non-fulfilment of a requirement. Graded Major (systemic failure, absence of a required process, or a cluster of minors indicating breakdown) or Minor (an isolated lapse that does not indicate the process has failed).</w:t>
      </w:r>
    </w:p>
    <w:p>
      <w:pPr>
        <w:spacing w:after="160" w:line="276"/>
      </w:pPr>
      <w:r>
        <w:rPr>
          <w:rFonts w:ascii="Calibri" w:cs="Calibri" w:eastAsia="Calibri" w:hAnsi="Calibri"/>
          <w:b/>
          <w:bCs/>
          <w:i w:val="false"/>
          <w:iCs w:val="false"/>
          <w:sz w:val="22"/>
          <w:szCs w:val="22"/>
        </w:rPr>
        <w:t xml:space="preserve">Observation / OFI: </w:t>
      </w:r>
      <w:r>
        <w:rPr>
          <w:rFonts w:ascii="Calibri" w:cs="Calibri" w:eastAsia="Calibri" w:hAnsi="Calibri"/>
          <w:b w:val="false"/>
          <w:bCs w:val="false"/>
          <w:i w:val="false"/>
          <w:iCs w:val="false"/>
          <w:sz w:val="22"/>
          <w:szCs w:val="22"/>
        </w:rPr>
        <w:t xml:space="preserve">Not a nonconformity — a noted opportunity for improvement the auditee may choose to act on.</w:t>
      </w:r>
    </w:p>
    <w:p>
      <w:pPr>
        <w:spacing w:after="160" w:line="276"/>
      </w:pPr>
      <w:r>
        <w:rPr>
          <w:rFonts w:ascii="Calibri" w:cs="Calibri" w:eastAsia="Calibri" w:hAnsi="Calibri"/>
          <w:b/>
          <w:bCs/>
          <w:i w:val="false"/>
          <w:iCs w:val="false"/>
          <w:sz w:val="22"/>
          <w:szCs w:val="22"/>
        </w:rPr>
        <w:t xml:space="preserve">Objective evidence: </w:t>
      </w:r>
      <w:r>
        <w:rPr>
          <w:rFonts w:ascii="Calibri" w:cs="Calibri" w:eastAsia="Calibri" w:hAnsi="Calibri"/>
          <w:b w:val="false"/>
          <w:bCs w:val="false"/>
          <w:i w:val="false"/>
          <w:iCs w:val="false"/>
          <w:sz w:val="22"/>
          <w:szCs w:val="22"/>
        </w:rPr>
        <w:t xml:space="preserve">Data supporting the existence or truth of something, verifiable through observation, measurement, testing or other means — not the auditor's opinion or the auditee's assurance alone.</w:t>
      </w:r>
    </w:p>
    <w:p>
      <w:pPr>
        <w:spacing w:after="160" w:line="276"/>
      </w:pPr>
      <w:r>
        <w:rPr>
          <w:rFonts w:ascii="Calibri" w:cs="Calibri" w:eastAsia="Calibri" w:hAnsi="Calibri"/>
          <w:b/>
          <w:bCs/>
          <w:i w:val="false"/>
          <w:iCs w:val="false"/>
          <w:sz w:val="22"/>
          <w:szCs w:val="22"/>
        </w:rPr>
        <w:t xml:space="preserve">Audit trail: </w:t>
      </w:r>
      <w:r>
        <w:rPr>
          <w:rFonts w:ascii="Calibri" w:cs="Calibri" w:eastAsia="Calibri" w:hAnsi="Calibri"/>
          <w:b w:val="false"/>
          <w:bCs w:val="false"/>
          <w:i w:val="false"/>
          <w:iCs w:val="false"/>
          <w:sz w:val="22"/>
          <w:szCs w:val="22"/>
        </w:rPr>
        <w:t xml:space="preserve">The path an auditor follows to trace a requirement through to practice (or vice-versa), e.g. following one AI system from the risk register through to production monitoring logs.</w:t>
      </w:r>
    </w:p>
    <w:p>
      <w:pPr>
        <w:spacing w:after="160" w:line="276"/>
      </w:pPr>
      <w:r>
        <w:rPr>
          <w:rFonts w:ascii="Calibri" w:cs="Calibri" w:eastAsia="Calibri" w:hAnsi="Calibri"/>
          <w:b/>
          <w:bCs/>
          <w:i w:val="false"/>
          <w:iCs w:val="false"/>
          <w:sz w:val="22"/>
          <w:szCs w:val="22"/>
        </w:rPr>
        <w:t xml:space="preserve">Sampling: </w:t>
      </w:r>
      <w:r>
        <w:rPr>
          <w:rFonts w:ascii="Calibri" w:cs="Calibri" w:eastAsia="Calibri" w:hAnsi="Calibri"/>
          <w:b w:val="false"/>
          <w:bCs w:val="false"/>
          <w:i w:val="false"/>
          <w:iCs w:val="false"/>
          <w:sz w:val="22"/>
          <w:szCs w:val="22"/>
        </w:rPr>
        <w:t xml:space="preserve">Selecting a representative subset of records, systems or interviews to examine, because auditing 100% of everything is rarely feasible.</w:t>
      </w:r>
    </w:p>
    <w:p>
      <w:pPr>
        <w:spacing w:after="160" w:line="276"/>
      </w:pPr>
      <w:r>
        <w:rPr>
          <w:rFonts w:ascii="Calibri" w:cs="Calibri" w:eastAsia="Calibri" w:hAnsi="Calibri"/>
          <w:b/>
          <w:bCs/>
          <w:i w:val="false"/>
          <w:iCs w:val="false"/>
          <w:sz w:val="22"/>
          <w:szCs w:val="22"/>
        </w:rPr>
        <w:t xml:space="preserve">Statement of Applicability (SoA): </w:t>
      </w:r>
      <w:r>
        <w:rPr>
          <w:rFonts w:ascii="Calibri" w:cs="Calibri" w:eastAsia="Calibri" w:hAnsi="Calibri"/>
          <w:b w:val="false"/>
          <w:bCs w:val="false"/>
          <w:i w:val="false"/>
          <w:iCs w:val="false"/>
          <w:sz w:val="22"/>
          <w:szCs w:val="22"/>
        </w:rPr>
        <w:t xml:space="preserve">A document listing every Annex A control, whether it is applicable, and the justification for inclusion or exclusion — central to both ISO 27001 and ISO 42001 audits.</w:t>
      </w:r>
    </w:p>
    <w:p>
      <w:pPr>
        <w:spacing w:after="160" w:line="276"/>
      </w:pPr>
      <w:r>
        <w:rPr>
          <w:rFonts w:ascii="Calibri" w:cs="Calibri" w:eastAsia="Calibri" w:hAnsi="Calibri"/>
          <w:b/>
          <w:bCs/>
          <w:i w:val="false"/>
          <w:iCs w:val="false"/>
          <w:sz w:val="22"/>
          <w:szCs w:val="22"/>
        </w:rPr>
        <w:t xml:space="preserve">Area of Concern (AOC): </w:t>
      </w:r>
      <w:r>
        <w:rPr>
          <w:rFonts w:ascii="Calibri" w:cs="Calibri" w:eastAsia="Calibri" w:hAnsi="Calibri"/>
          <w:b w:val="false"/>
          <w:bCs w:val="false"/>
          <w:i w:val="false"/>
          <w:iCs w:val="false"/>
          <w:sz w:val="22"/>
          <w:szCs w:val="22"/>
        </w:rPr>
        <w:t xml:space="preserve">A gap identified at Stage 1 that's serious enough to block a productive Stage 2 audit, but isn't a formal nonconformity (which can only be issued once Stage 2 is under way).</w:t>
      </w:r>
    </w:p>
    <w:p>
      <w:pPr>
        <w:spacing w:after="160" w:line="276"/>
      </w:pPr>
      <w:r>
        <w:rPr>
          <w:rFonts w:ascii="Calibri" w:cs="Calibri" w:eastAsia="Calibri" w:hAnsi="Calibri"/>
          <w:b/>
          <w:bCs/>
          <w:i w:val="false"/>
          <w:iCs w:val="false"/>
          <w:sz w:val="22"/>
          <w:szCs w:val="22"/>
        </w:rPr>
        <w:t xml:space="preserve">Stage 1 audit: </w:t>
      </w:r>
      <w:r>
        <w:rPr>
          <w:rFonts w:ascii="Calibri" w:cs="Calibri" w:eastAsia="Calibri" w:hAnsi="Calibri"/>
          <w:b w:val="false"/>
          <w:bCs w:val="false"/>
          <w:i w:val="false"/>
          <w:iCs w:val="false"/>
          <w:sz w:val="22"/>
          <w:szCs w:val="22"/>
        </w:rPr>
        <w:t xml:space="preserve">Documentation / readiness review confirming the AIMS is designed to meet the standard before Stage 2 begins.</w:t>
      </w:r>
    </w:p>
    <w:p>
      <w:pPr>
        <w:spacing w:after="160" w:line="276"/>
      </w:pPr>
      <w:r>
        <w:rPr>
          <w:rFonts w:ascii="Calibri" w:cs="Calibri" w:eastAsia="Calibri" w:hAnsi="Calibri"/>
          <w:b/>
          <w:bCs/>
          <w:i w:val="false"/>
          <w:iCs w:val="false"/>
          <w:sz w:val="22"/>
          <w:szCs w:val="22"/>
        </w:rPr>
        <w:t xml:space="preserve">Stage 2 audit: </w:t>
      </w:r>
      <w:r>
        <w:rPr>
          <w:rFonts w:ascii="Calibri" w:cs="Calibri" w:eastAsia="Calibri" w:hAnsi="Calibri"/>
          <w:b w:val="false"/>
          <w:bCs w:val="false"/>
          <w:i w:val="false"/>
          <w:iCs w:val="false"/>
          <w:sz w:val="22"/>
          <w:szCs w:val="22"/>
        </w:rPr>
        <w:t xml:space="preserve">The main certification audit, testing whether the AIMS operates effectively in practice.</w:t>
      </w:r>
    </w:p>
    <w:p>
      <w:pPr>
        <w:spacing w:after="160" w:line="276"/>
      </w:pPr>
      <w:r>
        <w:rPr>
          <w:rFonts w:ascii="Calibri" w:cs="Calibri" w:eastAsia="Calibri" w:hAnsi="Calibri"/>
          <w:b/>
          <w:bCs/>
          <w:i w:val="false"/>
          <w:iCs w:val="false"/>
          <w:sz w:val="22"/>
          <w:szCs w:val="22"/>
        </w:rPr>
        <w:t xml:space="preserve">Surveillance audit: </w:t>
      </w:r>
      <w:r>
        <w:rPr>
          <w:rFonts w:ascii="Calibri" w:cs="Calibri" w:eastAsia="Calibri" w:hAnsi="Calibri"/>
          <w:b w:val="false"/>
          <w:bCs w:val="false"/>
          <w:i w:val="false"/>
          <w:iCs w:val="false"/>
          <w:sz w:val="22"/>
          <w:szCs w:val="22"/>
        </w:rPr>
        <w:t xml:space="preserve">A shorter annual audit during the 3-year certificate cycle, checking the AIMS remains effective using a sample of clauses/controls.</w:t>
      </w:r>
    </w:p>
    <w:p>
      <w:pPr>
        <w:spacing w:after="160" w:line="276"/>
      </w:pPr>
      <w:r>
        <w:rPr>
          <w:rFonts w:ascii="Calibri" w:cs="Calibri" w:eastAsia="Calibri" w:hAnsi="Calibri"/>
          <w:b/>
          <w:bCs/>
          <w:i w:val="false"/>
          <w:iCs w:val="false"/>
          <w:sz w:val="22"/>
          <w:szCs w:val="22"/>
        </w:rPr>
        <w:t xml:space="preserve">Recertification audit: </w:t>
      </w:r>
      <w:r>
        <w:rPr>
          <w:rFonts w:ascii="Calibri" w:cs="Calibri" w:eastAsia="Calibri" w:hAnsi="Calibri"/>
          <w:b w:val="false"/>
          <w:bCs w:val="false"/>
          <w:i w:val="false"/>
          <w:iCs w:val="false"/>
          <w:sz w:val="22"/>
          <w:szCs w:val="22"/>
        </w:rPr>
        <w:t xml:space="preserve">A full re-assessment conducted before the 3-year certificate expires.</w:t>
      </w:r>
    </w:p>
    <w:p>
      <w:pPr>
        <w:spacing w:after="160" w:line="276"/>
      </w:pPr>
      <w:r>
        <w:rPr>
          <w:rFonts w:ascii="Calibri" w:cs="Calibri" w:eastAsia="Calibri" w:hAnsi="Calibri"/>
          <w:b/>
          <w:bCs/>
          <w:i w:val="false"/>
          <w:iCs w:val="false"/>
          <w:sz w:val="22"/>
          <w:szCs w:val="22"/>
        </w:rPr>
        <w:t xml:space="preserve">Corrective Action Plan (CAP): </w:t>
      </w:r>
      <w:r>
        <w:rPr>
          <w:rFonts w:ascii="Calibri" w:cs="Calibri" w:eastAsia="Calibri" w:hAnsi="Calibri"/>
          <w:b w:val="false"/>
          <w:bCs w:val="false"/>
          <w:i w:val="false"/>
          <w:iCs w:val="false"/>
          <w:sz w:val="22"/>
          <w:szCs w:val="22"/>
        </w:rPr>
        <w:t xml:space="preserve">The auditee's documented correction, root cause analysis and preventive action in response to a nonconformity, tracked to verified closure.</w:t>
      </w:r>
    </w:p>
    <w:p>
      <w:r>
        <w:br w:type="page"/>
      </w:r>
    </w:p>
    <w:p>
      <w:pPr>
        <w:pStyle w:val="Heading1"/>
        <w:spacing w:after="200" w:before="400"/>
      </w:pPr>
      <w:r>
        <w:t xml:space="preserve">Appendix A: Quick Reference – Clauses 4–10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8600"/>
      </w:tblGrid>
      <w:tr>
        <w:trPr>
          <w:cantSplit/>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Clause</w:t>
            </w:r>
          </w:p>
        </w:tc>
        <w:tc>
          <w:tcPr>
            <w:tcW w:type="dxa" w:w="8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Title</w:t>
            </w:r>
          </w:p>
        </w:tc>
      </w:tr>
      <w:tr>
        <w:trPr>
          <w:cantSplit/>
        </w:trP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c>
          <w:tcPr>
            <w:tcW w:type="dxa" w:w="8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Context of the Organization</w:t>
            </w:r>
          </w:p>
        </w:tc>
      </w:tr>
      <w:tr>
        <w:trPr>
          <w:cantSplit/>
        </w:trP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8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Leadership</w:t>
            </w:r>
          </w:p>
        </w:tc>
      </w:tr>
      <w:tr>
        <w:trPr>
          <w:cantSplit/>
        </w:trP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8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Planning</w:t>
            </w:r>
          </w:p>
        </w:tc>
      </w:tr>
      <w:tr>
        <w:trPr>
          <w:cantSplit/>
        </w:trP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c>
          <w:tcPr>
            <w:tcW w:type="dxa" w:w="8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Support</w:t>
            </w:r>
          </w:p>
        </w:tc>
      </w:tr>
      <w:tr>
        <w:trPr>
          <w:cantSplit/>
        </w:trP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w:t>
            </w:r>
          </w:p>
        </w:tc>
        <w:tc>
          <w:tcPr>
            <w:tcW w:type="dxa" w:w="8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Operation</w:t>
            </w:r>
          </w:p>
        </w:tc>
      </w:tr>
      <w:tr>
        <w:trPr>
          <w:cantSplit/>
        </w:trP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w:t>
            </w:r>
          </w:p>
        </w:tc>
        <w:tc>
          <w:tcPr>
            <w:tcW w:type="dxa" w:w="8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Performance Evaluation</w:t>
            </w:r>
          </w:p>
        </w:tc>
      </w:tr>
      <w:tr>
        <w:trPr>
          <w:cantSplit/>
        </w:trP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w:t>
            </w:r>
          </w:p>
        </w:tc>
        <w:tc>
          <w:tcPr>
            <w:tcW w:type="dxa" w:w="8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Improvement</w:t>
            </w:r>
          </w:p>
        </w:tc>
      </w:tr>
    </w:tbl>
    <w:p>
      <w:r>
        <w:br w:type="page"/>
      </w:r>
    </w:p>
    <w:p>
      <w:pPr>
        <w:pStyle w:val="Heading1"/>
        <w:spacing w:after="200" w:before="400"/>
      </w:pPr>
      <w:r>
        <w:t xml:space="preserve">Appendix B: Quick Reference – All 38 Annex A Controls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3800"/>
      </w:tblGrid>
      <w:tr>
        <w:trPr>
          <w:cantSplit/>
          <w:tblHeader/>
        </w:trPr>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Control</w:t>
            </w:r>
          </w:p>
        </w:tc>
        <w:tc>
          <w:tcPr>
            <w:tcW w:type="dxa" w:w="4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Title</w:t>
            </w:r>
          </w:p>
        </w:tc>
        <w:tc>
          <w:tcPr>
            <w:tcW w:type="dxa" w:w="3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Objective</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A.2.2</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policy</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Policies related to AI</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A.2.3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Alignment with other organizational policies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Policies related to AI</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A.2.4</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Review of the AI policy</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Policies related to AI</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A.3.2</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roles and responsibilities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Internal organization</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A.3.3</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Reporting of concerns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Internal organization</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A.4.2</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Resource documentation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Resources for AI systems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A.4.3</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resources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Resources for AI systems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A.4.4</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Tooling resources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Resources for AI systems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A.4.5</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and computing resources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Resources for AI systems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A.4.6</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Human resources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Resources for AI systems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A.5.2</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 impact assessment process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Assessing impacts of AI systems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Documentation of AI system impact assessments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Assessing impacts of AI systems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A.5.4</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Impact on individuals/groups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Assessing impacts of AI systems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A.5.5</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Societal impacts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Assessing impacts of AI systems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A.6.1.2</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Objectives for responsible development</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 life cycle</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A.6.1.3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Responsible design &amp; development processes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 life cycle</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A.6.2.2</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Requirements &amp; specification</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 life cycle</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A.6.2.3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Design &amp; development documentation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 life cycle</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A.6.2.4</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Verification and validation</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 life cycle</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A.6.2.5</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Deployment</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 life cycle</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A.6.2.6</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Operation and monitoring</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 life cycle</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A.6.2.7</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Technical documentation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 life cycle</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A.6.2.8</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Event logging</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 life cycle</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A.7.2</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for development/enhancement</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for AI systems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A.7.3</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Acquisition of data</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for AI systems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A.7.4</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Quality of data</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for AI systems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A.7.5</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provenance</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for AI systems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A.7.6</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preparation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for AI systems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A.8.2</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documentation &amp; user information</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for interested parties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External reporting</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for interested parties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A.8.4</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Communication of incidents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for interested parties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A.8.5</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for interested parties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for interested parties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A.9.2</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Responsible-use processes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 of AI systems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A.9.3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Objectives for responsible use</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 of AI systems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A.9.4</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Intended use of the AI system</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 of AI systems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A.10.2</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Allocation of responsibilities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Third-party and customer relationships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A.10.3</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Suppliers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Third-party and customer relationships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A.10.4</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Customers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Third-party and customer relationships</w:t>
            </w:r>
          </w:p>
        </w:tc>
      </w:tr>
    </w:tbl>
    <w:p>
      <w:r>
        <w:br w:type="page"/>
      </w:r>
    </w:p>
    <w:p>
      <w:pPr>
        <w:pStyle w:val="Heading1"/>
        <w:spacing w:after="200" w:before="400"/>
      </w:pPr>
      <w:r>
        <w:t xml:space="preserve">Sources &amp; Further Reading</w:t>
      </w:r>
    </w:p>
    <w:p>
      <w:pPr>
        <w:spacing w:after="160" w:line="276"/>
      </w:pPr>
      <w:r>
        <w:rPr>
          <w:rFonts w:ascii="Calibri" w:cs="Calibri" w:eastAsia="Calibri" w:hAnsi="Calibri"/>
          <w:sz w:val="22"/>
          <w:szCs w:val="22"/>
        </w:rPr>
        <w:t xml:space="preserve">This handbook synthesizes publicly available secondary guidance on ISO/IEC 42001:2023 and general ISO management-system auditing practice (ISO 19011). For authoritative, purchasable primary text, consult ISO directly. Key sources consulted:</w:t>
      </w:r>
    </w:p>
    <w:p>
      <w:pPr>
        <w:pStyle w:val="ListParagraph"/>
        <w:numPr>
          <w:ilvl w:val="0"/>
          <w:numId w:val="2"/>
        </w:numPr>
        <w:spacing w:after="100"/>
      </w:pPr>
      <w:r>
        <w:rPr>
          <w:rFonts w:ascii="Calibri" w:cs="Calibri" w:eastAsia="Calibri" w:hAnsi="Calibri"/>
          <w:sz w:val="22"/>
          <w:szCs w:val="22"/>
        </w:rPr>
        <w:t xml:space="preserve">ISO/IEC 42001:2023 – AI management systems – iso.org/standard/42001</w:t>
      </w:r>
    </w:p>
    <w:p>
      <w:pPr>
        <w:pStyle w:val="ListParagraph"/>
        <w:numPr>
          <w:ilvl w:val="0"/>
          <w:numId w:val="2"/>
        </w:numPr>
        <w:spacing w:after="100"/>
      </w:pPr>
      <w:r>
        <w:rPr>
          <w:rFonts w:ascii="Calibri" w:cs="Calibri" w:eastAsia="Calibri" w:hAnsi="Calibri"/>
          <w:sz w:val="22"/>
          <w:szCs w:val="22"/>
        </w:rPr>
        <w:t xml:space="preserve">Konfirmity – ISO 42001 Requirements: The Clause-by-Clause Guide – konfirmity.com/blog/iso-42001-requirements</w:t>
      </w:r>
    </w:p>
    <w:p>
      <w:pPr>
        <w:pStyle w:val="ListParagraph"/>
        <w:numPr>
          <w:ilvl w:val="0"/>
          <w:numId w:val="2"/>
        </w:numPr>
        <w:spacing w:after="100"/>
      </w:pPr>
      <w:r>
        <w:rPr>
          <w:rFonts w:ascii="Calibri" w:cs="Calibri" w:eastAsia="Calibri" w:hAnsi="Calibri"/>
          <w:sz w:val="22"/>
          <w:szCs w:val="22"/>
        </w:rPr>
        <w:t xml:space="preserve">Mindset Cyber – ISO 42001 Annex A Controls: All 38 Explained – mindsetcyber.com.au/iso-42001-controls-list</w:t>
      </w:r>
    </w:p>
    <w:p>
      <w:pPr>
        <w:pStyle w:val="ListParagraph"/>
        <w:numPr>
          <w:ilvl w:val="0"/>
          <w:numId w:val="2"/>
        </w:numPr>
        <w:spacing w:after="100"/>
      </w:pPr>
      <w:r>
        <w:rPr>
          <w:rFonts w:ascii="Calibri" w:cs="Calibri" w:eastAsia="Calibri" w:hAnsi="Calibri"/>
          <w:sz w:val="22"/>
          <w:szCs w:val="22"/>
        </w:rPr>
        <w:t xml:space="preserve">InfosecTrain – Stage 1 vs. Stage 2 Audit for ISO 42001 – infosectrain.com/blog/stage-1-vs-stage-2-audit-for-iso-42001</w:t>
      </w:r>
    </w:p>
    <w:p>
      <w:pPr>
        <w:pStyle w:val="ListParagraph"/>
        <w:numPr>
          <w:ilvl w:val="0"/>
          <w:numId w:val="2"/>
        </w:numPr>
        <w:spacing w:after="100"/>
      </w:pPr>
      <w:r>
        <w:rPr>
          <w:rFonts w:ascii="Calibri" w:cs="Calibri" w:eastAsia="Calibri" w:hAnsi="Calibri"/>
          <w:sz w:val="22"/>
          <w:szCs w:val="22"/>
        </w:rPr>
        <w:t xml:space="preserve">Vanta – ISO 42001 audit guide: What it involves and how to prepare – vanta.com/collection/iso-42001/iso-42001-audit</w:t>
      </w:r>
    </w:p>
    <w:p>
      <w:pPr>
        <w:pStyle w:val="ListParagraph"/>
        <w:numPr>
          <w:ilvl w:val="0"/>
          <w:numId w:val="2"/>
        </w:numPr>
        <w:spacing w:after="100"/>
      </w:pPr>
      <w:r>
        <w:rPr>
          <w:rFonts w:ascii="Calibri" w:cs="Calibri" w:eastAsia="Calibri" w:hAnsi="Calibri"/>
          <w:sz w:val="22"/>
          <w:szCs w:val="22"/>
        </w:rPr>
        <w:t xml:space="preserve">Schellman – What to Expect in the ISO 42001 Certification Process – schellman.com/blog/iso-certifications/iso-42001-certification-processs</w:t>
      </w:r>
    </w:p>
    <w:p>
      <w:pPr>
        <w:pStyle w:val="ListParagraph"/>
        <w:numPr>
          <w:ilvl w:val="0"/>
          <w:numId w:val="2"/>
        </w:numPr>
        <w:spacing w:after="100"/>
      </w:pPr>
      <w:r>
        <w:rPr>
          <w:rFonts w:ascii="Calibri" w:cs="Calibri" w:eastAsia="Calibri" w:hAnsi="Calibri"/>
          <w:sz w:val="22"/>
          <w:szCs w:val="22"/>
        </w:rPr>
        <w:t xml:space="preserve">Cloud Security Alliance – ISO 42001: Auditing and Implementing Framework – cloudsecurityalliance.org/blog/2025/05/08/iso-42001-lessons-learned-from-auditing-and-implementing-the-framework</w:t>
      </w:r>
    </w:p>
    <w:p>
      <w:pPr>
        <w:pStyle w:val="ListParagraph"/>
        <w:numPr>
          <w:ilvl w:val="0"/>
          <w:numId w:val="2"/>
        </w:numPr>
        <w:spacing w:after="100"/>
      </w:pPr>
      <w:r>
        <w:rPr>
          <w:rFonts w:ascii="Calibri" w:cs="Calibri" w:eastAsia="Calibri" w:hAnsi="Calibri"/>
          <w:sz w:val="22"/>
          <w:szCs w:val="22"/>
        </w:rPr>
        <w:t xml:space="preserve">GoAudits – ISO 19011 Audit Guidelines for Auditing Management Systems – goaudits.com/blog/iso-19011-audits</w:t>
      </w:r>
    </w:p>
    <w:p>
      <w:pPr>
        <w:pStyle w:val="ListParagraph"/>
        <w:numPr>
          <w:ilvl w:val="0"/>
          <w:numId w:val="2"/>
        </w:numPr>
        <w:spacing w:after="100"/>
      </w:pPr>
      <w:r>
        <w:rPr>
          <w:rFonts w:ascii="Calibri" w:cs="Calibri" w:eastAsia="Calibri" w:hAnsi="Calibri"/>
          <w:sz w:val="22"/>
          <w:szCs w:val="22"/>
        </w:rPr>
        <w:t xml:space="preserve">Advisera – How to write a good ISO 9001 audit nonconformity – advisera.com/9001academy/blog/2018/04/24/how-to-write-a-good-iso-9001-audit-nonconformity</w:t>
      </w:r>
    </w:p>
    <w:p>
      <w:pPr>
        <w:spacing w:after="120"/>
      </w:pPr>
    </w:p>
    <w:p>
      <w:pPr>
        <w:spacing w:after="160" w:line="276"/>
      </w:pPr>
      <w:r>
        <w:rPr>
          <w:rFonts w:ascii="Calibri" w:cs="Calibri" w:eastAsia="Calibri" w:hAnsi="Calibri"/>
          <w:sz w:val="22"/>
          <w:szCs w:val="22"/>
        </w:rPr>
        <w:t xml:space="preserve">Note: Annex A control numbering/titles are reproduced here in summarized, plain-language form for training purposes based on secondary industry sources; always verify against the official ISO/IEC 42001:2023 text (available for purchase from iso.org) before relying on it for a live certification decision.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ISO/IEC 42001 Audit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4"/>
      <w:szCs w:val="34"/>
    </w:rPr>
  </w:style>
  <w:style w:type="paragraph" w:styleId="Heading2">
    <w:name w:val="Heading 2"/>
    <w:basedOn w:val="Normal"/>
    <w:next w:val="Normal"/>
    <w:qFormat/>
    <w:pPr>
      <w:spacing w:after="150" w:before="300"/>
    </w:pPr>
    <w:rPr>
      <w:rFonts w:ascii="Calibri" w:cs="Calibri" w:eastAsia="Calibri" w:hAnsi="Calibri"/>
      <w:b/>
      <w:bCs/>
      <w:color w:val="2E5395"/>
      <w:sz w:val="27"/>
      <w:szCs w:val="27"/>
    </w:rPr>
  </w:style>
  <w:style w:type="paragraph" w:styleId="Heading3">
    <w:name w:val="Heading 3"/>
    <w:basedOn w:val="Normal"/>
    <w:next w:val="Normal"/>
    <w:qFormat/>
    <w:pPr>
      <w:spacing w:after="120" w:before="240"/>
    </w:pPr>
    <w:rPr>
      <w:rFonts w:ascii="Calibri" w:cs="Calibri" w:eastAsia="Calibri" w:hAnsi="Calibri"/>
      <w:b/>
      <w:bCs/>
      <w:color w:val="59595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2026-08-08T19:07:08.987Z</dcterms:created>
  <dcterms:modified xsi:type="dcterms:W3CDTF">2026-08-08T19:07:08.987Z</dcterms:modified>
</cp:coreProperties>
</file>

<file path=docProps/custom.xml><?xml version="1.0" encoding="utf-8"?>
<Properties xmlns="http://schemas.openxmlformats.org/officeDocument/2006/custom-properties" xmlns:vt="http://schemas.openxmlformats.org/officeDocument/2006/docPropsVTypes"/>
</file>