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50"/>
          <w:szCs w:val="50"/>
        </w:rPr>
        <w:t xml:space="preserve">NIST AI RISK MANAGEMENT FRAMEWORK</w:t>
      </w:r>
    </w:p>
    <w:p>
      <w:pPr>
        <w:spacing w:before="100"/>
        <w:jc w:val="center"/>
      </w:pPr>
      <w:r>
        <w:rPr>
          <w:rFonts w:ascii="Calibri" w:cs="Calibri" w:eastAsia="Calibri" w:hAnsi="Calibri"/>
          <w:b/>
          <w:bCs/>
          <w:color w:val="1F3864"/>
          <w:sz w:val="50"/>
          <w:szCs w:val="50"/>
        </w:rPr>
        <w:t xml:space="preserve">(AI RMF) ASSESSMENT HANDBOOK</w:t>
      </w:r>
    </w:p>
    <w:p>
      <w:pPr>
        <w:spacing w:after="300" w:before="300"/>
        <w:jc w:val="center"/>
      </w:pPr>
      <w:r>
        <w:rPr>
          <w:rFonts w:ascii="Calibri" w:cs="Calibri" w:eastAsia="Calibri" w:hAnsi="Calibri"/>
          <w:color w:val="2E5395"/>
          <w:sz w:val="30"/>
          <w:szCs w:val="30"/>
        </w:rPr>
        <w:t xml:space="preserve">A Beginner's Step-by-Step Guide to Assessing AI Risk Management</w:t>
      </w:r>
    </w:p>
    <w:p>
      <w:pPr>
        <w:spacing w:before="200"/>
        <w:jc w:val="center"/>
      </w:pPr>
      <w:r>
        <w:rPr>
          <w:rFonts w:ascii="Calibri" w:cs="Calibri" w:eastAsia="Calibri" w:hAnsi="Calibri"/>
          <w:i/>
          <w:iCs/>
          <w:color w:val="595959"/>
          <w:sz w:val="24"/>
          <w:szCs w:val="24"/>
        </w:rPr>
        <w:t xml:space="preserve">For new risk &amp; AI-governance professionals conducting a voluntary self-assessment against NIST AI RMF 1.0</w:t>
      </w:r>
    </w:p>
    <w:p>
      <w:pPr>
        <w:spacing w:before="800"/>
        <w:jc w:val="center"/>
      </w:pPr>
      <w:r>
        <w:rPr>
          <w:rFonts w:ascii="Calibri" w:cs="Calibri" w:eastAsia="Calibri" w:hAnsi="Calibri"/>
          <w:color w:val="595959"/>
          <w:sz w:val="22"/>
          <w:szCs w:val="22"/>
        </w:rPr>
        <w:t xml:space="preserve">Companion to: NIST AI RMF Assessment Toolkit.xlsx</w:t>
      </w:r>
    </w:p>
    <w:p>
      <w:pPr>
        <w:spacing w:before="3400"/>
        <w:jc w:val="center"/>
      </w:pPr>
      <w:r>
        <w:rPr>
          <w:rFonts w:ascii="Calibri" w:cs="Calibri" w:eastAsia="Calibri" w:hAnsi="Calibri"/>
          <w:b/>
          <w:bCs/>
          <w:color w:val="1F3864"/>
          <w:sz w:val="20"/>
          <w:szCs w:val="20"/>
        </w:rPr>
        <w:t xml:space="preserve">IMPORTANT: NIST AI RMF is a voluntary framework. There is no accredited third-party certification body,</w:t>
      </w:r>
    </w:p>
    <w:p>
      <w:pPr>
        <w:spacing w:after="200"/>
        <w:jc w:val="center"/>
      </w:pPr>
      <w:r>
        <w:rPr>
          <w:rFonts w:ascii="Calibri" w:cs="Calibri" w:eastAsia="Calibri" w:hAnsi="Calibri"/>
          <w:b/>
          <w:bCs/>
          <w:color w:val="1F3864"/>
          <w:sz w:val="20"/>
          <w:szCs w:val="20"/>
        </w:rPr>
        <w:t xml:space="preserve">no official NIST maturity model, and no Stage 1 / Stage 2 audit process. This handbook is a self-assessment guide.</w:t>
      </w:r>
    </w:p>
    <w:p>
      <w:pPr>
        <w:spacing w:before="600"/>
        <w:jc w:val="center"/>
      </w:pPr>
      <w:r>
        <w:rPr>
          <w:rFonts w:ascii="Calibri" w:cs="Calibri" w:eastAsia="Calibri" w:hAnsi="Calibri"/>
          <w:color w:val="595959"/>
          <w:sz w:val="20"/>
          <w:szCs w:val="20"/>
        </w:rPr>
        <w:t xml:space="preserve">Prepared August 2026</w:t>
      </w:r>
    </w:p>
    <w:p>
      <w:r>
        <w:br w:type="page"/>
      </w:r>
    </w:p>
    <w:p>
      <w:pPr>
        <w:pStyle w:val="Heading1"/>
        <w:spacing w:after="200" w:before="400"/>
      </w:pPr>
      <w:r>
        <w:t xml:space="preserve">Table of Contents</w:t>
      </w:r>
    </w:p>
    <w:p>
      <w:pPr>
        <w:spacing w:after="200"/>
      </w:pPr>
      <w:r>
        <w:rPr>
          <w:rFonts w:ascii="Calibri" w:cs="Calibri" w:eastAsia="Calibri" w:hAnsi="Calibri"/>
          <w:i/>
          <w:iCs/>
          <w:color w:val="595959"/>
          <w:sz w:val="20"/>
          <w:szCs w:val="20"/>
        </w:rPr>
        <w:t xml:space="preserve">(In Word, right-click below and choose "Update Field" — or press Ctrl+A then F9 — to populate this table of contents with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How to Use This Handbook</w:t>
      </w:r>
    </w:p>
    <w:p>
      <w:pPr>
        <w:spacing w:after="160" w:line="276"/>
      </w:pPr>
      <w:r>
        <w:rPr>
          <w:rFonts w:ascii="Calibri" w:cs="Calibri" w:eastAsia="Calibri" w:hAnsi="Calibri"/>
          <w:sz w:val="22"/>
          <w:szCs w:val="22"/>
        </w:rPr>
        <w:t xml:space="preserve">This handbook is written for someone who is new to both risk/governance work and to the NIST AI Risk Management Framework (AI RMF). It assumes no prior assessment background and builds up from first principles to a full, repeatable self-assessment process.</w:t>
      </w:r>
    </w:p>
    <w:p>
      <w:pPr>
        <w:spacing w:after="160" w:line="276"/>
      </w:pPr>
      <w:r>
        <w:rPr>
          <w:rFonts w:ascii="Calibri" w:cs="Calibri" w:eastAsia="Calibri" w:hAnsi="Calibri"/>
          <w:sz w:val="22"/>
          <w:szCs w:val="22"/>
        </w:rPr>
        <w:t xml:space="preserve">It is organized in five parts:</w:t>
      </w:r>
    </w:p>
    <w:p>
      <w:pPr>
        <w:pStyle w:val="ListParagraph"/>
        <w:numPr>
          <w:ilvl w:val="0"/>
          <w:numId w:val="2"/>
        </w:numPr>
        <w:spacing w:after="100"/>
      </w:pPr>
      <w:r>
        <w:rPr>
          <w:rFonts w:ascii="Calibri" w:cs="Calibri" w:eastAsia="Calibri" w:hAnsi="Calibri"/>
          <w:sz w:val="22"/>
          <w:szCs w:val="22"/>
        </w:rPr>
        <w:t xml:space="preserve">Part One – Assessment fundamentals: what a gap/maturity self-assessment is (and how it differs from a certification audit), key terminology, and an assessor's code of conduct.</w:t>
      </w:r>
    </w:p>
    <w:p>
      <w:pPr>
        <w:pStyle w:val="ListParagraph"/>
        <w:numPr>
          <w:ilvl w:val="0"/>
          <w:numId w:val="2"/>
        </w:numPr>
        <w:spacing w:after="100"/>
      </w:pPr>
      <w:r>
        <w:rPr>
          <w:rFonts w:ascii="Calibri" w:cs="Calibri" w:eastAsia="Calibri" w:hAnsi="Calibri"/>
          <w:sz w:val="22"/>
          <w:szCs w:val="22"/>
        </w:rPr>
        <w:t xml:space="preserve">Part Two – Understanding the NIST AI RMF: the four Functions, 19 Categories, and 72 Subcategories in plain language, AI Actors and lifecycle stages, the seven trustworthiness characteristics, the Playbook, the Generative AI Profile, and why there is no certification.</w:t>
      </w:r>
    </w:p>
    <w:p>
      <w:pPr>
        <w:pStyle w:val="ListParagraph"/>
        <w:numPr>
          <w:ilvl w:val="0"/>
          <w:numId w:val="2"/>
        </w:numPr>
        <w:spacing w:after="100"/>
      </w:pPr>
      <w:r>
        <w:rPr>
          <w:rFonts w:ascii="Calibri" w:cs="Calibri" w:eastAsia="Calibri" w:hAnsi="Calibri"/>
          <w:sz w:val="22"/>
          <w:szCs w:val="22"/>
        </w:rPr>
        <w:t xml:space="preserve">Part Three – The assessment journey end to end, from scoping through to a prioritized roadmap and report.</w:t>
      </w:r>
    </w:p>
    <w:p>
      <w:pPr>
        <w:pStyle w:val="ListParagraph"/>
        <w:numPr>
          <w:ilvl w:val="0"/>
          <w:numId w:val="2"/>
        </w:numPr>
        <w:spacing w:after="100"/>
      </w:pPr>
      <w:r>
        <w:rPr>
          <w:rFonts w:ascii="Calibri" w:cs="Calibri" w:eastAsia="Calibri" w:hAnsi="Calibri"/>
          <w:sz w:val="22"/>
          <w:szCs w:val="22"/>
        </w:rPr>
        <w:t xml:space="preserve">Part Four – Twelve step-by-step walkthroughs, each tied to a fillable template in the companion Excel workbook, “NIST AI RMF Assessment Toolkit.xlsx.”</w:t>
      </w:r>
    </w:p>
    <w:p>
      <w:pPr>
        <w:pStyle w:val="ListParagraph"/>
        <w:numPr>
          <w:ilvl w:val="0"/>
          <w:numId w:val="2"/>
        </w:numPr>
        <w:spacing w:after="100"/>
      </w:pPr>
      <w:r>
        <w:rPr>
          <w:rFonts w:ascii="Calibri" w:cs="Calibri" w:eastAsia="Calibri" w:hAnsi="Calibri"/>
          <w:sz w:val="22"/>
          <w:szCs w:val="22"/>
        </w:rPr>
        <w:t xml:space="preserve">Part Five – How to reuse and mature the toolkit across future reassessments, especially as generative AI use grows.</w:t>
      </w:r>
    </w:p>
    <w:p>
      <w:pPr>
        <w:spacing w:after="160" w:line="276"/>
      </w:pPr>
      <w:r>
        <w:rPr>
          <w:rFonts w:ascii="Calibri" w:cs="Calibri" w:eastAsia="Calibri" w:hAnsi="Calibri"/>
          <w:sz w:val="22"/>
          <w:szCs w:val="22"/>
        </w:rPr>
        <w:t xml:space="preserve">Throughout Part Four you will see boxes like the one below — they tell you exactly which tab of the companion workbook to have open.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Example: "Open 'Template 1 - Assessment Plan' in the NIST AI RMF Assessment Toolkit workbook."</w:t>
            </w:r>
          </w:p>
        </w:tc>
      </w:tr>
    </w:tbl>
    <w:p>
      <w:pPr>
        <w:spacing w:after="120"/>
      </w:pPr>
    </w:p>
    <w:p>
      <w:pPr>
        <w:spacing w:after="160" w:line="276"/>
      </w:pPr>
      <w:r>
        <w:rPr>
          <w:rFonts w:ascii="Calibri" w:cs="Calibri" w:eastAsia="Calibri" w:hAnsi="Calibri"/>
          <w:sz w:val="22"/>
          <w:szCs w:val="22"/>
        </w:rPr>
        <w:t xml:space="preserve">Everything in this handbook applies whether you are assessing your own organization (the most common case), assessing a business unit or a single AI system, or helping a client benchmark itself against the Framework as an advisor. Because AI RMF has no certification scheme, there is no “auditor vs. auditee” relationship to speak of — the vocabulary here (“assessment lead,” “stakeholder,” “executive sponsor”) reflects that.</w:t>
      </w:r>
    </w:p>
    <w:p>
      <w:pPr>
        <w:pStyle w:val="Heading1"/>
        <w:spacing w:after="200" w:before="400"/>
      </w:pPr>
      <w:r>
        <w:t xml:space="preserve">Part One – Assessment Fundamentals</w:t>
      </w:r>
    </w:p>
    <w:p>
      <w:pPr>
        <w:pStyle w:val="Heading2"/>
        <w:spacing w:after="150" w:before="300"/>
      </w:pPr>
      <w:r>
        <w:t xml:space="preserve">1.1 Gap/Maturity Assessment vs. Certification Audit</w:t>
      </w:r>
    </w:p>
    <w:p>
      <w:pPr>
        <w:spacing w:after="160" w:line="276"/>
      </w:pPr>
      <w:r>
        <w:rPr>
          <w:rFonts w:ascii="Calibri" w:cs="Calibri" w:eastAsia="Calibri" w:hAnsi="Calibri"/>
          <w:sz w:val="22"/>
          <w:szCs w:val="22"/>
        </w:rPr>
        <w:t xml:space="preserve">If you have worked with a certifiable standard before (ISO/IEC 27001, ISO/IEC 42001, SOC 2), you already have a mental model for “audit” — and it does not fully apply here. NIST AI RMF 1.0 is a voluntary framework. There is no accredited certification body that issues an AI RMF certificate, no Stage 1/Stage 2 audit sequence, and no formal grading of findings into major/minor nonconformities. Organizations self-assess.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cantSplit/>
          <w:tblHeader/>
        </w:trPr>
        <w:tc>
          <w:tcPr>
            <w:tcW w:type="dxa" w:w="4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Certification audit (e.g., ISO/IEC 42001)</w:t>
            </w:r>
          </w:p>
        </w:tc>
        <w:tc>
          <w:tcPr>
            <w:tcW w:type="dxa" w:w="4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AI RMF self-assessment (this handbook)</w:t>
            </w:r>
          </w:p>
        </w:tc>
      </w:tr>
      <w:tr>
        <w:trPr>
          <w:cantSplit/>
        </w:trPr>
        <w:tc>
          <w:tcPr>
            <w:tcW w:type="dxa" w:w="4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 accredited certification body performs the audit</w:t>
            </w:r>
          </w:p>
        </w:tc>
        <w:tc>
          <w:tcPr>
            <w:tcW w:type="dxa" w:w="4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organization assesses itself (optionally with outside help)</w:t>
            </w:r>
          </w:p>
        </w:tc>
      </w:tr>
      <w:tr>
        <w:trPr>
          <w:cantSplit/>
        </w:trPr>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Pass/fail outcome; a certificate is issued</w:t>
            </w:r>
          </w:p>
        </w:tc>
        <w:tc>
          <w:tcPr>
            <w:tcW w:type="dxa" w:w="4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 certificate; the outcome is a maturity picture and a roadmap</w:t>
            </w:r>
          </w:p>
        </w:tc>
      </w:tr>
      <w:tr>
        <w:trPr>
          <w:cantSplit/>
        </w:trPr>
        <w:tc>
          <w:tcPr>
            <w:tcW w:type="dxa" w:w="4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Findings graded Major / Minor nonconformity</w:t>
            </w:r>
          </w:p>
        </w:tc>
        <w:tc>
          <w:tcPr>
            <w:tcW w:type="dxa" w:w="4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Findings are prioritized (Critical/High/Medium/Low), not graded as nonconformities</w:t>
            </w:r>
          </w:p>
        </w:tc>
      </w:tr>
      <w:tr>
        <w:trPr>
          <w:cantSplit/>
        </w:trPr>
        <w:tc>
          <w:tcPr>
            <w:tcW w:type="dxa" w:w="4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Stage 1 (readiness) then Stage 2 (certification) audits</w:t>
            </w:r>
          </w:p>
        </w:tc>
        <w:tc>
          <w:tcPr>
            <w:tcW w:type="dxa" w:w="48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single continuous gap-assessment cycle: current state → target state → gaps → roadmap</w:t>
            </w:r>
          </w:p>
        </w:tc>
      </w:tr>
      <w:tr>
        <w:trPr>
          <w:cantSplit/>
        </w:trPr>
        <w:tc>
          <w:tcPr>
            <w:tcW w:type="dxa" w:w="4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Surveillance audits keep the certificate valid</w:t>
            </w:r>
          </w:p>
        </w:tc>
        <w:tc>
          <w:tcPr>
            <w:tcW w:type="dxa" w:w="4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Reassessment is self-scheduled, driven by risk and change, not a certificate clock</w:t>
            </w:r>
          </w:p>
        </w:tc>
      </w:tr>
    </w:tbl>
    <w:p>
      <w:pPr>
        <w:spacing w:after="160" w:line="276"/>
      </w:pPr>
      <w:r>
        <w:rPr>
          <w:rFonts w:ascii="Calibri" w:cs="Calibri" w:eastAsia="Calibri" w:hAnsi="Calibri"/>
          <w:sz w:val="22"/>
          <w:szCs w:val="22"/>
        </w:rPr>
        <w:t xml:space="preserve">As the compliance-tooling vendor Vanta puts it: ISO/IEC 42001 is “a certifiable standard requiring an external audit,” while NIST AI RMF is “not certifiable but operates as self-attestation with optional third-party audits for enhanced credibility.” Some organizations do bring in an outside advisor to run or validate their self-assessment for extra rigor or a second opinion. That is different from certification, because there is no accrediting body standing behind the result and no pass/fail decision being rendered.</w:t>
      </w:r>
    </w:p>
    <w:p>
      <w:pPr>
        <w:spacing w:after="160" w:line="276"/>
      </w:pPr>
      <w:r>
        <w:rPr>
          <w:rFonts w:ascii="Calibri" w:cs="Calibri" w:eastAsia="Calibri" w:hAnsi="Calibri"/>
          <w:sz w:val="22"/>
          <w:szCs w:val="22"/>
        </w:rPr>
        <w:t xml:space="preserve">No official NIST maturity model or numeric scoring system exists either. Third parties — the Cloud Security Alliance (through its AI Controls Matrix and AI Security Maturity Model), Credo AI, OneTrust, and various advisory firms — have each built their own interpretive scoring layers on top of AI RMF. This toolkit does the same: every numeric scale you will see in the companion workbook (a 0–4 maturity score, a Critical/High/Medium/Low priority label) is explicitly this toolkit's own interpretive layer, not an official NIST scale. Say so plainly whenever you present results to stakeholders.</w:t>
      </w:r>
    </w:p>
    <w:p>
      <w:pPr>
        <w:pStyle w:val="Heading2"/>
        <w:spacing w:after="150" w:before="300"/>
      </w:pPr>
      <w:r>
        <w:t xml:space="preserve">1.2 Key Terms You Need Before You Start</w:t>
      </w:r>
    </w:p>
    <w:p>
      <w:pPr>
        <w:spacing w:after="160" w:line="276"/>
      </w:pPr>
      <w:r>
        <w:rPr>
          <w:rFonts w:ascii="Calibri" w:cs="Calibri" w:eastAsia="Calibri" w:hAnsi="Calibri"/>
          <w:b/>
          <w:bCs/>
          <w:i w:val="false"/>
          <w:iCs w:val="false"/>
          <w:sz w:val="22"/>
          <w:szCs w:val="22"/>
        </w:rPr>
        <w:t xml:space="preserve">AI RMF: </w:t>
      </w:r>
      <w:r>
        <w:rPr>
          <w:rFonts w:ascii="Calibri" w:cs="Calibri" w:eastAsia="Calibri" w:hAnsi="Calibri"/>
          <w:b w:val="false"/>
          <w:bCs w:val="false"/>
          <w:i w:val="false"/>
          <w:iCs w:val="false"/>
          <w:sz w:val="22"/>
          <w:szCs w:val="22"/>
        </w:rPr>
        <w:t xml:space="preserve">The NIST AI Risk Management Framework (AI RMF 1.0 / NIST AI 100-1), a voluntary framework published January 26, 2023, to help organizations manage risks of designing, developing, deploying, or using AI systems.</w:t>
      </w:r>
    </w:p>
    <w:p>
      <w:pPr>
        <w:spacing w:after="160" w:line="276"/>
      </w:pPr>
      <w:r>
        <w:rPr>
          <w:rFonts w:ascii="Calibri" w:cs="Calibri" w:eastAsia="Calibri" w:hAnsi="Calibri"/>
          <w:b/>
          <w:bCs/>
          <w:i w:val="false"/>
          <w:iCs w:val="false"/>
          <w:sz w:val="22"/>
          <w:szCs w:val="22"/>
        </w:rPr>
        <w:t xml:space="preserve">AI Actor: </w:t>
      </w:r>
      <w:r>
        <w:rPr>
          <w:rFonts w:ascii="Calibri" w:cs="Calibri" w:eastAsia="Calibri" w:hAnsi="Calibri"/>
          <w:b w:val="false"/>
          <w:bCs w:val="false"/>
          <w:i w:val="false"/>
          <w:iCs w:val="false"/>
          <w:sz w:val="22"/>
          <w:szCs w:val="22"/>
        </w:rPr>
        <w:t xml:space="preserve">Anyone playing an active role in the AI lifecycle, including design, development, deployment, operation, evaluation, and use — see Appendix A of the AI RMF for the full list.</w:t>
      </w:r>
    </w:p>
    <w:p>
      <w:pPr>
        <w:spacing w:after="160" w:line="276"/>
      </w:pPr>
      <w:r>
        <w:rPr>
          <w:rFonts w:ascii="Calibri" w:cs="Calibri" w:eastAsia="Calibri" w:hAnsi="Calibri"/>
          <w:b/>
          <w:bCs/>
          <w:i w:val="false"/>
          <w:iCs w:val="false"/>
          <w:sz w:val="22"/>
          <w:szCs w:val="22"/>
        </w:rPr>
        <w:t xml:space="preserve">Assessment criteria: </w:t>
      </w:r>
      <w:r>
        <w:rPr>
          <w:rFonts w:ascii="Calibri" w:cs="Calibri" w:eastAsia="Calibri" w:hAnsi="Calibri"/>
          <w:b w:val="false"/>
          <w:bCs w:val="false"/>
          <w:i w:val="false"/>
          <w:iCs w:val="false"/>
          <w:sz w:val="22"/>
          <w:szCs w:val="22"/>
        </w:rPr>
        <w:t xml:space="preserve">The reference an assessor compares evidence against — for AI RMF, this is the Framework's Functions/Categories/Subcategories plus the organization's own AI governance documentation.</w:t>
      </w:r>
    </w:p>
    <w:p>
      <w:pPr>
        <w:spacing w:after="160" w:line="276"/>
      </w:pPr>
      <w:r>
        <w:rPr>
          <w:rFonts w:ascii="Calibri" w:cs="Calibri" w:eastAsia="Calibri" w:hAnsi="Calibri"/>
          <w:b/>
          <w:bCs/>
          <w:i w:val="false"/>
          <w:iCs w:val="false"/>
          <w:sz w:val="22"/>
          <w:szCs w:val="22"/>
        </w:rPr>
        <w:t xml:space="preserve">Assessment evidence: </w:t>
      </w:r>
      <w:r>
        <w:rPr>
          <w:rFonts w:ascii="Calibri" w:cs="Calibri" w:eastAsia="Calibri" w:hAnsi="Calibri"/>
          <w:b w:val="false"/>
          <w:bCs w:val="false"/>
          <w:i w:val="false"/>
          <w:iCs w:val="false"/>
          <w:sz w:val="22"/>
          <w:szCs w:val="22"/>
        </w:rPr>
        <w:t xml:space="preserve">Records, statements of fact, or other verifiable information relevant to the assessment criteria. Should be objective, not opinion.</w:t>
      </w:r>
    </w:p>
    <w:p>
      <w:pPr>
        <w:spacing w:after="160" w:line="276"/>
      </w:pPr>
      <w:r>
        <w:rPr>
          <w:rFonts w:ascii="Calibri" w:cs="Calibri" w:eastAsia="Calibri" w:hAnsi="Calibri"/>
          <w:b/>
          <w:bCs/>
          <w:i w:val="false"/>
          <w:iCs w:val="false"/>
          <w:sz w:val="22"/>
          <w:szCs w:val="22"/>
        </w:rPr>
        <w:t xml:space="preserve">Current-state score: </w:t>
      </w:r>
      <w:r>
        <w:rPr>
          <w:rFonts w:ascii="Calibri" w:cs="Calibri" w:eastAsia="Calibri" w:hAnsi="Calibri"/>
          <w:b w:val="false"/>
          <w:bCs w:val="false"/>
          <w:i w:val="false"/>
          <w:iCs w:val="false"/>
          <w:sz w:val="22"/>
          <w:szCs w:val="22"/>
        </w:rPr>
        <w:t xml:space="preserve">This toolkit's own rating (0-4) of how mature an organization's practice is against a given subcategory today. Not an official NIST scale.</w:t>
      </w:r>
    </w:p>
    <w:p>
      <w:pPr>
        <w:spacing w:after="160" w:line="276"/>
      </w:pPr>
      <w:r>
        <w:rPr>
          <w:rFonts w:ascii="Calibri" w:cs="Calibri" w:eastAsia="Calibri" w:hAnsi="Calibri"/>
          <w:b/>
          <w:bCs/>
          <w:i w:val="false"/>
          <w:iCs w:val="false"/>
          <w:sz w:val="22"/>
          <w:szCs w:val="22"/>
        </w:rPr>
        <w:t xml:space="preserve">Gap: </w:t>
      </w:r>
      <w:r>
        <w:rPr>
          <w:rFonts w:ascii="Calibri" w:cs="Calibri" w:eastAsia="Calibri" w:hAnsi="Calibri"/>
          <w:b w:val="false"/>
          <w:bCs w:val="false"/>
          <w:i w:val="false"/>
          <w:iCs w:val="false"/>
          <w:sz w:val="22"/>
          <w:szCs w:val="22"/>
        </w:rPr>
        <w:t xml:space="preserve">The difference between an organization's current-state score and its target-state score for a given subcategory.</w:t>
      </w:r>
    </w:p>
    <w:p>
      <w:pPr>
        <w:spacing w:after="160" w:line="276"/>
      </w:pPr>
      <w:r>
        <w:rPr>
          <w:rFonts w:ascii="Calibri" w:cs="Calibri" w:eastAsia="Calibri" w:hAnsi="Calibri"/>
          <w:b/>
          <w:bCs/>
          <w:i w:val="false"/>
          <w:iCs w:val="false"/>
          <w:sz w:val="22"/>
          <w:szCs w:val="22"/>
        </w:rPr>
        <w:t xml:space="preserve">Generative AI Profile: </w:t>
      </w:r>
      <w:r>
        <w:rPr>
          <w:rFonts w:ascii="Calibri" w:cs="Calibri" w:eastAsia="Calibri" w:hAnsi="Calibri"/>
          <w:b w:val="false"/>
          <w:bCs w:val="false"/>
          <w:i w:val="false"/>
          <w:iCs w:val="false"/>
          <w:sz w:val="22"/>
          <w:szCs w:val="22"/>
        </w:rPr>
        <w:t xml:space="preserve">NIST AI 600-1, published July 26, 2024, applying the AI RMF's four functions to generative AI specifically and cataloging 12 GAI-specific risks.</w:t>
      </w:r>
    </w:p>
    <w:p>
      <w:pPr>
        <w:spacing w:after="160" w:line="276"/>
      </w:pPr>
      <w:r>
        <w:rPr>
          <w:rFonts w:ascii="Calibri" w:cs="Calibri" w:eastAsia="Calibri" w:hAnsi="Calibri"/>
          <w:b/>
          <w:bCs/>
          <w:i w:val="false"/>
          <w:iCs w:val="false"/>
          <w:sz w:val="22"/>
          <w:szCs w:val="22"/>
        </w:rPr>
        <w:t xml:space="preserve">Maturity model: </w:t>
      </w:r>
      <w:r>
        <w:rPr>
          <w:rFonts w:ascii="Calibri" w:cs="Calibri" w:eastAsia="Calibri" w:hAnsi="Calibri"/>
          <w:b w:val="false"/>
          <w:bCs w:val="false"/>
          <w:i w:val="false"/>
          <w:iCs w:val="false"/>
          <w:sz w:val="22"/>
          <w:szCs w:val="22"/>
        </w:rPr>
        <w:t xml:space="preserve">A structured scale describing how developed a practice or capability is. AI RMF itself does not define one; any maturity scale applied to it (including this toolkit's) is a third-party interpretive layer.</w:t>
      </w:r>
    </w:p>
    <w:p>
      <w:pPr>
        <w:spacing w:after="160" w:line="276"/>
      </w:pPr>
      <w:r>
        <w:rPr>
          <w:rFonts w:ascii="Calibri" w:cs="Calibri" w:eastAsia="Calibri" w:hAnsi="Calibri"/>
          <w:b/>
          <w:bCs/>
          <w:i w:val="false"/>
          <w:iCs w:val="false"/>
          <w:sz w:val="22"/>
          <w:szCs w:val="22"/>
        </w:rPr>
        <w:t xml:space="preserve">Playbook: </w:t>
      </w:r>
      <w:r>
        <w:rPr>
          <w:rFonts w:ascii="Calibri" w:cs="Calibri" w:eastAsia="Calibri" w:hAnsi="Calibri"/>
          <w:b w:val="false"/>
          <w:bCs w:val="false"/>
          <w:i w:val="false"/>
          <w:iCs w:val="false"/>
          <w:sz w:val="22"/>
          <w:szCs w:val="22"/>
        </w:rPr>
        <w:t xml:space="preserve">A companion, non-normative NIST resource offering suggested (voluntary) actions and references tied to each subcategory. Explicitly not a checklist.</w:t>
      </w:r>
    </w:p>
    <w:p>
      <w:pPr>
        <w:spacing w:after="160" w:line="276"/>
      </w:pPr>
      <w:r>
        <w:rPr>
          <w:rFonts w:ascii="Calibri" w:cs="Calibri" w:eastAsia="Calibri" w:hAnsi="Calibri"/>
          <w:sz w:val="22"/>
          <w:szCs w:val="22"/>
        </w:rPr>
        <w:t xml:space="preserve">(The full glossary appears at the end of this handbook.)</w:t>
      </w:r>
    </w:p>
    <w:p>
      <w:pPr>
        <w:pStyle w:val="Heading2"/>
        <w:spacing w:after="150" w:before="300"/>
      </w:pPr>
      <w:r>
        <w:t xml:space="preserve">1.3 The Assessor's Code of Conduct</w:t>
      </w:r>
    </w:p>
    <w:p>
      <w:pPr>
        <w:spacing w:after="160" w:line="276"/>
      </w:pPr>
      <w:r>
        <w:rPr>
          <w:rFonts w:ascii="Calibri" w:cs="Calibri" w:eastAsia="Calibri" w:hAnsi="Calibri"/>
          <w:sz w:val="22"/>
          <w:szCs w:val="22"/>
        </w:rPr>
        <w:t xml:space="preserve">Even without a certification body enforcing it, the same principles that ground ISO 19011 (the international guideline for auditing management systems) make a self-assessment worth trusting. That trust matters both to your own leadership and to anyone outside the organization who later relies on it — regulators, customers, insurers, partners.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cantSplit/>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Principle</w:t>
            </w:r>
          </w:p>
        </w:tc>
        <w:tc>
          <w:tcPr>
            <w:tcW w:type="dxa" w:w="7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means in practice</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Integrity</w:t>
            </w:r>
          </w:p>
        </w:tc>
        <w:tc>
          <w:tcPr>
            <w:tcW w:type="dxa" w:w="7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 honest and diligent; only take on assessment work you are competent to do, and say so when you are not.</w:t>
            </w:r>
          </w:p>
        </w:tc>
      </w:tr>
      <w:tr>
        <w:trPr>
          <w:cantSplit/>
        </w:trP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Fair presentation</w:t>
            </w:r>
          </w:p>
        </w:tc>
        <w:tc>
          <w:tcPr>
            <w:tcW w:type="dxa" w:w="7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 truthfully and accurately, including gaps that are uncomfortable to name and any limitations in what you could assess.</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Due professional care</w:t>
            </w:r>
          </w:p>
        </w:tc>
        <w:tc>
          <w:tcPr>
            <w:tcW w:type="dxa" w:w="7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Apply diligence and judgment proportionate to how consequential the AI system or decision is.</w:t>
            </w:r>
          </w:p>
        </w:tc>
      </w:tr>
      <w:tr>
        <w:trPr>
          <w:cantSplit/>
        </w:trP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Confidentiality</w:t>
            </w:r>
          </w:p>
        </w:tc>
        <w:tc>
          <w:tcPr>
            <w:tcW w:type="dxa" w:w="7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Protect information you gain access to during the assessment; do not use it beyond the assessment's purpose.</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Independence of judgment</w:t>
            </w:r>
          </w:p>
        </w:tc>
        <w:tc>
          <w:tcPr>
            <w:tcW w:type="dxa" w:w="7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Even as an internal assessor, keep your scoring judgments free of pressure to make the picture look better than it is.</w:t>
            </w:r>
          </w:p>
        </w:tc>
      </w:tr>
      <w:tr>
        <w:trPr>
          <w:cantSplit/>
        </w:trP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Evidence-based approach</w:t>
            </w:r>
          </w:p>
        </w:tc>
        <w:tc>
          <w:tcPr>
            <w:tcW w:type="dxa" w:w="7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Conclusions rest on verifiable evidence — documents, records, observed practice — not gut feel or self-report alone.</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Risk-based approach</w:t>
            </w:r>
          </w:p>
        </w:tc>
        <w:tc>
          <w:tcPr>
            <w:tcW w:type="dxa" w:w="7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Focus assessment effort on the AI systems and subcategories with the highest potential impact, not evenly across everything.</w:t>
            </w:r>
          </w:p>
        </w:tc>
      </w:tr>
    </w:tbl>
    <w:p>
      <w:pPr>
        <w:pStyle w:val="Heading2"/>
        <w:spacing w:after="150" w:before="300"/>
      </w:pPr>
      <w:r>
        <w:t xml:space="preserve">1.4 The Assessment Cycle at a Glance</w:t>
      </w:r>
    </w:p>
    <w:p>
      <w:pPr>
        <w:spacing w:after="160" w:line="276"/>
      </w:pPr>
      <w:r>
        <w:rPr>
          <w:rFonts w:ascii="Calibri" w:cs="Calibri" w:eastAsia="Calibri" w:hAnsi="Calibri"/>
          <w:sz w:val="22"/>
          <w:szCs w:val="22"/>
        </w:rPr>
        <w:t xml:space="preserve">Every AI RMF self-assessment, whether it is your organization's first baseline or its fifth reassessment, follows the same core cycle. Part Four of this handbook gives you a template for each step.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cantSplit/>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Phase</w:t>
            </w:r>
          </w:p>
        </w:tc>
        <w:tc>
          <w:tcPr>
            <w:tcW w:type="dxa" w:w="7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happens</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Scope &amp; plan</w:t>
            </w:r>
          </w:p>
        </w:tc>
        <w:tc>
          <w:tcPr>
            <w:tcW w:type="dxa" w:w="7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Define objectives, scope, criteria, team, and schedule (Template 1).</w:t>
            </w:r>
          </w:p>
        </w:tc>
      </w:tr>
      <w:tr>
        <w:trPr>
          <w:cantSplit/>
        </w:trP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Gather evidence</w:t>
            </w:r>
          </w:p>
        </w:tc>
        <w:tc>
          <w:tcPr>
            <w:tcW w:type="dxa" w:w="7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Interview stakeholders, collect documentation, log evidence (Templates 5, 7).</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Assess current state</w:t>
            </w:r>
          </w:p>
        </w:tc>
        <w:tc>
          <w:tcPr>
            <w:tcW w:type="dxa" w:w="7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Score all 72 subcategories against the toolkit's maturity scale (Template 2).</w:t>
            </w:r>
          </w:p>
        </w:tc>
      </w:tr>
      <w:tr>
        <w:trPr>
          <w:cantSplit/>
        </w:trP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Define target state</w:t>
            </w:r>
          </w:p>
        </w:tc>
        <w:tc>
          <w:tcPr>
            <w:tcW w:type="dxa" w:w="7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Set target scores and priorities appropriate to your risk tolerance (Template 3).</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 Analyze gaps</w:t>
            </w:r>
          </w:p>
        </w:tc>
        <w:tc>
          <w:tcPr>
            <w:tcW w:type="dxa" w:w="7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Quantify and categorize the distance between current and target state (Template 4).</w:t>
            </w:r>
          </w:p>
        </w:tc>
      </w:tr>
      <w:tr>
        <w:trPr>
          <w:cantSplit/>
        </w:trP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 Track findings &amp; risk</w:t>
            </w:r>
          </w:p>
        </w:tc>
        <w:tc>
          <w:tcPr>
            <w:tcW w:type="dxa" w:w="7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Log specific findings and prioritize them (Template 6, plus the AI Risk Register, Template 10).</w:t>
            </w:r>
          </w:p>
        </w:tc>
      </w:tr>
      <w:tr>
        <w:trPr>
          <w:cantSplit/>
        </w:trP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 Build the roadmap &amp; report</w:t>
            </w:r>
          </w:p>
        </w:tc>
        <w:tc>
          <w:tcPr>
            <w:tcW w:type="dxa" w:w="7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Turn gaps into a remediation plan and summarize results (Templates 8–9).</w:t>
            </w:r>
          </w:p>
        </w:tc>
      </w:tr>
      <w:tr>
        <w:trPr>
          <w:cantSplit/>
        </w:trP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 Reassess</w:t>
            </w:r>
          </w:p>
        </w:tc>
        <w:tc>
          <w:tcPr>
            <w:tcW w:type="dxa" w:w="7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Schedule the next cycle, weighted toward higher-risk and changed areas (Template 12).</w:t>
            </w:r>
          </w:p>
        </w:tc>
      </w:tr>
    </w:tbl>
    <w:p>
      <w:r>
        <w:br w:type="page"/>
      </w:r>
    </w:p>
    <w:p>
      <w:pPr>
        <w:pStyle w:val="Heading1"/>
        <w:spacing w:after="200" w:before="400"/>
      </w:pPr>
      <w:r>
        <w:t xml:space="preserve">Part Two – Understanding the NIST AI RMF</w:t>
      </w:r>
    </w:p>
    <w:p>
      <w:pPr>
        <w:pStyle w:val="Heading2"/>
        <w:spacing w:after="150" w:before="300"/>
      </w:pPr>
      <w:r>
        <w:t xml:space="preserve">2.1 Why the AI RMF Exists</w:t>
      </w:r>
    </w:p>
    <w:p>
      <w:pPr>
        <w:spacing w:after="160" w:line="276"/>
      </w:pPr>
      <w:r>
        <w:rPr>
          <w:rFonts w:ascii="Calibri" w:cs="Calibri" w:eastAsia="Calibri" w:hAnsi="Calibri"/>
          <w:sz w:val="22"/>
          <w:szCs w:val="22"/>
        </w:rPr>
        <w:t xml:space="preserve">NIST AI RMF 1.0 (published as NIST AI 100-1 on January 26, 2023) gives organizations that design, develop, deploy, evaluate, or use AI systems a structured, voluntary way to identify and manage the risks AI creates. It also recognizes AI's potential benefits rather than treating AI purely as a hazard to control. The Framework was developed through an open, consensus-driven process involving hundreds of organizations, in response to a directive in the National Artificial Intelligence Initiative Act of 2020.</w:t>
      </w:r>
    </w:p>
    <w:p>
      <w:pPr>
        <w:spacing w:after="160" w:line="276"/>
      </w:pPr>
      <w:r>
        <w:rPr>
          <w:rFonts w:ascii="Calibri" w:cs="Calibri" w:eastAsia="Calibri" w:hAnsi="Calibri"/>
          <w:sz w:val="22"/>
          <w:szCs w:val="22"/>
        </w:rPr>
        <w:t xml:space="preserve">Unlike a checklist of controls, the Framework is organized around four continuous Functions that an organization cycles through, not through once and done: GOVERN, MAP, MEASURE, and MANAGE. NIST is explicit that GOVERN is cross-cutting — it should inform and be infused throughout the other three, not treated as a one-time setup phase.</w:t>
      </w:r>
    </w:p>
    <w:p>
      <w:pPr>
        <w:pStyle w:val="Heading2"/>
        <w:spacing w:after="150" w:before="300"/>
      </w:pPr>
      <w:r>
        <w:t xml:space="preserve">2.2 The Four Functions, 19 Categories, 72 Subcategories</w:t>
      </w:r>
    </w:p>
    <w:p>
      <w:pPr>
        <w:spacing w:after="160" w:line="276"/>
      </w:pPr>
      <w:r>
        <w:rPr>
          <w:rFonts w:ascii="Calibri" w:cs="Calibri" w:eastAsia="Calibri" w:hAnsi="Calibri"/>
          <w:sz w:val="22"/>
          <w:szCs w:val="22"/>
        </w:rPr>
        <w:t xml:space="preserve">This is the structural backbone of the entire Framework — and of the companion workbook's Template 2, which lists all 72 subcategories as a single checklist.</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1550"/>
        <w:gridCol w:w="5815"/>
        <w:gridCol w:w="1260"/>
        <w:gridCol w:w="1454"/>
      </w:tblGrid>
      <w:tr>
        <w:trPr>
          <w:cantSplit/>
          <w:tblHeader/>
        </w:trPr>
        <w:tc>
          <w:tcPr>
            <w:tcW w:type="dxa" w:w="15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Function</w:t>
            </w:r>
          </w:p>
        </w:tc>
        <w:tc>
          <w:tcPr>
            <w:tcW w:type="dxa" w:w="5815"/>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it covers</w:t>
            </w:r>
          </w:p>
        </w:tc>
        <w:tc>
          <w:tcPr>
            <w:tcW w:type="dxa" w:w="126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Categories</w:t>
            </w:r>
          </w:p>
        </w:tc>
        <w:tc>
          <w:tcPr>
            <w:tcW w:type="dxa" w:w="1454"/>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Subcategories</w:t>
            </w:r>
          </w:p>
        </w:tc>
      </w:tr>
      <w:tr>
        <w:trPr>
          <w:cantSplit/>
        </w:trPr>
        <w:tc>
          <w:tcPr>
            <w:tcW w:type="dxa" w:w="1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w:t>
            </w:r>
          </w:p>
        </w:tc>
        <w:tc>
          <w:tcPr>
            <w:tcW w:type="dxa" w:w="5815"/>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Cross-cutting: policies, processes, and organizational culture that make the other three functions possible. Applied throughout the AI lifecycle, not just at the start.</w:t>
            </w:r>
          </w:p>
        </w:tc>
        <w:tc>
          <w:tcPr>
            <w:tcW w:type="dxa" w:w="12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1454"/>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19</w:t>
            </w:r>
          </w:p>
        </w:tc>
      </w:tr>
      <w:tr>
        <w:trPr>
          <w:cantSplit/>
        </w:trPr>
        <w:tc>
          <w:tcPr>
            <w:tcW w:type="dxa" w:w="1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w:t>
            </w:r>
          </w:p>
        </w:tc>
        <w:tc>
          <w:tcPr>
            <w:tcW w:type="dxa" w:w="5815"/>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Establishes the context in which AI risks are framed: intended purpose, stakeholders, and categorization — the foundation for everything MEASURE and MANAGE do afterward.</w:t>
            </w:r>
          </w:p>
        </w:tc>
        <w:tc>
          <w:tcPr>
            <w:tcW w:type="dxa" w:w="12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1454"/>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18</w:t>
            </w:r>
          </w:p>
        </w:tc>
      </w:tr>
      <w:tr>
        <w:trPr>
          <w:cantSplit/>
        </w:trPr>
        <w:tc>
          <w:tcPr>
            <w:tcW w:type="dxa" w:w="1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w:t>
            </w:r>
          </w:p>
        </w:tc>
        <w:tc>
          <w:tcPr>
            <w:tcW w:type="dxa" w:w="5815"/>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Analyzes, assesses, benchmarks, and monitors AI risk and its impacts using quantitative, qualitative, or mixed methods.</w:t>
            </w:r>
          </w:p>
        </w:tc>
        <w:tc>
          <w:tcPr>
            <w:tcW w:type="dxa" w:w="126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c>
          <w:tcPr>
            <w:tcW w:type="dxa" w:w="1454"/>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22</w:t>
            </w:r>
          </w:p>
        </w:tc>
      </w:tr>
      <w:tr>
        <w:trPr>
          <w:cantSplit/>
        </w:trPr>
        <w:tc>
          <w:tcPr>
            <w:tcW w:type="dxa" w:w="15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w:t>
            </w:r>
          </w:p>
        </w:tc>
        <w:tc>
          <w:tcPr>
            <w:tcW w:type="dxa" w:w="5815"/>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Allocates risk-management resources to mapped and measured risks on a regular basis, informed by GOVERN.</w:t>
            </w:r>
          </w:p>
        </w:tc>
        <w:tc>
          <w:tcPr>
            <w:tcW w:type="dxa" w:w="126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c>
          <w:tcPr>
            <w:tcW w:type="dxa" w:w="1454"/>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13</w:t>
            </w:r>
          </w:p>
        </w:tc>
      </w:tr>
    </w:tbl>
    <w:p>
      <w:pPr>
        <w:spacing w:after="120"/>
      </w:pPr>
    </w:p>
    <w:p>
      <w:pPr>
        <w:spacing w:after="160" w:line="276"/>
      </w:pPr>
      <w:r>
        <w:rPr>
          <w:rFonts w:ascii="Calibri" w:cs="Calibri" w:eastAsia="Calibri" w:hAnsi="Calibri"/>
          <w:sz w:val="22"/>
          <w:szCs w:val="22"/>
        </w:rPr>
        <w:t xml:space="preserve">The 19 Categories, in plain language: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6000"/>
        <w:gridCol w:w="1000"/>
      </w:tblGrid>
      <w:tr>
        <w:trPr>
          <w:cantSplit/>
          <w:tblHeader/>
        </w:trPr>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Category</w:t>
            </w:r>
          </w:p>
        </w:tc>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Function</w:t>
            </w:r>
          </w:p>
        </w:tc>
        <w:tc>
          <w:tcPr>
            <w:tcW w:type="dxa" w:w="6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In plain language</w:t>
            </w:r>
          </w:p>
        </w:tc>
        <w:tc>
          <w:tcPr>
            <w:tcW w:type="dxa" w:w="1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 Subcats</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1</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Policies, processes, procedures, and practices are in place, transparent, and implemented effectively.</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2</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Accountability structures are in place so teams and individuals are empowered, responsible, and trained.</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3</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Workforce diversity, equity, inclusion, and accessibility are prioritized throughout the lifecycle.</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4</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Organizational teams are committed to a culture that considers and communicates AI risk.</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5</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Processes are in place for robust engagement with relevant AI actors.</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6</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Policies and procedures address AI risks/benefits from third-party software, data, and supply chain.</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1</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Context is established and understood.</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2</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Categorization of the AI system is performed.</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3</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capabilities, targeted usage, goals, and expected benefits/costs are understood.</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4</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Risks and benefits are mapped for all components, including third-party software/data.</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5</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Impacts to individuals, groups, communities, organizations, and society are characterized.</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1</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Appropriate methods and metrics are identified and applied.</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systems are evaluated for trustworthy characteristics.</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13</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3</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Mechanisms for tracking identified AI risks over time are in place.</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4</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Feedback about efficacy of measurement is gathered and assessed.</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1</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risks from MAP/MEASURE outputs are prioritized, responded to, and managed.</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2</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Strategies to maximize AI benefits and minimize negative impacts are planned/implemented.</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r>
      <w:tr>
        <w:trPr>
          <w:cantSplit/>
        </w:trPr>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3</w:t>
            </w:r>
          </w:p>
        </w:tc>
        <w:tc>
          <w:tcPr>
            <w:tcW w:type="dxa" w:w="1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w:t>
            </w:r>
          </w:p>
        </w:tc>
        <w:tc>
          <w:tcPr>
            <w:tcW w:type="dxa" w:w="6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risks and benefits from third-party entities are managed.</w:t>
            </w:r>
          </w:p>
        </w:tc>
        <w:tc>
          <w:tcPr>
            <w:tcW w:type="dxa" w:w="1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r>
      <w:tr>
        <w:trPr>
          <w:cantSplit/>
        </w:trPr>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4</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treatment, response/recovery, and communication plans are documented and monitored.</w:t>
            </w:r>
          </w:p>
        </w:tc>
        <w:tc>
          <w:tcPr>
            <w:tcW w:type="dxa" w:w="1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r>
    </w:tbl>
    <w:p>
      <w:pPr>
        <w:spacing w:after="160" w:line="276"/>
      </w:pPr>
      <w:r>
        <w:rPr>
          <w:rFonts w:ascii="Calibri" w:cs="Calibri" w:eastAsia="Calibri" w:hAnsi="Calibri"/>
          <w:sz w:val="22"/>
          <w:szCs w:val="22"/>
        </w:rPr>
        <w:t xml:space="preserve">The full text of all 72 Subcategories — the most granular, and most useful for an assessment — appears in the Appendix at the end of this handbook, and is pre-loaded into Template 2 of the companion workbook.</w:t>
      </w:r>
    </w:p>
    <w:p>
      <w:pPr>
        <w:pStyle w:val="Heading2"/>
        <w:spacing w:after="150" w:before="300"/>
      </w:pPr>
      <w:r>
        <w:t xml:space="preserve">2.3 AI Actors and the AI Lifecycle</w:t>
      </w:r>
    </w:p>
    <w:p>
      <w:pPr>
        <w:spacing w:after="160" w:line="276"/>
      </w:pPr>
      <w:r>
        <w:rPr>
          <w:rFonts w:ascii="Calibri" w:cs="Calibri" w:eastAsia="Calibri" w:hAnsi="Calibri"/>
          <w:sz w:val="22"/>
          <w:szCs w:val="22"/>
        </w:rPr>
        <w:t xml:space="preserve">The AI RMF defines an “AI actor” broadly: anyone playing an active role in the AI lifecycle. Appendix A of the Framework lists these actor categories — useful when you are deciding who to interview during an assessment:</w:t>
      </w:r>
    </w:p>
    <w:p>
      <w:pPr>
        <w:spacing w:after="160" w:line="276"/>
      </w:pPr>
      <w:r>
        <w:rPr>
          <w:rFonts w:ascii="Calibri" w:cs="Calibri" w:eastAsia="Calibri" w:hAnsi="Calibri"/>
          <w:b/>
          <w:bCs/>
          <w:i w:val="false"/>
          <w:iCs w:val="false"/>
          <w:sz w:val="22"/>
          <w:szCs w:val="22"/>
        </w:rPr>
        <w:t xml:space="preserve">AI Design: </w:t>
      </w:r>
      <w:r>
        <w:rPr>
          <w:rFonts w:ascii="Calibri" w:cs="Calibri" w:eastAsia="Calibri" w:hAnsi="Calibri"/>
          <w:b w:val="false"/>
          <w:bCs w:val="false"/>
          <w:i w:val="false"/>
          <w:iCs w:val="false"/>
          <w:sz w:val="22"/>
          <w:szCs w:val="22"/>
        </w:rPr>
        <w:t xml:space="preserve">Deciding the AI system's purpose, requirements, and approach before building begins.</w:t>
      </w:r>
    </w:p>
    <w:p>
      <w:pPr>
        <w:spacing w:after="160" w:line="276"/>
      </w:pPr>
      <w:r>
        <w:rPr>
          <w:rFonts w:ascii="Calibri" w:cs="Calibri" w:eastAsia="Calibri" w:hAnsi="Calibri"/>
          <w:b/>
          <w:bCs/>
          <w:i w:val="false"/>
          <w:iCs w:val="false"/>
          <w:sz w:val="22"/>
          <w:szCs w:val="22"/>
        </w:rPr>
        <w:t xml:space="preserve">AI Development: </w:t>
      </w:r>
      <w:r>
        <w:rPr>
          <w:rFonts w:ascii="Calibri" w:cs="Calibri" w:eastAsia="Calibri" w:hAnsi="Calibri"/>
          <w:b w:val="false"/>
          <w:bCs w:val="false"/>
          <w:i w:val="false"/>
          <w:iCs w:val="false"/>
          <w:sz w:val="22"/>
          <w:szCs w:val="22"/>
        </w:rPr>
        <w:t xml:space="preserve">Building, training, and testing the model and surrounding system.</w:t>
      </w:r>
    </w:p>
    <w:p>
      <w:pPr>
        <w:spacing w:after="160" w:line="276"/>
      </w:pPr>
      <w:r>
        <w:rPr>
          <w:rFonts w:ascii="Calibri" w:cs="Calibri" w:eastAsia="Calibri" w:hAnsi="Calibri"/>
          <w:b/>
          <w:bCs/>
          <w:i w:val="false"/>
          <w:iCs w:val="false"/>
          <w:sz w:val="22"/>
          <w:szCs w:val="22"/>
        </w:rPr>
        <w:t xml:space="preserve">AI Deployment: </w:t>
      </w:r>
      <w:r>
        <w:rPr>
          <w:rFonts w:ascii="Calibri" w:cs="Calibri" w:eastAsia="Calibri" w:hAnsi="Calibri"/>
          <w:b w:val="false"/>
          <w:bCs w:val="false"/>
          <w:i w:val="false"/>
          <w:iCs w:val="false"/>
          <w:sz w:val="22"/>
          <w:szCs w:val="22"/>
        </w:rPr>
        <w:t xml:space="preserve">Integrating the AI system into an operational environment and releasing it for use.</w:t>
      </w:r>
    </w:p>
    <w:p>
      <w:pPr>
        <w:spacing w:after="160" w:line="276"/>
      </w:pPr>
      <w:r>
        <w:rPr>
          <w:rFonts w:ascii="Calibri" w:cs="Calibri" w:eastAsia="Calibri" w:hAnsi="Calibri"/>
          <w:b/>
          <w:bCs/>
          <w:i w:val="false"/>
          <w:iCs w:val="false"/>
          <w:sz w:val="22"/>
          <w:szCs w:val="22"/>
        </w:rPr>
        <w:t xml:space="preserve">Operation and Monitoring: </w:t>
      </w:r>
      <w:r>
        <w:rPr>
          <w:rFonts w:ascii="Calibri" w:cs="Calibri" w:eastAsia="Calibri" w:hAnsi="Calibri"/>
          <w:b w:val="false"/>
          <w:bCs w:val="false"/>
          <w:i w:val="false"/>
          <w:iCs w:val="false"/>
          <w:sz w:val="22"/>
          <w:szCs w:val="22"/>
        </w:rPr>
        <w:t xml:space="preserve">Running the system day to day and watching for drift, errors, or incidents.</w:t>
      </w:r>
    </w:p>
    <w:p>
      <w:pPr>
        <w:spacing w:after="160" w:line="276"/>
      </w:pPr>
      <w:r>
        <w:rPr>
          <w:rFonts w:ascii="Calibri" w:cs="Calibri" w:eastAsia="Calibri" w:hAnsi="Calibri"/>
          <w:b/>
          <w:bCs/>
          <w:i w:val="false"/>
          <w:iCs w:val="false"/>
          <w:sz w:val="22"/>
          <w:szCs w:val="22"/>
        </w:rPr>
        <w:t xml:space="preserve">TEVV (Test, Evaluation, Verification, Validation): </w:t>
      </w:r>
      <w:r>
        <w:rPr>
          <w:rFonts w:ascii="Calibri" w:cs="Calibri" w:eastAsia="Calibri" w:hAnsi="Calibri"/>
          <w:b w:val="false"/>
          <w:bCs w:val="false"/>
          <w:i w:val="false"/>
          <w:iCs w:val="false"/>
          <w:sz w:val="22"/>
          <w:szCs w:val="22"/>
        </w:rPr>
        <w:t xml:space="preserve">Performed throughout the lifecycle, not a single stage — checking the system meets requirements and performs as intended.</w:t>
      </w:r>
    </w:p>
    <w:p>
      <w:pPr>
        <w:spacing w:after="160" w:line="276"/>
      </w:pPr>
      <w:r>
        <w:rPr>
          <w:rFonts w:ascii="Calibri" w:cs="Calibri" w:eastAsia="Calibri" w:hAnsi="Calibri"/>
          <w:b/>
          <w:bCs/>
          <w:i w:val="false"/>
          <w:iCs w:val="false"/>
          <w:sz w:val="22"/>
          <w:szCs w:val="22"/>
        </w:rPr>
        <w:t xml:space="preserve">Human Factors: </w:t>
      </w:r>
      <w:r>
        <w:rPr>
          <w:rFonts w:ascii="Calibri" w:cs="Calibri" w:eastAsia="Calibri" w:hAnsi="Calibri"/>
          <w:b w:val="false"/>
          <w:bCs w:val="false"/>
          <w:i w:val="false"/>
          <w:iCs w:val="false"/>
          <w:sz w:val="22"/>
          <w:szCs w:val="22"/>
        </w:rPr>
        <w:t xml:space="preserve">Understanding how people actually interact with, rely on, and are affected by the system.</w:t>
      </w:r>
    </w:p>
    <w:p>
      <w:pPr>
        <w:spacing w:after="160" w:line="276"/>
      </w:pPr>
      <w:r>
        <w:rPr>
          <w:rFonts w:ascii="Calibri" w:cs="Calibri" w:eastAsia="Calibri" w:hAnsi="Calibri"/>
          <w:b/>
          <w:bCs/>
          <w:i w:val="false"/>
          <w:iCs w:val="false"/>
          <w:sz w:val="22"/>
          <w:szCs w:val="22"/>
        </w:rPr>
        <w:t xml:space="preserve">Domain Experts: </w:t>
      </w:r>
      <w:r>
        <w:rPr>
          <w:rFonts w:ascii="Calibri" w:cs="Calibri" w:eastAsia="Calibri" w:hAnsi="Calibri"/>
          <w:b w:val="false"/>
          <w:bCs w:val="false"/>
          <w:i w:val="false"/>
          <w:iCs w:val="false"/>
          <w:sz w:val="22"/>
          <w:szCs w:val="22"/>
        </w:rPr>
        <w:t xml:space="preserve">Subject-matter knowledge specific to the field the AI system is applied in (e.g., healthcare, hiring, lending).</w:t>
      </w:r>
    </w:p>
    <w:p>
      <w:pPr>
        <w:spacing w:after="160" w:line="276"/>
      </w:pPr>
      <w:r>
        <w:rPr>
          <w:rFonts w:ascii="Calibri" w:cs="Calibri" w:eastAsia="Calibri" w:hAnsi="Calibri"/>
          <w:b/>
          <w:bCs/>
          <w:i w:val="false"/>
          <w:iCs w:val="false"/>
          <w:sz w:val="22"/>
          <w:szCs w:val="22"/>
        </w:rPr>
        <w:t xml:space="preserve">AI Impact Assessment: </w:t>
      </w:r>
      <w:r>
        <w:rPr>
          <w:rFonts w:ascii="Calibri" w:cs="Calibri" w:eastAsia="Calibri" w:hAnsi="Calibri"/>
          <w:b w:val="false"/>
          <w:bCs w:val="false"/>
          <w:i w:val="false"/>
          <w:iCs w:val="false"/>
          <w:sz w:val="22"/>
          <w:szCs w:val="22"/>
        </w:rPr>
        <w:t xml:space="preserve">Evaluating effects on individuals, groups, and society before and during deployment.</w:t>
      </w:r>
    </w:p>
    <w:p>
      <w:pPr>
        <w:spacing w:after="160" w:line="276"/>
      </w:pPr>
      <w:r>
        <w:rPr>
          <w:rFonts w:ascii="Calibri" w:cs="Calibri" w:eastAsia="Calibri" w:hAnsi="Calibri"/>
          <w:b/>
          <w:bCs/>
          <w:i w:val="false"/>
          <w:iCs w:val="false"/>
          <w:sz w:val="22"/>
          <w:szCs w:val="22"/>
        </w:rPr>
        <w:t xml:space="preserve">Procurement: </w:t>
      </w:r>
      <w:r>
        <w:rPr>
          <w:rFonts w:ascii="Calibri" w:cs="Calibri" w:eastAsia="Calibri" w:hAnsi="Calibri"/>
          <w:b w:val="false"/>
          <w:bCs w:val="false"/>
          <w:i w:val="false"/>
          <w:iCs w:val="false"/>
          <w:sz w:val="22"/>
          <w:szCs w:val="22"/>
        </w:rPr>
        <w:t xml:space="preserve">Acquiring AI systems or components from third parties.</w:t>
      </w:r>
    </w:p>
    <w:p>
      <w:pPr>
        <w:spacing w:after="160" w:line="276"/>
      </w:pPr>
      <w:r>
        <w:rPr>
          <w:rFonts w:ascii="Calibri" w:cs="Calibri" w:eastAsia="Calibri" w:hAnsi="Calibri"/>
          <w:b/>
          <w:bCs/>
          <w:i w:val="false"/>
          <w:iCs w:val="false"/>
          <w:sz w:val="22"/>
          <w:szCs w:val="22"/>
        </w:rPr>
        <w:t xml:space="preserve">Governance and Oversight: </w:t>
      </w:r>
      <w:r>
        <w:rPr>
          <w:rFonts w:ascii="Calibri" w:cs="Calibri" w:eastAsia="Calibri" w:hAnsi="Calibri"/>
          <w:b w:val="false"/>
          <w:bCs w:val="false"/>
          <w:i w:val="false"/>
          <w:iCs w:val="false"/>
          <w:sz w:val="22"/>
          <w:szCs w:val="22"/>
        </w:rPr>
        <w:t xml:space="preserve">Setting policy, accountability, and decision rights for AI risk across the organization.</w:t>
      </w:r>
    </w:p>
    <w:p>
      <w:pPr>
        <w:spacing w:after="160" w:line="276"/>
      </w:pPr>
      <w:r>
        <w:rPr>
          <w:rFonts w:ascii="Calibri" w:cs="Calibri" w:eastAsia="Calibri" w:hAnsi="Calibri"/>
          <w:b/>
          <w:bCs/>
          <w:i w:val="false"/>
          <w:iCs w:val="false"/>
          <w:sz w:val="22"/>
          <w:szCs w:val="22"/>
        </w:rPr>
        <w:t xml:space="preserve">Third Parties: </w:t>
      </w:r>
      <w:r>
        <w:rPr>
          <w:rFonts w:ascii="Calibri" w:cs="Calibri" w:eastAsia="Calibri" w:hAnsi="Calibri"/>
          <w:b w:val="false"/>
          <w:bCs w:val="false"/>
          <w:i w:val="false"/>
          <w:iCs w:val="false"/>
          <w:sz w:val="22"/>
          <w:szCs w:val="22"/>
        </w:rPr>
        <w:t xml:space="preserve">External vendors, suppliers, or partners whose software, data, or models are incorporated.</w:t>
      </w:r>
    </w:p>
    <w:p>
      <w:pPr>
        <w:spacing w:after="160" w:line="276"/>
      </w:pPr>
      <w:r>
        <w:rPr>
          <w:rFonts w:ascii="Calibri" w:cs="Calibri" w:eastAsia="Calibri" w:hAnsi="Calibri"/>
          <w:b/>
          <w:bCs/>
          <w:i w:val="false"/>
          <w:iCs w:val="false"/>
          <w:sz w:val="22"/>
          <w:szCs w:val="22"/>
        </w:rPr>
        <w:t xml:space="preserve">End Users: </w:t>
      </w:r>
      <w:r>
        <w:rPr>
          <w:rFonts w:ascii="Calibri" w:cs="Calibri" w:eastAsia="Calibri" w:hAnsi="Calibri"/>
          <w:b w:val="false"/>
          <w:bCs w:val="false"/>
          <w:i w:val="false"/>
          <w:iCs w:val="false"/>
          <w:sz w:val="22"/>
          <w:szCs w:val="22"/>
        </w:rPr>
        <w:t xml:space="preserve">The people who directly operate or interact with the AI system.</w:t>
      </w:r>
    </w:p>
    <w:p>
      <w:pPr>
        <w:spacing w:after="160" w:line="276"/>
      </w:pPr>
      <w:r>
        <w:rPr>
          <w:rFonts w:ascii="Calibri" w:cs="Calibri" w:eastAsia="Calibri" w:hAnsi="Calibri"/>
          <w:b/>
          <w:bCs/>
          <w:i w:val="false"/>
          <w:iCs w:val="false"/>
          <w:sz w:val="22"/>
          <w:szCs w:val="22"/>
        </w:rPr>
        <w:t xml:space="preserve">Affected Individuals/Communities/Society: </w:t>
      </w:r>
      <w:r>
        <w:rPr>
          <w:rFonts w:ascii="Calibri" w:cs="Calibri" w:eastAsia="Calibri" w:hAnsi="Calibri"/>
          <w:b w:val="false"/>
          <w:bCs w:val="false"/>
          <w:i w:val="false"/>
          <w:iCs w:val="false"/>
          <w:sz w:val="22"/>
          <w:szCs w:val="22"/>
        </w:rPr>
        <w:t xml:space="preserve">People impacted by the AI system's outputs or decisions, whether or not they use it directly.</w:t>
      </w:r>
    </w:p>
    <w:p>
      <w:pPr>
        <w:spacing w:after="160" w:line="276"/>
      </w:pPr>
      <w:r>
        <w:rPr>
          <w:rFonts w:ascii="Calibri" w:cs="Calibri" w:eastAsia="Calibri" w:hAnsi="Calibri"/>
          <w:b/>
          <w:bCs/>
          <w:i w:val="false"/>
          <w:iCs w:val="false"/>
          <w:sz w:val="22"/>
          <w:szCs w:val="22"/>
        </w:rPr>
        <w:t xml:space="preserve">General Public: </w:t>
      </w:r>
      <w:r>
        <w:rPr>
          <w:rFonts w:ascii="Calibri" w:cs="Calibri" w:eastAsia="Calibri" w:hAnsi="Calibri"/>
          <w:b w:val="false"/>
          <w:bCs w:val="false"/>
          <w:i w:val="false"/>
          <w:iCs w:val="false"/>
          <w:sz w:val="22"/>
          <w:szCs w:val="22"/>
        </w:rPr>
        <w:t xml:space="preserve">The broader public, who may be affected by wide-scale AI adoption even without direct exposure to a specific system.</w:t>
      </w:r>
    </w:p>
    <w:p>
      <w:pPr>
        <w:spacing w:after="160" w:line="276"/>
      </w:pPr>
      <w:r>
        <w:rPr>
          <w:rFonts w:ascii="Calibri" w:cs="Calibri" w:eastAsia="Calibri" w:hAnsi="Calibri"/>
          <w:sz w:val="22"/>
          <w:szCs w:val="22"/>
        </w:rPr>
        <w:t xml:space="preserve">The Framework's Figure 2 maps these actors onto an AI lifecycle with six stages: Plan and Design → Collect and Process (Data) → Build and Use Model → Verify and Validate → Deploy and Use → Operate and Monitor. These stages are organized under four dimensions (Application Context, Data and Input, AI Model, Task and Output). “People &amp; Planet” sits as a central, overarching dimension, and Governance is depicted as cross-cutting the entire lifecycle, not just its start. When you scope an assessment, walking one real AI system through these six stages is a fast way to find who to talk to and what evidence exists at each point.</w:t>
      </w:r>
    </w:p>
    <w:p>
      <w:pPr>
        <w:pStyle w:val="Heading2"/>
        <w:spacing w:after="150" w:before="300"/>
      </w:pPr>
      <w:r>
        <w:t xml:space="preserve">2.4 The Seven Characteristics of Trustworthy AI</w:t>
      </w:r>
    </w:p>
    <w:p>
      <w:pPr>
        <w:spacing w:after="160" w:line="276"/>
      </w:pPr>
      <w:r>
        <w:rPr>
          <w:rFonts w:ascii="Calibri" w:cs="Calibri" w:eastAsia="Calibri" w:hAnsi="Calibri"/>
          <w:sz w:val="22"/>
          <w:szCs w:val="22"/>
        </w:rPr>
        <w:t xml:space="preserve">MEASURE 2 — the largest category in the Framework, with 13 subcategories — exists to evaluate AI systems against seven characteristics of trustworthiness. NIST is explicit that trustworthiness requires contextual tradeoffs across all seven, not independently maximizing each one: “trustworthiness is only as strong as its weakest characteristic.” A system that is highly explainable but not secure, for example, is not trustworthy merely because one dimension scores well.</w:t>
      </w:r>
    </w:p>
    <w:p>
      <w:pPr>
        <w:spacing w:after="160" w:line="276"/>
      </w:pPr>
      <w:r>
        <w:rPr>
          <w:rFonts w:ascii="Calibri" w:cs="Calibri" w:eastAsia="Calibri" w:hAnsi="Calibri"/>
          <w:b/>
          <w:bCs/>
          <w:i w:val="false"/>
          <w:iCs w:val="false"/>
          <w:sz w:val="22"/>
          <w:szCs w:val="22"/>
        </w:rPr>
        <w:t xml:space="preserve">Valid and Reliable: </w:t>
      </w:r>
      <w:r>
        <w:rPr>
          <w:rFonts w:ascii="Calibri" w:cs="Calibri" w:eastAsia="Calibri" w:hAnsi="Calibri"/>
          <w:b w:val="false"/>
          <w:bCs w:val="false"/>
          <w:i w:val="false"/>
          <w:iCs w:val="false"/>
          <w:sz w:val="22"/>
          <w:szCs w:val="22"/>
        </w:rPr>
        <w:t xml:space="preserve">The system performs as intended, and its performance is consistent and repeatable across expected conditions. A foundational characteristic — the others are difficult to assess if this one is not met.</w:t>
      </w:r>
    </w:p>
    <w:p>
      <w:pPr>
        <w:spacing w:after="160" w:line="276"/>
      </w:pPr>
      <w:r>
        <w:rPr>
          <w:rFonts w:ascii="Calibri" w:cs="Calibri" w:eastAsia="Calibri" w:hAnsi="Calibri"/>
          <w:b/>
          <w:bCs/>
          <w:i w:val="false"/>
          <w:iCs w:val="false"/>
          <w:sz w:val="22"/>
          <w:szCs w:val="22"/>
        </w:rPr>
        <w:t xml:space="preserve">Safe: </w:t>
      </w:r>
      <w:r>
        <w:rPr>
          <w:rFonts w:ascii="Calibri" w:cs="Calibri" w:eastAsia="Calibri" w:hAnsi="Calibri"/>
          <w:b w:val="false"/>
          <w:bCs w:val="false"/>
          <w:i w:val="false"/>
          <w:iCs w:val="false"/>
          <w:sz w:val="22"/>
          <w:szCs w:val="22"/>
        </w:rPr>
        <w:t xml:space="preserve">The system does not lead to a state in which human life, health, property, or the environment is endangered.</w:t>
      </w:r>
    </w:p>
    <w:p>
      <w:pPr>
        <w:spacing w:after="160" w:line="276"/>
      </w:pPr>
      <w:r>
        <w:rPr>
          <w:rFonts w:ascii="Calibri" w:cs="Calibri" w:eastAsia="Calibri" w:hAnsi="Calibri"/>
          <w:b/>
          <w:bCs/>
          <w:i w:val="false"/>
          <w:iCs w:val="false"/>
          <w:sz w:val="22"/>
          <w:szCs w:val="22"/>
        </w:rPr>
        <w:t xml:space="preserve">Secure and Resilient: </w:t>
      </w:r>
      <w:r>
        <w:rPr>
          <w:rFonts w:ascii="Calibri" w:cs="Calibri" w:eastAsia="Calibri" w:hAnsi="Calibri"/>
          <w:b w:val="false"/>
          <w:bCs w:val="false"/>
          <w:i w:val="false"/>
          <w:iCs w:val="false"/>
          <w:sz w:val="22"/>
          <w:szCs w:val="22"/>
        </w:rPr>
        <w:t xml:space="preserve">The system withstands adverse events (attacks, failures) and can recover and continue functioning.</w:t>
      </w:r>
    </w:p>
    <w:p>
      <w:pPr>
        <w:spacing w:after="160" w:line="276"/>
      </w:pPr>
      <w:r>
        <w:rPr>
          <w:rFonts w:ascii="Calibri" w:cs="Calibri" w:eastAsia="Calibri" w:hAnsi="Calibri"/>
          <w:b/>
          <w:bCs/>
          <w:i w:val="false"/>
          <w:iCs w:val="false"/>
          <w:sz w:val="22"/>
          <w:szCs w:val="22"/>
        </w:rPr>
        <w:t xml:space="preserve">Accountable and Transparent: </w:t>
      </w:r>
      <w:r>
        <w:rPr>
          <w:rFonts w:ascii="Calibri" w:cs="Calibri" w:eastAsia="Calibri" w:hAnsi="Calibri"/>
          <w:b w:val="false"/>
          <w:bCs w:val="false"/>
          <w:i w:val="false"/>
          <w:iCs w:val="false"/>
          <w:sz w:val="22"/>
          <w:szCs w:val="22"/>
        </w:rPr>
        <w:t xml:space="preserve">Information about the system is available to those interacting with it, and responsibility for its outcomes is clearly assigned.</w:t>
      </w:r>
    </w:p>
    <w:p>
      <w:pPr>
        <w:spacing w:after="160" w:line="276"/>
      </w:pPr>
      <w:r>
        <w:rPr>
          <w:rFonts w:ascii="Calibri" w:cs="Calibri" w:eastAsia="Calibri" w:hAnsi="Calibri"/>
          <w:b/>
          <w:bCs/>
          <w:i w:val="false"/>
          <w:iCs w:val="false"/>
          <w:sz w:val="22"/>
          <w:szCs w:val="22"/>
        </w:rPr>
        <w:t xml:space="preserve">Explainable and Interpretable: </w:t>
      </w:r>
      <w:r>
        <w:rPr>
          <w:rFonts w:ascii="Calibri" w:cs="Calibri" w:eastAsia="Calibri" w:hAnsi="Calibri"/>
          <w:b w:val="false"/>
          <w:bCs w:val="false"/>
          <w:i w:val="false"/>
          <w:iCs w:val="false"/>
          <w:sz w:val="22"/>
          <w:szCs w:val="22"/>
        </w:rPr>
        <w:t xml:space="preserve">The mechanisms of the system's operation (explainability) and the meaning of its outputs in context (interpretability) can be understood by relevant audiences.</w:t>
      </w:r>
    </w:p>
    <w:p>
      <w:pPr>
        <w:spacing w:after="160" w:line="276"/>
      </w:pPr>
      <w:r>
        <w:rPr>
          <w:rFonts w:ascii="Calibri" w:cs="Calibri" w:eastAsia="Calibri" w:hAnsi="Calibri"/>
          <w:b/>
          <w:bCs/>
          <w:i w:val="false"/>
          <w:iCs w:val="false"/>
          <w:sz w:val="22"/>
          <w:szCs w:val="22"/>
        </w:rPr>
        <w:t xml:space="preserve">Privacy-Enhanced: </w:t>
      </w:r>
      <w:r>
        <w:rPr>
          <w:rFonts w:ascii="Calibri" w:cs="Calibri" w:eastAsia="Calibri" w:hAnsi="Calibri"/>
          <w:b w:val="false"/>
          <w:bCs w:val="false"/>
          <w:i w:val="false"/>
          <w:iCs w:val="false"/>
          <w:sz w:val="22"/>
          <w:szCs w:val="22"/>
        </w:rPr>
        <w:t xml:space="preserve">The system safeguards human autonomy, identity, and dignity, including anonymity, confidentiality, and control over one's own data.</w:t>
      </w:r>
    </w:p>
    <w:p>
      <w:pPr>
        <w:spacing w:after="160" w:line="276"/>
      </w:pPr>
      <w:r>
        <w:rPr>
          <w:rFonts w:ascii="Calibri" w:cs="Calibri" w:eastAsia="Calibri" w:hAnsi="Calibri"/>
          <w:b/>
          <w:bCs/>
          <w:i w:val="false"/>
          <w:iCs w:val="false"/>
          <w:sz w:val="22"/>
          <w:szCs w:val="22"/>
        </w:rPr>
        <w:t xml:space="preserve">Fair with Harmful Bias Managed: </w:t>
      </w:r>
      <w:r>
        <w:rPr>
          <w:rFonts w:ascii="Calibri" w:cs="Calibri" w:eastAsia="Calibri" w:hAnsi="Calibri"/>
          <w:b w:val="false"/>
          <w:bCs w:val="false"/>
          <w:i w:val="false"/>
          <w:iCs w:val="false"/>
          <w:sz w:val="22"/>
          <w:szCs w:val="22"/>
        </w:rPr>
        <w:t xml:space="preserve">Concerns for equality and equity are addressed by identifying and managing harmful bias — systemic, statistical, and human/cognitive.</w:t>
      </w:r>
    </w:p>
    <w:p>
      <w:pPr>
        <w:pStyle w:val="Heading2"/>
        <w:spacing w:after="150" w:before="300"/>
      </w:pPr>
      <w:r>
        <w:t xml:space="preserve">2.5 The AI RMF Playbook</w:t>
      </w:r>
    </w:p>
    <w:p>
      <w:pPr>
        <w:spacing w:after="160" w:line="276"/>
      </w:pPr>
      <w:r>
        <w:rPr>
          <w:rFonts w:ascii="Calibri" w:cs="Calibri" w:eastAsia="Calibri" w:hAnsi="Calibri"/>
          <w:sz w:val="22"/>
          <w:szCs w:val="22"/>
        </w:rPr>
        <w:t xml:space="preserve">The Playbook is a companion, non-normative NIST resource that offers suggested (voluntary) actions and references tied to each of the 72 subcategories — things like example artifacts, sample questions, or techniques an organization might use. NIST is explicit that the Playbook is “neither a checklist nor a set of steps to be followed in its entirety.” It is a menu, not a mandate, and organizations are expected to pick what is relevant to their context.</w:t>
      </w:r>
    </w:p>
    <w:p>
      <w:pPr>
        <w:spacing w:after="160" w:line="276"/>
      </w:pPr>
      <w:r>
        <w:rPr>
          <w:rFonts w:ascii="Calibri" w:cs="Calibri" w:eastAsia="Calibri" w:hAnsi="Calibri"/>
          <w:sz w:val="22"/>
          <w:szCs w:val="22"/>
        </w:rPr>
        <w:t xml:space="preserve">NIST maintains the Playbook as a “living document,” updating it roughly twice a year as practice matures. It is available in PDF, CSV, Excel, and JSON formats from the NIST AI Resource Center (airc.nist.gov/airmf-resources/playbook). If you want ready-made ideas for how to close a specific gap identified in Template 4 of the companion workbook, the Playbook's entry for that subcategory is the first place to look.</w:t>
      </w:r>
    </w:p>
    <w:p>
      <w:pPr>
        <w:pStyle w:val="Heading2"/>
        <w:spacing w:after="150" w:before="300"/>
      </w:pPr>
      <w:r>
        <w:t xml:space="preserve">2.6 The Generative AI Profile (NIST AI 600-1)</w:t>
      </w:r>
    </w:p>
    <w:p>
      <w:pPr>
        <w:spacing w:after="160" w:line="276"/>
      </w:pPr>
      <w:r>
        <w:rPr>
          <w:rFonts w:ascii="Calibri" w:cs="Calibri" w:eastAsia="Calibri" w:hAnsi="Calibri"/>
          <w:sz w:val="22"/>
          <w:szCs w:val="22"/>
        </w:rPr>
        <w:t xml:space="preserve">Published July 26, 2024, and developed pursuant to Executive Order 14110, the Generative AI Profile applies the same four Functions, 19 Categories, and 72 Subcategories to generative AI specifically. It is a profile — a lens on the existing structure — not a new framework or a fifth Function. Its most immediately useful contribution for an assessor is a catalog of 12 risks that are novel to, or exacerbated by, generative AI:</w:t>
      </w:r>
    </w:p>
    <w:p>
      <w:pPr>
        <w:spacing w:after="160" w:line="276"/>
      </w:pPr>
      <w:r>
        <w:rPr>
          <w:rFonts w:ascii="Calibri" w:cs="Calibri" w:eastAsia="Calibri" w:hAnsi="Calibri"/>
          <w:b/>
          <w:bCs/>
          <w:i w:val="false"/>
          <w:iCs w:val="false"/>
          <w:sz w:val="22"/>
          <w:szCs w:val="22"/>
        </w:rPr>
        <w:t xml:space="preserve">CBRN Information or Capabilities: </w:t>
      </w:r>
      <w:r>
        <w:rPr>
          <w:rFonts w:ascii="Calibri" w:cs="Calibri" w:eastAsia="Calibri" w:hAnsi="Calibri"/>
          <w:b w:val="false"/>
          <w:bCs w:val="false"/>
          <w:i w:val="false"/>
          <w:iCs w:val="false"/>
          <w:sz w:val="22"/>
          <w:szCs w:val="22"/>
        </w:rPr>
        <w:t xml:space="preserve">Eased access to or synthesis of materially nefarious information or design capabilities related to chemical, biological, radiological, or nuclear weapons.</w:t>
      </w:r>
    </w:p>
    <w:p>
      <w:pPr>
        <w:spacing w:after="160" w:line="276"/>
      </w:pPr>
      <w:r>
        <w:rPr>
          <w:rFonts w:ascii="Calibri" w:cs="Calibri" w:eastAsia="Calibri" w:hAnsi="Calibri"/>
          <w:b/>
          <w:bCs/>
          <w:i w:val="false"/>
          <w:iCs w:val="false"/>
          <w:sz w:val="22"/>
          <w:szCs w:val="22"/>
        </w:rPr>
        <w:t xml:space="preserve">Confabulation (“Hallucination”): </w:t>
      </w:r>
      <w:r>
        <w:rPr>
          <w:rFonts w:ascii="Calibri" w:cs="Calibri" w:eastAsia="Calibri" w:hAnsi="Calibri"/>
          <w:b w:val="false"/>
          <w:bCs w:val="false"/>
          <w:i w:val="false"/>
          <w:iCs w:val="false"/>
          <w:sz w:val="22"/>
          <w:szCs w:val="22"/>
        </w:rPr>
        <w:t xml:space="preserve">Production of confidently stated but erroneous or false content not grounded in training data or context.</w:t>
      </w:r>
    </w:p>
    <w:p>
      <w:pPr>
        <w:spacing w:after="160" w:line="276"/>
      </w:pPr>
      <w:r>
        <w:rPr>
          <w:rFonts w:ascii="Calibri" w:cs="Calibri" w:eastAsia="Calibri" w:hAnsi="Calibri"/>
          <w:b/>
          <w:bCs/>
          <w:i w:val="false"/>
          <w:iCs w:val="false"/>
          <w:sz w:val="22"/>
          <w:szCs w:val="22"/>
        </w:rPr>
        <w:t xml:space="preserve">Dangerous, Violent, or Hateful Content: </w:t>
      </w:r>
      <w:r>
        <w:rPr>
          <w:rFonts w:ascii="Calibri" w:cs="Calibri" w:eastAsia="Calibri" w:hAnsi="Calibri"/>
          <w:b w:val="false"/>
          <w:bCs w:val="false"/>
          <w:i w:val="false"/>
          <w:iCs w:val="false"/>
          <w:sz w:val="22"/>
          <w:szCs w:val="22"/>
        </w:rPr>
        <w:t xml:space="preserve">Eased production of content that incites, radicalizes, or instructs violence, or that demeans individuals or groups.</w:t>
      </w:r>
    </w:p>
    <w:p>
      <w:pPr>
        <w:spacing w:after="160" w:line="276"/>
      </w:pPr>
      <w:r>
        <w:rPr>
          <w:rFonts w:ascii="Calibri" w:cs="Calibri" w:eastAsia="Calibri" w:hAnsi="Calibri"/>
          <w:b/>
          <w:bCs/>
          <w:i w:val="false"/>
          <w:iCs w:val="false"/>
          <w:sz w:val="22"/>
          <w:szCs w:val="22"/>
        </w:rPr>
        <w:t xml:space="preserve">Data Privacy: </w:t>
      </w:r>
      <w:r>
        <w:rPr>
          <w:rFonts w:ascii="Calibri" w:cs="Calibri" w:eastAsia="Calibri" w:hAnsi="Calibri"/>
          <w:b w:val="false"/>
          <w:bCs w:val="false"/>
          <w:i w:val="false"/>
          <w:iCs w:val="false"/>
          <w:sz w:val="22"/>
          <w:szCs w:val="22"/>
        </w:rPr>
        <w:t xml:space="preserve">Leakage or unauthorized inference/disclosure of private or sensitive information, including training or prompt data.</w:t>
      </w:r>
    </w:p>
    <w:p>
      <w:pPr>
        <w:spacing w:after="160" w:line="276"/>
      </w:pPr>
      <w:r>
        <w:rPr>
          <w:rFonts w:ascii="Calibri" w:cs="Calibri" w:eastAsia="Calibri" w:hAnsi="Calibri"/>
          <w:b/>
          <w:bCs/>
          <w:i w:val="false"/>
          <w:iCs w:val="false"/>
          <w:sz w:val="22"/>
          <w:szCs w:val="22"/>
        </w:rPr>
        <w:t xml:space="preserve">Environmental Impacts: </w:t>
      </w:r>
      <w:r>
        <w:rPr>
          <w:rFonts w:ascii="Calibri" w:cs="Calibri" w:eastAsia="Calibri" w:hAnsi="Calibri"/>
          <w:b w:val="false"/>
          <w:bCs w:val="false"/>
          <w:i w:val="false"/>
          <w:iCs w:val="false"/>
          <w:sz w:val="22"/>
          <w:szCs w:val="22"/>
        </w:rPr>
        <w:t xml:space="preserve">High compute, energy, and water usage in training or operating generative AI, with downstream sustainability effects.</w:t>
      </w:r>
    </w:p>
    <w:p>
      <w:pPr>
        <w:spacing w:after="160" w:line="276"/>
      </w:pPr>
      <w:r>
        <w:rPr>
          <w:rFonts w:ascii="Calibri" w:cs="Calibri" w:eastAsia="Calibri" w:hAnsi="Calibri"/>
          <w:b/>
          <w:bCs/>
          <w:i w:val="false"/>
          <w:iCs w:val="false"/>
          <w:sz w:val="22"/>
          <w:szCs w:val="22"/>
        </w:rPr>
        <w:t xml:space="preserve">Harmful Bias or Homogenization: </w:t>
      </w:r>
      <w:r>
        <w:rPr>
          <w:rFonts w:ascii="Calibri" w:cs="Calibri" w:eastAsia="Calibri" w:hAnsi="Calibri"/>
          <w:b w:val="false"/>
          <w:bCs w:val="false"/>
          <w:i w:val="false"/>
          <w:iCs w:val="false"/>
          <w:sz w:val="22"/>
          <w:szCs w:val="22"/>
        </w:rPr>
        <w:t xml:space="preserve">Amplification of harmful stereotypes, disparate performance across groups, or homogenization of outputs and viewpoints.</w:t>
      </w:r>
    </w:p>
    <w:p>
      <w:pPr>
        <w:spacing w:after="160" w:line="276"/>
      </w:pPr>
      <w:r>
        <w:rPr>
          <w:rFonts w:ascii="Calibri" w:cs="Calibri" w:eastAsia="Calibri" w:hAnsi="Calibri"/>
          <w:b/>
          <w:bCs/>
          <w:i w:val="false"/>
          <w:iCs w:val="false"/>
          <w:sz w:val="22"/>
          <w:szCs w:val="22"/>
        </w:rPr>
        <w:t xml:space="preserve">Human-AI Configuration: </w:t>
      </w:r>
      <w:r>
        <w:rPr>
          <w:rFonts w:ascii="Calibri" w:cs="Calibri" w:eastAsia="Calibri" w:hAnsi="Calibri"/>
          <w:b w:val="false"/>
          <w:bCs w:val="false"/>
          <w:i w:val="false"/>
          <w:iCs w:val="false"/>
          <w:sz w:val="22"/>
          <w:szCs w:val="22"/>
        </w:rPr>
        <w:t xml:space="preserve">Risks from how humans interact with and rely on generative AI, including automation bias and unclear human-AI role division.</w:t>
      </w:r>
    </w:p>
    <w:p>
      <w:pPr>
        <w:spacing w:after="160" w:line="276"/>
      </w:pPr>
      <w:r>
        <w:rPr>
          <w:rFonts w:ascii="Calibri" w:cs="Calibri" w:eastAsia="Calibri" w:hAnsi="Calibri"/>
          <w:b/>
          <w:bCs/>
          <w:i w:val="false"/>
          <w:iCs w:val="false"/>
          <w:sz w:val="22"/>
          <w:szCs w:val="22"/>
        </w:rPr>
        <w:t xml:space="preserve">Information Integrity: </w:t>
      </w:r>
      <w:r>
        <w:rPr>
          <w:rFonts w:ascii="Calibri" w:cs="Calibri" w:eastAsia="Calibri" w:hAnsi="Calibri"/>
          <w:b w:val="false"/>
          <w:bCs w:val="false"/>
          <w:i w:val="false"/>
          <w:iCs w:val="false"/>
          <w:sz w:val="22"/>
          <w:szCs w:val="22"/>
        </w:rPr>
        <w:t xml:space="preserve">Eased production and distribution of false or misleading content at scale, including synthetic media used for disinformation.</w:t>
      </w:r>
    </w:p>
    <w:p>
      <w:pPr>
        <w:spacing w:after="160" w:line="276"/>
      </w:pPr>
      <w:r>
        <w:rPr>
          <w:rFonts w:ascii="Calibri" w:cs="Calibri" w:eastAsia="Calibri" w:hAnsi="Calibri"/>
          <w:b/>
          <w:bCs/>
          <w:i w:val="false"/>
          <w:iCs w:val="false"/>
          <w:sz w:val="22"/>
          <w:szCs w:val="22"/>
        </w:rPr>
        <w:t xml:space="preserve">Information Security: </w:t>
      </w:r>
      <w:r>
        <w:rPr>
          <w:rFonts w:ascii="Calibri" w:cs="Calibri" w:eastAsia="Calibri" w:hAnsi="Calibri"/>
          <w:b w:val="false"/>
          <w:bCs w:val="false"/>
          <w:i w:val="false"/>
          <w:iCs w:val="false"/>
          <w:sz w:val="22"/>
          <w:szCs w:val="22"/>
        </w:rPr>
        <w:t xml:space="preserve">Lowered barriers for cyberattacks, including malicious code generation or new vulnerabilities like prompt injection.</w:t>
      </w:r>
    </w:p>
    <w:p>
      <w:pPr>
        <w:spacing w:after="160" w:line="276"/>
      </w:pPr>
      <w:r>
        <w:rPr>
          <w:rFonts w:ascii="Calibri" w:cs="Calibri" w:eastAsia="Calibri" w:hAnsi="Calibri"/>
          <w:b/>
          <w:bCs/>
          <w:i w:val="false"/>
          <w:iCs w:val="false"/>
          <w:sz w:val="22"/>
          <w:szCs w:val="22"/>
        </w:rPr>
        <w:t xml:space="preserve">Intellectual Property: </w:t>
      </w:r>
      <w:r>
        <w:rPr>
          <w:rFonts w:ascii="Calibri" w:cs="Calibri" w:eastAsia="Calibri" w:hAnsi="Calibri"/>
          <w:b w:val="false"/>
          <w:bCs w:val="false"/>
          <w:i w:val="false"/>
          <w:iCs w:val="false"/>
          <w:sz w:val="22"/>
          <w:szCs w:val="22"/>
        </w:rPr>
        <w:t xml:space="preserve">Generation of content that infringes copyright/trademark or reveals trade secrets embedded in training data.</w:t>
      </w:r>
    </w:p>
    <w:p>
      <w:pPr>
        <w:spacing w:after="160" w:line="276"/>
      </w:pPr>
      <w:r>
        <w:rPr>
          <w:rFonts w:ascii="Calibri" w:cs="Calibri" w:eastAsia="Calibri" w:hAnsi="Calibri"/>
          <w:b/>
          <w:bCs/>
          <w:i w:val="false"/>
          <w:iCs w:val="false"/>
          <w:sz w:val="22"/>
          <w:szCs w:val="22"/>
        </w:rPr>
        <w:t xml:space="preserve">Obscene, Degrading, or Abusive Content: </w:t>
      </w:r>
      <w:r>
        <w:rPr>
          <w:rFonts w:ascii="Calibri" w:cs="Calibri" w:eastAsia="Calibri" w:hAnsi="Calibri"/>
          <w:b w:val="false"/>
          <w:bCs w:val="false"/>
          <w:i w:val="false"/>
          <w:iCs w:val="false"/>
          <w:sz w:val="22"/>
          <w:szCs w:val="22"/>
        </w:rPr>
        <w:t xml:space="preserve">Eased production of non-consensual intimate imagery, child sexual abuse material, or other obscene/abusive content.</w:t>
      </w:r>
    </w:p>
    <w:p>
      <w:pPr>
        <w:spacing w:after="160" w:line="276"/>
      </w:pPr>
      <w:r>
        <w:rPr>
          <w:rFonts w:ascii="Calibri" w:cs="Calibri" w:eastAsia="Calibri" w:hAnsi="Calibri"/>
          <w:b/>
          <w:bCs/>
          <w:i w:val="false"/>
          <w:iCs w:val="false"/>
          <w:sz w:val="22"/>
          <w:szCs w:val="22"/>
        </w:rPr>
        <w:t xml:space="preserve">Value Chain and Component Integration: </w:t>
      </w:r>
      <w:r>
        <w:rPr>
          <w:rFonts w:ascii="Calibri" w:cs="Calibri" w:eastAsia="Calibri" w:hAnsi="Calibri"/>
          <w:b w:val="false"/>
          <w:bCs w:val="false"/>
          <w:i w:val="false"/>
          <w:iCs w:val="false"/>
          <w:sz w:val="22"/>
          <w:szCs w:val="22"/>
        </w:rPr>
        <w:t xml:space="preserve">Risks from non-transparent or vulnerable upstream components (third-party models, plugins, datasets) integrated into the system.</w:t>
      </w:r>
    </w:p>
    <w:p>
      <w:pPr>
        <w:spacing w:after="160" w:line="276"/>
      </w:pPr>
      <w:r>
        <w:rPr>
          <w:rFonts w:ascii="Calibri" w:cs="Calibri" w:eastAsia="Calibri" w:hAnsi="Calibri"/>
          <w:sz w:val="22"/>
          <w:szCs w:val="22"/>
        </w:rPr>
        <w:t xml:space="preserve">Because generative AI adoption is growing quickly inside most organizations, this handbook treats the Generative AI Profile as a standing supplement rather than an optional add-on. Template 11 of the companion workbook is a checklist of these 12 risks mapped to the relevant AI RMF subcategories, and Walkthrough J in Part Four covers how to use it.</w:t>
      </w:r>
    </w:p>
    <w:p>
      <w:pPr>
        <w:pStyle w:val="Heading2"/>
        <w:spacing w:after="150" w:before="300"/>
      </w:pPr>
      <w:r>
        <w:t xml:space="preserve">2.7 No Certification Exists — and What That Means for You</w:t>
      </w:r>
    </w:p>
    <w:p>
      <w:pPr>
        <w:spacing w:after="160" w:line="276"/>
      </w:pPr>
      <w:r>
        <w:rPr>
          <w:rFonts w:ascii="Calibri" w:cs="Calibri" w:eastAsia="Calibri" w:hAnsi="Calibri"/>
          <w:sz w:val="22"/>
          <w:szCs w:val="22"/>
        </w:rPr>
        <w:t xml:space="preserve">It bears repeating in its own section, because the instinct to look for a “certification body” or a “pass score” is strong for anyone coming from ISO-style frameworks: no accredited third-party certification body for AI RMF exists. There is no NIST-issued certificate, no official numeric maturity score, and no formal nonconformity classification scheme. Any organization or vendor claiming “NIST AI RMF certified” status is using informal or marketing language — not describing a real accreditation.</w:t>
      </w:r>
    </w:p>
    <w:p>
      <w:pPr>
        <w:spacing w:after="160" w:line="276"/>
      </w:pPr>
      <w:r>
        <w:rPr>
          <w:rFonts w:ascii="Calibri" w:cs="Calibri" w:eastAsia="Calibri" w:hAnsi="Calibri"/>
          <w:sz w:val="22"/>
          <w:szCs w:val="22"/>
        </w:rPr>
        <w:t xml:space="preserve">What does exist, and what this handbook and toolkit are built around, is self-attestation: an organization documents its own current state against the Framework, defines where it wants to be, and tracks the gap. Some organizations choose to bring in an outside advisor or auditor to add credibility to that self-attestation — useful, but still fundamentally different from a certification audit, because no accrediting body stands behind the outcome.</w:t>
      </w:r>
    </w:p>
    <w:p>
      <w:pPr>
        <w:pStyle w:val="Heading2"/>
        <w:spacing w:after="150" w:before="300"/>
      </w:pPr>
      <w:r>
        <w:t xml:space="preserve">2.8 A Brief Note on ISO/IEC 42001</w:t>
      </w:r>
    </w:p>
    <w:p>
      <w:pPr>
        <w:spacing w:after="160" w:line="276"/>
      </w:pPr>
      <w:r>
        <w:rPr>
          <w:rFonts w:ascii="Calibri" w:cs="Calibri" w:eastAsia="Calibri" w:hAnsi="Calibri"/>
          <w:sz w:val="22"/>
          <w:szCs w:val="22"/>
        </w:rPr>
        <w:t xml:space="preserve">If your organization is also looking at ISO/IEC 42001 (the certifiable AI management system standard), you may be wondering how the two relate. NIST has published official crosswalk documents mapping AI RMF 1.0 to ISO/IEC 42001, ISO/IEC 23894, and ISO/IEC 42005 (available at nist.gov/itl/ai-risk-management-framework/crosswalks-nist-artificial-intelligence-risk-management-framework). Publishing these crosswalks is itself evidence that NIST treats the frameworks as complementary and interoperable rather than competing. Many organizations use AI RMF as the risk-management thinking underneath a 42001-certified management system, or use this toolkit's current-state assessment as a head start on a 42001 gap analysis. This handbook is self-contained and assumes no prior exposure to ISO/IEC 42001. But if you have already built out a companion ISO/IEC 42001 toolkit, its Annex A control language and this Framework's subcategory language will look familiar in places by design.</w:t>
      </w:r>
    </w:p>
    <w:p>
      <w:r>
        <w:br w:type="page"/>
      </w:r>
    </w:p>
    <w:p>
      <w:pPr>
        <w:pStyle w:val="Heading1"/>
        <w:spacing w:after="200" w:before="400"/>
      </w:pPr>
      <w:r>
        <w:t xml:space="preserve">Part Three – The Assessment Journey End to End</w:t>
      </w:r>
    </w:p>
    <w:p>
      <w:pPr>
        <w:pStyle w:val="Heading2"/>
        <w:spacing w:after="150" w:before="300"/>
      </w:pPr>
      <w:r>
        <w:t xml:space="preserve">3.1 The Full Journey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74"/>
        <w:gridCol w:w="2372"/>
        <w:gridCol w:w="5534"/>
      </w:tblGrid>
      <w:tr>
        <w:trPr>
          <w:cantSplit/>
          <w:tblHeader/>
        </w:trPr>
        <w:tc>
          <w:tcPr>
            <w:tcW w:type="dxa" w:w="2174"/>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Stage</w:t>
            </w:r>
          </w:p>
        </w:tc>
        <w:tc>
          <w:tcPr>
            <w:tcW w:type="dxa" w:w="2372"/>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Typical duration</w:t>
            </w:r>
          </w:p>
        </w:tc>
        <w:tc>
          <w:tcPr>
            <w:tcW w:type="dxa" w:w="5534"/>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Purpose</w:t>
            </w:r>
          </w:p>
        </w:tc>
      </w:tr>
      <w:tr>
        <w:trPr>
          <w:cantSplit/>
        </w:trPr>
        <w:tc>
          <w:tcPr>
            <w:tcW w:type="dxa" w:w="2174"/>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Scoping</w:t>
            </w:r>
          </w:p>
        </w:tc>
        <w:tc>
          <w:tcPr>
            <w:tcW w:type="dxa" w:w="2372"/>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1–2 weeks</w:t>
            </w:r>
          </w:p>
        </w:tc>
        <w:tc>
          <w:tcPr>
            <w:tcW w:type="dxa" w:w="5534"/>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Decide which AI systems, business units, and organizational boundaries are in scope; assemble the team.</w:t>
            </w:r>
          </w:p>
        </w:tc>
      </w:tr>
      <w:tr>
        <w:trPr>
          <w:cantSplit/>
        </w:trPr>
        <w:tc>
          <w:tcPr>
            <w:tcW w:type="dxa" w:w="2174"/>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Team formation</w:t>
            </w:r>
          </w:p>
        </w:tc>
        <w:tc>
          <w:tcPr>
            <w:tcW w:type="dxa" w:w="2372"/>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Concurrent with scoping</w:t>
            </w:r>
          </w:p>
        </w:tc>
        <w:tc>
          <w:tcPr>
            <w:tcW w:type="dxa" w:w="5534"/>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Assign an assessment lead, analysts, and subject-matter experts; identify stakeholders to interview.</w:t>
            </w:r>
          </w:p>
        </w:tc>
      </w:tr>
      <w:tr>
        <w:trPr>
          <w:cantSplit/>
        </w:trPr>
        <w:tc>
          <w:tcPr>
            <w:tcW w:type="dxa" w:w="2174"/>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Evidence collection</w:t>
            </w:r>
          </w:p>
        </w:tc>
        <w:tc>
          <w:tcPr>
            <w:tcW w:type="dxa" w:w="2372"/>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2–6 weeks depending on scope</w:t>
            </w:r>
          </w:p>
        </w:tc>
        <w:tc>
          <w:tcPr>
            <w:tcW w:type="dxa" w:w="5534"/>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Interview stakeholders, review documentation, walk through real AI systems, mapped to the 72 subcategories.</w:t>
            </w:r>
          </w:p>
        </w:tc>
      </w:tr>
      <w:tr>
        <w:trPr>
          <w:cantSplit/>
        </w:trPr>
        <w:tc>
          <w:tcPr>
            <w:tcW w:type="dxa" w:w="2174"/>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Current-state assessment</w:t>
            </w:r>
          </w:p>
        </w:tc>
        <w:tc>
          <w:tcPr>
            <w:tcW w:type="dxa" w:w="2372"/>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Concurrent with evidence collection</w:t>
            </w:r>
          </w:p>
        </w:tc>
        <w:tc>
          <w:tcPr>
            <w:tcW w:type="dxa" w:w="5534"/>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Score each subcategory using the toolkit's maturity scale, with evidence and notes attached.</w:t>
            </w:r>
          </w:p>
        </w:tc>
      </w:tr>
      <w:tr>
        <w:trPr>
          <w:cantSplit/>
        </w:trPr>
        <w:tc>
          <w:tcPr>
            <w:tcW w:type="dxa" w:w="2174"/>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Target-state definition</w:t>
            </w:r>
          </w:p>
        </w:tc>
        <w:tc>
          <w:tcPr>
            <w:tcW w:type="dxa" w:w="2372"/>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week</w:t>
            </w:r>
          </w:p>
        </w:tc>
        <w:tc>
          <w:tcPr>
            <w:tcW w:type="dxa" w:w="5534"/>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Decide, per subcategory, how mature the organization needs to be given its risk tolerance and context.</w:t>
            </w:r>
          </w:p>
        </w:tc>
      </w:tr>
      <w:tr>
        <w:trPr>
          <w:cantSplit/>
        </w:trPr>
        <w:tc>
          <w:tcPr>
            <w:tcW w:type="dxa" w:w="2174"/>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Gap analysis</w:t>
            </w:r>
          </w:p>
        </w:tc>
        <w:tc>
          <w:tcPr>
            <w:tcW w:type="dxa" w:w="2372"/>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week</w:t>
            </w:r>
          </w:p>
        </w:tc>
        <w:tc>
          <w:tcPr>
            <w:tcW w:type="dxa" w:w="5534"/>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Quantify the distance between current and target state, and identify root causes.</w:t>
            </w:r>
          </w:p>
        </w:tc>
      </w:tr>
      <w:tr>
        <w:trPr>
          <w:cantSplit/>
        </w:trPr>
        <w:tc>
          <w:tcPr>
            <w:tcW w:type="dxa" w:w="2174"/>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Prioritized roadmap</w:t>
            </w:r>
          </w:p>
        </w:tc>
        <w:tc>
          <w:tcPr>
            <w:tcW w:type="dxa" w:w="2372"/>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1–2 weeks</w:t>
            </w:r>
          </w:p>
        </w:tc>
        <w:tc>
          <w:tcPr>
            <w:tcW w:type="dxa" w:w="5534"/>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Turn gaps into a resourced, owned, dated remediation plan.</w:t>
            </w:r>
          </w:p>
        </w:tc>
      </w:tr>
      <w:tr>
        <w:trPr>
          <w:cantSplit/>
        </w:trPr>
        <w:tc>
          <w:tcPr>
            <w:tcW w:type="dxa" w:w="2174"/>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Reporting</w:t>
            </w:r>
          </w:p>
        </w:tc>
        <w:tc>
          <w:tcPr>
            <w:tcW w:type="dxa" w:w="2372"/>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week</w:t>
            </w:r>
          </w:p>
        </w:tc>
        <w:tc>
          <w:tcPr>
            <w:tcW w:type="dxa" w:w="5534"/>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Summarize the assessment for leadership: posture, key gaps, and recommended next steps.</w:t>
            </w:r>
          </w:p>
        </w:tc>
      </w:tr>
    </w:tbl>
    <w:p>
      <w:pPr>
        <w:spacing w:after="160" w:line="276"/>
      </w:pPr>
      <w:r>
        <w:rPr>
          <w:rFonts w:ascii="Calibri" w:cs="Calibri" w:eastAsia="Calibri" w:hAnsi="Calibri"/>
          <w:sz w:val="22"/>
          <w:szCs w:val="22"/>
        </w:rPr>
        <w:t xml:space="preserve">Contrast this with a certification-audit model: there is no readiness review that gates a later “real” audit, no external body deciding whether you “pass,” and no fixed 3-year certificate cycle forcing an annual surveillance visit. The cadence is entirely the organization's own — driven by risk, by how quickly its AI systems are changing, and by how much confidence leadership wants in the picture.</w:t>
      </w:r>
    </w:p>
    <w:p>
      <w:pPr>
        <w:pStyle w:val="Heading2"/>
        <w:spacing w:after="150" w:before="300"/>
      </w:pPr>
      <w:r>
        <w:t xml:space="preserve">3.2 Who's Involved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63"/>
        <w:gridCol w:w="7417"/>
      </w:tblGrid>
      <w:tr>
        <w:trPr>
          <w:cantSplit/>
          <w:tblHeader/>
        </w:trPr>
        <w:tc>
          <w:tcPr>
            <w:tcW w:type="dxa" w:w="2663"/>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w:t>
            </w:r>
          </w:p>
        </w:tc>
        <w:tc>
          <w:tcPr>
            <w:tcW w:type="dxa" w:w="7417"/>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Responsibility</w:t>
            </w:r>
          </w:p>
        </w:tc>
      </w:tr>
      <w:tr>
        <w:trPr>
          <w:cantSplit/>
        </w:trPr>
        <w:tc>
          <w:tcPr>
            <w:tcW w:type="dxa" w:w="2663"/>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Assessment lead</w:t>
            </w:r>
          </w:p>
        </w:tc>
        <w:tc>
          <w:tcPr>
            <w:tcW w:type="dxa" w:w="7417"/>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Owns the assessment plan, leads the team, and is accountable for the final report and roadmap.</w:t>
            </w:r>
          </w:p>
        </w:tc>
      </w:tr>
      <w:tr>
        <w:trPr>
          <w:cantSplit/>
        </w:trPr>
        <w:tc>
          <w:tcPr>
            <w:tcW w:type="dxa" w:w="2663"/>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analyst(s)</w:t>
            </w:r>
          </w:p>
        </w:tc>
        <w:tc>
          <w:tcPr>
            <w:tcW w:type="dxa" w:w="7417"/>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Conduct interviews, review evidence, and score subcategories alongside the lead.</w:t>
            </w:r>
          </w:p>
        </w:tc>
      </w:tr>
      <w:tr>
        <w:trPr>
          <w:cantSplit/>
        </w:trPr>
        <w:tc>
          <w:tcPr>
            <w:tcW w:type="dxa" w:w="2663"/>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AI/ML subject-matter expert</w:t>
            </w:r>
          </w:p>
        </w:tc>
        <w:tc>
          <w:tcPr>
            <w:tcW w:type="dxa" w:w="7417"/>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Supports on technical topics (model validation, bias testing, security) that a generalist assessor may not have depth in.</w:t>
            </w:r>
          </w:p>
        </w:tc>
      </w:tr>
      <w:tr>
        <w:trPr>
          <w:cantSplit/>
        </w:trPr>
        <w:tc>
          <w:tcPr>
            <w:tcW w:type="dxa" w:w="2663"/>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Executive sponsor</w:t>
            </w:r>
          </w:p>
        </w:tc>
        <w:tc>
          <w:tcPr>
            <w:tcW w:type="dxa" w:w="7417"/>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Champions the assessment, resolves resourcing conflicts, and receives the final report and roadmap.</w:t>
            </w:r>
          </w:p>
        </w:tc>
      </w:tr>
      <w:tr>
        <w:trPr>
          <w:cantSplit/>
        </w:trPr>
        <w:tc>
          <w:tcPr>
            <w:tcW w:type="dxa" w:w="2663"/>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Stakeholders / process owners</w:t>
            </w:r>
          </w:p>
        </w:tc>
        <w:tc>
          <w:tcPr>
            <w:tcW w:type="dxa" w:w="7417"/>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Interviewed and provide evidence for their specific area (e.g., data governance, ML engineering, legal, procurement).</w:t>
            </w:r>
          </w:p>
        </w:tc>
      </w:tr>
      <w:tr>
        <w:trPr>
          <w:cantSplit/>
        </w:trPr>
        <w:tc>
          <w:tcPr>
            <w:tcW w:type="dxa" w:w="2663"/>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Outside advisor (optional)</w:t>
            </w:r>
          </w:p>
        </w:tc>
        <w:tc>
          <w:tcPr>
            <w:tcW w:type="dxa" w:w="7417"/>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Some organizations bring in outside expertise to add rigor or a second opinion — optional, and not a certification role.</w:t>
            </w:r>
          </w:p>
        </w:tc>
      </w:tr>
    </w:tbl>
    <w:p>
      <w:pPr>
        <w:pStyle w:val="Heading2"/>
        <w:spacing w:after="150" w:before="300"/>
      </w:pPr>
      <w:r>
        <w:t xml:space="preserve">3.3 Scoping the Assessment</w:t>
      </w:r>
    </w:p>
    <w:p>
      <w:pPr>
        <w:spacing w:after="160" w:line="276"/>
      </w:pPr>
      <w:r>
        <w:rPr>
          <w:rFonts w:ascii="Calibri" w:cs="Calibri" w:eastAsia="Calibri" w:hAnsi="Calibri"/>
          <w:sz w:val="22"/>
          <w:szCs w:val="22"/>
        </w:rPr>
        <w:t xml:space="preserve">Start narrower than feels comfortable. A first assessment that tries to cover every AI system an organization touches, all at once, tends to produce shallow evidence everywhere rather than useful evidence anywhere. Common scoping approaches:</w:t>
      </w:r>
    </w:p>
    <w:p>
      <w:pPr>
        <w:pStyle w:val="ListParagraph"/>
        <w:numPr>
          <w:ilvl w:val="0"/>
          <w:numId w:val="2"/>
        </w:numPr>
        <w:spacing w:after="100"/>
      </w:pPr>
      <w:r>
        <w:rPr>
          <w:rFonts w:ascii="Calibri" w:cs="Calibri" w:eastAsia="Calibri" w:hAnsi="Calibri"/>
          <w:sz w:val="22"/>
          <w:szCs w:val="22"/>
        </w:rPr>
        <w:t xml:space="preserve">By business criticality: assess the highest-impact AI systems first (those affecting hiring, credit, health, or safety decisions), then expand.</w:t>
      </w:r>
    </w:p>
    <w:p>
      <w:pPr>
        <w:pStyle w:val="ListParagraph"/>
        <w:numPr>
          <w:ilvl w:val="0"/>
          <w:numId w:val="2"/>
        </w:numPr>
        <w:spacing w:after="100"/>
      </w:pPr>
      <w:r>
        <w:rPr>
          <w:rFonts w:ascii="Calibri" w:cs="Calibri" w:eastAsia="Calibri" w:hAnsi="Calibri"/>
          <w:sz w:val="22"/>
          <w:szCs w:val="22"/>
        </w:rPr>
        <w:t xml:space="preserve">By organizational readiness: start where you already have engaged stakeholders and accessible documentation, to build momentum and a credible first report.</w:t>
      </w:r>
    </w:p>
    <w:p>
      <w:pPr>
        <w:pStyle w:val="ListParagraph"/>
        <w:numPr>
          <w:ilvl w:val="0"/>
          <w:numId w:val="2"/>
        </w:numPr>
        <w:spacing w:after="100"/>
      </w:pPr>
      <w:r>
        <w:rPr>
          <w:rFonts w:ascii="Calibri" w:cs="Calibri" w:eastAsia="Calibri" w:hAnsi="Calibri"/>
          <w:sz w:val="22"/>
          <w:szCs w:val="22"/>
        </w:rPr>
        <w:t xml:space="preserve">By function: run GOVERN first as a foundational layer (since it is cross-cutting), then MAP/MEASURE/MANAGE for the systems in scope.</w:t>
      </w:r>
    </w:p>
    <w:p>
      <w:pPr>
        <w:spacing w:after="160" w:line="276"/>
      </w:pPr>
      <w:r>
        <w:rPr>
          <w:rFonts w:ascii="Calibri" w:cs="Calibri" w:eastAsia="Calibri" w:hAnsi="Calibri"/>
          <w:sz w:val="22"/>
          <w:szCs w:val="22"/>
        </w:rPr>
        <w:t xml:space="preserve">Whatever you choose, write the scope down in Template 1 before you start interviewing anyone — a moving target during evidence collection is one of the most common reasons a first assessment stalls.</w:t>
      </w:r>
    </w:p>
    <w:p>
      <w:pPr>
        <w:pStyle w:val="Heading2"/>
        <w:spacing w:after="150" w:before="300"/>
      </w:pPr>
      <w:r>
        <w:t xml:space="preserve">3.4 From Current State to a Prioritized Roadmap</w:t>
      </w:r>
    </w:p>
    <w:p>
      <w:pPr>
        <w:spacing w:after="160" w:line="276"/>
      </w:pPr>
      <w:r>
        <w:rPr>
          <w:rFonts w:ascii="Calibri" w:cs="Calibri" w:eastAsia="Calibri" w:hAnsi="Calibri"/>
          <w:sz w:val="22"/>
          <w:szCs w:val="22"/>
        </w:rPr>
        <w:t xml:space="preserve">The heart of the methodology is a simple chain, and the companion workbook is built to carry a subcategory's identity through every step of it without retyping:</w:t>
      </w:r>
    </w:p>
    <w:p>
      <w:pPr>
        <w:pStyle w:val="ListParagraph"/>
        <w:numPr>
          <w:ilvl w:val="0"/>
          <w:numId w:val="3"/>
        </w:numPr>
        <w:spacing w:after="100"/>
      </w:pPr>
      <w:r>
        <w:rPr>
          <w:rFonts w:ascii="Calibri" w:cs="Calibri" w:eastAsia="Calibri" w:hAnsi="Calibri"/>
          <w:sz w:val="22"/>
          <w:szCs w:val="22"/>
        </w:rPr>
        <w:t xml:space="preserve">Score current state for all 72 subcategories (Template 2).</w:t>
      </w:r>
    </w:p>
    <w:p>
      <w:pPr>
        <w:pStyle w:val="ListParagraph"/>
        <w:numPr>
          <w:ilvl w:val="0"/>
          <w:numId w:val="3"/>
        </w:numPr>
        <w:spacing w:after="100"/>
      </w:pPr>
      <w:r>
        <w:rPr>
          <w:rFonts w:ascii="Calibri" w:cs="Calibri" w:eastAsia="Calibri" w:hAnsi="Calibri"/>
          <w:sz w:val="22"/>
          <w:szCs w:val="22"/>
        </w:rPr>
        <w:t xml:space="preserve">Set a target score and priority for each subcategory, informed by risk tolerance (Template 3 — current scores pull in automatically from Template 2).</w:t>
      </w:r>
    </w:p>
    <w:p>
      <w:pPr>
        <w:pStyle w:val="ListParagraph"/>
        <w:numPr>
          <w:ilvl w:val="0"/>
          <w:numId w:val="3"/>
        </w:numPr>
        <w:spacing w:after="100"/>
      </w:pPr>
      <w:r>
        <w:rPr>
          <w:rFonts w:ascii="Calibri" w:cs="Calibri" w:eastAsia="Calibri" w:hAnsi="Calibri"/>
          <w:sz w:val="22"/>
          <w:szCs w:val="22"/>
        </w:rPr>
        <w:t xml:space="preserve">Let the gap and its category (None/Minor/Moderate/Major) calculate automatically from the difference (Template 4).</w:t>
      </w:r>
    </w:p>
    <w:p>
      <w:pPr>
        <w:pStyle w:val="ListParagraph"/>
        <w:numPr>
          <w:ilvl w:val="0"/>
          <w:numId w:val="3"/>
        </w:numPr>
        <w:spacing w:after="100"/>
      </w:pPr>
      <w:r>
        <w:rPr>
          <w:rFonts w:ascii="Calibri" w:cs="Calibri" w:eastAsia="Calibri" w:hAnsi="Calibri"/>
          <w:sz w:val="22"/>
          <w:szCs w:val="22"/>
        </w:rPr>
        <w:t xml:space="preserve">Turn Major and Moderate gaps into specific findings, prioritized by likelihood and impact (Template 6).</w:t>
      </w:r>
    </w:p>
    <w:p>
      <w:pPr>
        <w:pStyle w:val="ListParagraph"/>
        <w:numPr>
          <w:ilvl w:val="0"/>
          <w:numId w:val="3"/>
        </w:numPr>
        <w:spacing w:after="100"/>
      </w:pPr>
      <w:r>
        <w:rPr>
          <w:rFonts w:ascii="Calibri" w:cs="Calibri" w:eastAsia="Calibri" w:hAnsi="Calibri"/>
          <w:sz w:val="22"/>
          <w:szCs w:val="22"/>
        </w:rPr>
        <w:t xml:space="preserve">Sequence findings into a resourced, owned roadmap (Template 9).</w:t>
      </w:r>
    </w:p>
    <w:p>
      <w:pPr>
        <w:spacing w:after="160" w:line="276"/>
      </w:pPr>
      <w:r>
        <w:rPr>
          <w:rFonts w:ascii="Calibri" w:cs="Calibri" w:eastAsia="Calibri" w:hAnsi="Calibri"/>
          <w:sz w:val="22"/>
          <w:szCs w:val="22"/>
        </w:rPr>
        <w:t xml:space="preserve">Because Templates 3 and 4 read live from Template 2, updating a current-state score later (after some remediation work has already started) automatically ripples through the gap analysis — you do not need to manually re-enter data in three places.</w:t>
      </w:r>
    </w:p>
    <w:p>
      <w:pPr>
        <w:pStyle w:val="Heading2"/>
        <w:spacing w:after="150" w:before="300"/>
      </w:pPr>
      <w:r>
        <w:t xml:space="preserve">3.5 Reporting Without a Certification Decision</w:t>
      </w:r>
    </w:p>
    <w:p>
      <w:pPr>
        <w:spacing w:after="160" w:line="276"/>
      </w:pPr>
      <w:r>
        <w:rPr>
          <w:rFonts w:ascii="Calibri" w:cs="Calibri" w:eastAsia="Calibri" w:hAnsi="Calibri"/>
          <w:sz w:val="22"/>
          <w:szCs w:val="22"/>
        </w:rPr>
        <w:t xml:space="preserve">A certification audit report ends in a recommendation: certify, certify with conditions, or do not certify. An AI RMF self-assessment report ends differently — in a documented current-state picture, a set of prioritized gaps, and a roadmap with owners and dates. Template 8 is built around that structure: no severity-graded nonconformity list, no technical-reviewer sign-off, just an honest picture the organization can act on and revisit.</w:t>
      </w:r>
    </w:p>
    <w:p>
      <w:r>
        <w:br w:type="page"/>
      </w:r>
    </w:p>
    <w:p>
      <w:pPr>
        <w:pStyle w:val="Heading1"/>
        <w:spacing w:after="200" w:before="400"/>
      </w:pPr>
      <w:r>
        <w:t xml:space="preserve">Part Four – Step-by-Step Walkthroughs</w:t>
      </w:r>
    </w:p>
    <w:p>
      <w:pPr>
        <w:spacing w:after="160" w:line="276"/>
      </w:pPr>
      <w:r>
        <w:rPr>
          <w:rFonts w:ascii="Calibri" w:cs="Calibri" w:eastAsia="Calibri" w:hAnsi="Calibri"/>
          <w:sz w:val="22"/>
          <w:szCs w:val="22"/>
        </w:rPr>
        <w:t xml:space="preserve">Each walkthrough below maps to one tab in the companion workbook, “NIST AI RMF Assessment Toolkit.xlsx.” Work through them in order the first time; on future reassessments, jump straight to the tab you need.</w:t>
      </w:r>
    </w:p>
    <w:p>
      <w:pPr>
        <w:pStyle w:val="Heading2"/>
        <w:spacing w:after="150" w:before="300"/>
      </w:pPr>
      <w:r>
        <w:t xml:space="preserve">Walkthrough A: Building the Assessment Plan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1 - Assessment Plan" in the NIST AI RMF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a vague request (“assess our AI risk management”) into a concrete, resourced, scheduled engagement.</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At the very start of every assessment cycle — initial baseline or later reassessment.</w:t>
      </w:r>
    </w:p>
    <w:p>
      <w:pPr>
        <w:pStyle w:val="Heading3"/>
        <w:spacing w:after="120" w:before="240"/>
      </w:pPr>
      <w:r>
        <w:t xml:space="preserve">Steps</w:t>
      </w:r>
    </w:p>
    <w:p>
      <w:pPr>
        <w:pStyle w:val="ListParagraph"/>
        <w:numPr>
          <w:ilvl w:val="0"/>
          <w:numId w:val="4"/>
        </w:numPr>
        <w:spacing w:after="100"/>
      </w:pPr>
      <w:r>
        <w:rPr>
          <w:rFonts w:ascii="Calibri" w:cs="Calibri" w:eastAsia="Calibri" w:hAnsi="Calibri"/>
          <w:sz w:val="22"/>
          <w:szCs w:val="22"/>
        </w:rPr>
        <w:t xml:space="preserve">Confirm the assessment type (initial baseline, periodic reassessment, or one triggered by a major AI deployment or regulatory change).</w:t>
      </w:r>
    </w:p>
    <w:p>
      <w:pPr>
        <w:pStyle w:val="ListParagraph"/>
        <w:numPr>
          <w:ilvl w:val="0"/>
          <w:numId w:val="4"/>
        </w:numPr>
        <w:spacing w:after="100"/>
      </w:pPr>
      <w:r>
        <w:rPr>
          <w:rFonts w:ascii="Calibri" w:cs="Calibri" w:eastAsia="Calibri" w:hAnsi="Calibri"/>
          <w:sz w:val="22"/>
          <w:szCs w:val="22"/>
        </w:rPr>
        <w:t xml:space="preserve">Define assessment objectives — typically: establish a current-state maturity picture, identify priority gaps, and produce a remediation roadmap.</w:t>
      </w:r>
    </w:p>
    <w:p>
      <w:pPr>
        <w:pStyle w:val="ListParagraph"/>
        <w:numPr>
          <w:ilvl w:val="0"/>
          <w:numId w:val="4"/>
        </w:numPr>
        <w:spacing w:after="100"/>
      </w:pPr>
      <w:r>
        <w:rPr>
          <w:rFonts w:ascii="Calibri" w:cs="Calibri" w:eastAsia="Calibri" w:hAnsi="Calibri"/>
          <w:sz w:val="22"/>
          <w:szCs w:val="22"/>
        </w:rPr>
        <w:t xml:space="preserve">Define scope: which AI systems, business units, and organizational boundaries are included — be specific about what is out of scope too.</w:t>
      </w:r>
    </w:p>
    <w:p>
      <w:pPr>
        <w:pStyle w:val="ListParagraph"/>
        <w:numPr>
          <w:ilvl w:val="0"/>
          <w:numId w:val="4"/>
        </w:numPr>
        <w:spacing w:after="100"/>
      </w:pPr>
      <w:r>
        <w:rPr>
          <w:rFonts w:ascii="Calibri" w:cs="Calibri" w:eastAsia="Calibri" w:hAnsi="Calibri"/>
          <w:sz w:val="22"/>
          <w:szCs w:val="22"/>
        </w:rPr>
        <w:t xml:space="preserve">Define assessment criteria: NIST AI RMF 1.0's four Functions/19 Categories/72 Subcategories, plus the Generative AI Profile (NIST AI 600-1) if generative AI is in scope.</w:t>
      </w:r>
    </w:p>
    <w:p>
      <w:pPr>
        <w:pStyle w:val="ListParagraph"/>
        <w:numPr>
          <w:ilvl w:val="0"/>
          <w:numId w:val="4"/>
        </w:numPr>
        <w:spacing w:after="100"/>
      </w:pPr>
      <w:r>
        <w:rPr>
          <w:rFonts w:ascii="Calibri" w:cs="Calibri" w:eastAsia="Calibri" w:hAnsi="Calibri"/>
          <w:sz w:val="22"/>
          <w:szCs w:val="22"/>
        </w:rPr>
        <w:t xml:space="preserve">Assign a competent assessment team; note any technical experts needed (e.g., someone who understands model validation or the organization's specific AI use cases).</w:t>
      </w:r>
    </w:p>
    <w:p>
      <w:pPr>
        <w:pStyle w:val="ListParagraph"/>
        <w:numPr>
          <w:ilvl w:val="0"/>
          <w:numId w:val="4"/>
        </w:numPr>
        <w:spacing w:after="100"/>
      </w:pPr>
      <w:r>
        <w:rPr>
          <w:rFonts w:ascii="Calibri" w:cs="Calibri" w:eastAsia="Calibri" w:hAnsi="Calibri"/>
          <w:sz w:val="22"/>
          <w:szCs w:val="22"/>
        </w:rPr>
        <w:t xml:space="preserve">Set dates for evidence collection, scoring, gap analysis, and reporting.</w:t>
      </w:r>
    </w:p>
    <w:p>
      <w:pPr>
        <w:pStyle w:val="ListParagraph"/>
        <w:numPr>
          <w:ilvl w:val="0"/>
          <w:numId w:val="4"/>
        </w:numPr>
        <w:spacing w:after="100"/>
      </w:pPr>
      <w:r>
        <w:rPr>
          <w:rFonts w:ascii="Calibri" w:cs="Calibri" w:eastAsia="Calibri" w:hAnsi="Calibri"/>
          <w:sz w:val="22"/>
          <w:szCs w:val="22"/>
        </w:rPr>
        <w:t xml:space="preserve">Fill in Template 1's schedule grid, listing each Function/Category/area against a planned date and assigned assessor.</w:t>
      </w:r>
    </w:p>
    <w:p>
      <w:pPr>
        <w:pStyle w:val="ListParagraph"/>
        <w:numPr>
          <w:ilvl w:val="0"/>
          <w:numId w:val="4"/>
        </w:numPr>
        <w:spacing w:after="100"/>
      </w:pPr>
      <w:r>
        <w:rPr>
          <w:rFonts w:ascii="Calibri" w:cs="Calibri" w:eastAsia="Calibri" w:hAnsi="Calibri"/>
          <w:sz w:val="22"/>
          <w:szCs w:val="22"/>
        </w:rPr>
        <w:t xml:space="preserve">Share the plan with your executive sponsor to confirm resourcing and stakeholder availability.</w:t>
      </w:r>
    </w:p>
    <w:p>
      <w:pPr>
        <w:pStyle w:val="Heading3"/>
        <w:spacing w:after="120" w:before="240"/>
      </w:pPr>
      <w:r>
        <w:t xml:space="preserve">Worked example</w:t>
      </w:r>
    </w:p>
    <w:p>
      <w:pPr>
        <w:spacing w:after="160" w:line="276"/>
      </w:pPr>
      <w:r>
        <w:rPr>
          <w:rFonts w:ascii="Calibri" w:cs="Calibri" w:eastAsia="Calibri" w:hAnsi="Calibri"/>
          <w:sz w:val="22"/>
          <w:szCs w:val="22"/>
        </w:rPr>
        <w:t xml:space="preserve">A 40-person AI startup providing a hiring-screening model runs its first AI RMF self-assessment. Scope: “The AI-powered candidate-screening product, ScreenSmart, and the AI risk management practices supporting its full lifecycle, at the single Austin, TX office.” Objectives: the standard three above. Criteria: NIST AI RMF 1.0 (all 72 subcategories) plus the Generative AI Profile, since ScreenSmart's newest feature summarizes candidate resumes using a generative model.</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let scope creep in without a documented scope change — if the organization's actual AI footprint (e.g., a second AI product) doesn't match the stated scope, note it explicitly and decide whether to expand scope or defer it to the next cycle.</w:t>
      </w:r>
    </w:p>
    <w:p>
      <w:pPr>
        <w:pStyle w:val="ListParagraph"/>
        <w:numPr>
          <w:ilvl w:val="0"/>
          <w:numId w:val="2"/>
        </w:numPr>
        <w:spacing w:after="100"/>
      </w:pPr>
      <w:r>
        <w:rPr>
          <w:rFonts w:ascii="Calibri" w:cs="Calibri" w:eastAsia="Calibri" w:hAnsi="Calibri"/>
          <w:sz w:val="22"/>
          <w:szCs w:val="22"/>
        </w:rPr>
        <w:t xml:space="preserve">Under-resourcing the plan (e.g., one assessor, two weeks, for an organization running a dozen AI systems) is the single most common root cause of a shallow assessment — size the plan to the number of AI systems and subcategories in scope.</w:t>
      </w:r>
    </w:p>
    <w:p>
      <w:pPr>
        <w:spacing w:after="200"/>
      </w:pPr>
    </w:p>
    <w:p>
      <w:pPr>
        <w:pStyle w:val="Heading2"/>
        <w:spacing w:after="150" w:before="300"/>
      </w:pPr>
      <w:r>
        <w:t xml:space="preserve">Walkthrough B: Running Stakeholder Interviews &amp; Workshops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7 - Interview Agenda" in the NIST AI RMF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Gather firsthand evidence from the people who actually run, build, and oversee the organization's AI systems.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Throughout evidence collection, kicked off with an opening session and closed with a debrief.</w:t>
      </w:r>
    </w:p>
    <w:p>
      <w:pPr>
        <w:pStyle w:val="Heading3"/>
        <w:spacing w:after="120" w:before="240"/>
      </w:pPr>
      <w:r>
        <w:t xml:space="preserve">Steps</w:t>
      </w:r>
    </w:p>
    <w:p>
      <w:pPr>
        <w:pStyle w:val="ListParagraph"/>
        <w:numPr>
          <w:ilvl w:val="0"/>
          <w:numId w:val="5"/>
        </w:numPr>
        <w:spacing w:after="100"/>
      </w:pPr>
      <w:r>
        <w:rPr>
          <w:rFonts w:ascii="Calibri" w:cs="Calibri" w:eastAsia="Calibri" w:hAnsi="Calibri"/>
          <w:sz w:val="22"/>
          <w:szCs w:val="22"/>
        </w:rPr>
        <w:t xml:space="preserve">Introduce the assessment team and confirm the attendee list against Template 7's sign-in section.</w:t>
      </w:r>
    </w:p>
    <w:p>
      <w:pPr>
        <w:pStyle w:val="ListParagraph"/>
        <w:numPr>
          <w:ilvl w:val="0"/>
          <w:numId w:val="5"/>
        </w:numPr>
        <w:spacing w:after="100"/>
      </w:pPr>
      <w:r>
        <w:rPr>
          <w:rFonts w:ascii="Calibri" w:cs="Calibri" w:eastAsia="Calibri" w:hAnsi="Calibri"/>
          <w:sz w:val="22"/>
          <w:szCs w:val="22"/>
        </w:rPr>
        <w:t xml:space="preserve">Reconfirm objectives, scope, and criteria from Template 1 — ask stakeholders to flag anything that has changed.</w:t>
      </w:r>
    </w:p>
    <w:p>
      <w:pPr>
        <w:pStyle w:val="ListParagraph"/>
        <w:numPr>
          <w:ilvl w:val="0"/>
          <w:numId w:val="5"/>
        </w:numPr>
        <w:spacing w:after="100"/>
      </w:pPr>
      <w:r>
        <w:rPr>
          <w:rFonts w:ascii="Calibri" w:cs="Calibri" w:eastAsia="Calibri" w:hAnsi="Calibri"/>
          <w:sz w:val="22"/>
          <w:szCs w:val="22"/>
        </w:rPr>
        <w:t xml:space="preserve">Explain the assessment method: current-state scoring, evidence review, and how the results feed into a roadmap (not a pass/fail grade).</w:t>
      </w:r>
    </w:p>
    <w:p>
      <w:pPr>
        <w:pStyle w:val="ListParagraph"/>
        <w:numPr>
          <w:ilvl w:val="0"/>
          <w:numId w:val="5"/>
        </w:numPr>
        <w:spacing w:after="100"/>
      </w:pPr>
      <w:r>
        <w:rPr>
          <w:rFonts w:ascii="Calibri" w:cs="Calibri" w:eastAsia="Calibri" w:hAnsi="Calibri"/>
          <w:sz w:val="22"/>
          <w:szCs w:val="22"/>
        </w:rPr>
        <w:t xml:space="preserve">Use the AI Actor categories from Part Two, Section 2.3, to make sure you are talking to the right people — not just engineering, but also legal, procurement, and anyone doing human oversight of AI outputs.</w:t>
      </w:r>
    </w:p>
    <w:p>
      <w:pPr>
        <w:pStyle w:val="ListParagraph"/>
        <w:numPr>
          <w:ilvl w:val="0"/>
          <w:numId w:val="5"/>
        </w:numPr>
        <w:spacing w:after="100"/>
      </w:pPr>
      <w:r>
        <w:rPr>
          <w:rFonts w:ascii="Calibri" w:cs="Calibri" w:eastAsia="Calibri" w:hAnsi="Calibri"/>
          <w:sz w:val="22"/>
          <w:szCs w:val="22"/>
        </w:rPr>
        <w:t xml:space="preserve">Confirm logistics: document access, availability for follow-up questions, and the date of the closing debrief.</w:t>
      </w:r>
    </w:p>
    <w:p>
      <w:pPr>
        <w:pStyle w:val="ListParagraph"/>
        <w:numPr>
          <w:ilvl w:val="0"/>
          <w:numId w:val="5"/>
        </w:numPr>
        <w:spacing w:after="100"/>
      </w:pPr>
      <w:r>
        <w:rPr>
          <w:rFonts w:ascii="Calibri" w:cs="Calibri" w:eastAsia="Calibri" w:hAnsi="Calibri"/>
          <w:sz w:val="22"/>
          <w:szCs w:val="22"/>
        </w:rPr>
        <w:t xml:space="preserve">At the closing debrief, walk through the highest-priority findings and the draft roadmap, and let stakeholders provide additional context.</w:t>
      </w:r>
    </w:p>
    <w:p>
      <w:pPr>
        <w:pStyle w:val="ListParagraph"/>
        <w:numPr>
          <w:ilvl w:val="0"/>
          <w:numId w:val="5"/>
        </w:numPr>
        <w:spacing w:after="100"/>
      </w:pPr>
      <w:r>
        <w:rPr>
          <w:rFonts w:ascii="Calibri" w:cs="Calibri" w:eastAsia="Calibri" w:hAnsi="Calibri"/>
          <w:sz w:val="22"/>
          <w:szCs w:val="22"/>
        </w:rPr>
        <w:t xml:space="preserve">Record attendance and key discussion points in Template 7.</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If a stakeholder tries to narrow scope verbally in this meeting (“we'd rather you not look at Product X”), don't agree informally — take it back to the assessment plan (Template 1) as a documented, deliberate decision.</w:t>
      </w:r>
    </w:p>
    <w:p>
      <w:pPr>
        <w:spacing w:after="200"/>
      </w:pPr>
    </w:p>
    <w:p>
      <w:pPr>
        <w:pStyle w:val="Heading2"/>
        <w:spacing w:after="150" w:before="300"/>
      </w:pPr>
      <w:r>
        <w:t xml:space="preserve">Walkthrough C: Logging Evidence As You Go</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5 - Evidence Log" in the NIST AI RMF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Keep a single, chronological, defensible record of everything you examined.</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Continuously, throughout evidence collection — not reconstructed afterward from memory.</w:t>
      </w:r>
    </w:p>
    <w:p>
      <w:pPr>
        <w:pStyle w:val="Heading3"/>
        <w:spacing w:after="120" w:before="240"/>
      </w:pPr>
      <w:r>
        <w:t xml:space="preserve">Steps</w:t>
      </w:r>
    </w:p>
    <w:p>
      <w:pPr>
        <w:pStyle w:val="ListParagraph"/>
        <w:numPr>
          <w:ilvl w:val="0"/>
          <w:numId w:val="6"/>
        </w:numPr>
        <w:spacing w:after="100"/>
      </w:pPr>
      <w:r>
        <w:rPr>
          <w:rFonts w:ascii="Calibri" w:cs="Calibri" w:eastAsia="Calibri" w:hAnsi="Calibri"/>
          <w:sz w:val="22"/>
          <w:szCs w:val="22"/>
        </w:rPr>
        <w:t xml:space="preserve">Every time you review a document, interview someone, or observe a system, add one row to Template 5 immediately.</w:t>
      </w:r>
    </w:p>
    <w:p>
      <w:pPr>
        <w:pStyle w:val="ListParagraph"/>
        <w:numPr>
          <w:ilvl w:val="0"/>
          <w:numId w:val="6"/>
        </w:numPr>
        <w:spacing w:after="100"/>
      </w:pPr>
      <w:r>
        <w:rPr>
          <w:rFonts w:ascii="Calibri" w:cs="Calibri" w:eastAsia="Calibri" w:hAnsi="Calibri"/>
          <w:sz w:val="22"/>
          <w:szCs w:val="22"/>
        </w:rPr>
        <w:t xml:space="preserve">Record: a unique Evidence ID, date/time, source (person interviewed or document reference with version/date), the subcategory it relates to, and a specific description of what you saw.</w:t>
      </w:r>
    </w:p>
    <w:p>
      <w:pPr>
        <w:pStyle w:val="ListParagraph"/>
        <w:numPr>
          <w:ilvl w:val="0"/>
          <w:numId w:val="6"/>
        </w:numPr>
        <w:spacing w:after="100"/>
      </w:pPr>
      <w:r>
        <w:rPr>
          <w:rFonts w:ascii="Calibri" w:cs="Calibri" w:eastAsia="Calibri" w:hAnsi="Calibri"/>
          <w:sz w:val="22"/>
          <w:szCs w:val="22"/>
        </w:rPr>
        <w:t xml:space="preserve">Tag each row with what the evidence supports: a current-state score, a specific finding, or a note that needs follow-up.</w:t>
      </w:r>
    </w:p>
    <w:p>
      <w:pPr>
        <w:pStyle w:val="ListParagraph"/>
        <w:numPr>
          <w:ilvl w:val="0"/>
          <w:numId w:val="6"/>
        </w:numPr>
        <w:spacing w:after="100"/>
      </w:pPr>
      <w:r>
        <w:rPr>
          <w:rFonts w:ascii="Calibri" w:cs="Calibri" w:eastAsia="Calibri" w:hAnsi="Calibri"/>
          <w:sz w:val="22"/>
          <w:szCs w:val="22"/>
        </w:rPr>
        <w:t xml:space="preserve">Cross-reference Evidence IDs from Templates 2 and 6 back into this log so any score or finding can be traced to its exact source.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Reconstructing evidence notes at the end of the week from memory is how an assessment loses credibility — log in real time, even briefly, then expand at the next break.</w:t>
      </w:r>
    </w:p>
    <w:p>
      <w:pPr>
        <w:spacing w:after="200"/>
      </w:pPr>
    </w:p>
    <w:p>
      <w:pPr>
        <w:pStyle w:val="Heading2"/>
        <w:spacing w:after="150" w:before="300"/>
      </w:pPr>
      <w:r>
        <w:t xml:space="preserve">Walkthrough D: Completing the Current-State Checklist</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2 - Current State" in the NIST AI RMF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Produce an honest, evidence-based maturity score for all 72 AI RMF subcategories.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During evidence collection, alongside interviews and document review.</w:t>
      </w:r>
    </w:p>
    <w:p>
      <w:pPr>
        <w:pStyle w:val="Heading3"/>
        <w:spacing w:after="120" w:before="240"/>
      </w:pPr>
      <w:r>
        <w:t xml:space="preserve">Steps</w:t>
      </w:r>
    </w:p>
    <w:p>
      <w:pPr>
        <w:pStyle w:val="ListParagraph"/>
        <w:numPr>
          <w:ilvl w:val="0"/>
          <w:numId w:val="7"/>
        </w:numPr>
        <w:spacing w:after="100"/>
      </w:pPr>
      <w:r>
        <w:rPr>
          <w:rFonts w:ascii="Calibri" w:cs="Calibri" w:eastAsia="Calibri" w:hAnsi="Calibri"/>
          <w:sz w:val="22"/>
          <w:szCs w:val="22"/>
        </w:rPr>
        <w:t xml:space="preserve">Work down Template 2's 72 rows, organized by Function and Category, in the order that matches how you are gathering evidence (often GOVERN first, since it is cross-cutting).</w:t>
      </w:r>
    </w:p>
    <w:p>
      <w:pPr>
        <w:pStyle w:val="ListParagraph"/>
        <w:numPr>
          <w:ilvl w:val="0"/>
          <w:numId w:val="7"/>
        </w:numPr>
        <w:spacing w:after="100"/>
      </w:pPr>
      <w:r>
        <w:rPr>
          <w:rFonts w:ascii="Calibri" w:cs="Calibri" w:eastAsia="Calibri" w:hAnsi="Calibri"/>
          <w:sz w:val="22"/>
          <w:szCs w:val="22"/>
        </w:rPr>
        <w:t xml:space="preserve">For each subcategory, score current-state maturity using the toolkit's 0–4 scale (0 = Not Started, 1 = Ad Hoc/Informal, 2 = Defined but Inconsistent, 3 = Managed &amp; Measured, 4 = Optimized/Continuously Improved) — documented in the Instructions tab and in a comment on the score column's header.</w:t>
      </w:r>
    </w:p>
    <w:p>
      <w:pPr>
        <w:pStyle w:val="ListParagraph"/>
        <w:numPr>
          <w:ilvl w:val="0"/>
          <w:numId w:val="7"/>
        </w:numPr>
        <w:spacing w:after="100"/>
      </w:pPr>
      <w:r>
        <w:rPr>
          <w:rFonts w:ascii="Calibri" w:cs="Calibri" w:eastAsia="Calibri" w:hAnsi="Calibri"/>
          <w:sz w:val="22"/>
          <w:szCs w:val="22"/>
        </w:rPr>
        <w:t xml:space="preserve">Base every score on evidence, not impression — cite the specific document, interview, or observation in the Evidence/Notes column, and log the full detail in Template 5 if it's substantial.</w:t>
      </w:r>
    </w:p>
    <w:p>
      <w:pPr>
        <w:pStyle w:val="ListParagraph"/>
        <w:numPr>
          <w:ilvl w:val="0"/>
          <w:numId w:val="7"/>
        </w:numPr>
        <w:spacing w:after="100"/>
      </w:pPr>
      <w:r>
        <w:rPr>
          <w:rFonts w:ascii="Calibri" w:cs="Calibri" w:eastAsia="Calibri" w:hAnsi="Calibri"/>
          <w:sz w:val="22"/>
          <w:szCs w:val="22"/>
        </w:rPr>
        <w:t xml:space="preserve">Where a subcategory is not applicable (e.g., MEASURE 2.12 environmental impact, for an organization that only licenses a third-party API and does no training itself), say so explicitly in the notes rather than leaving the score blank and ambiguous.</w:t>
      </w:r>
    </w:p>
    <w:p>
      <w:pPr>
        <w:pStyle w:val="ListParagraph"/>
        <w:numPr>
          <w:ilvl w:val="0"/>
          <w:numId w:val="7"/>
        </w:numPr>
        <w:spacing w:after="100"/>
      </w:pPr>
      <w:r>
        <w:rPr>
          <w:rFonts w:ascii="Calibri" w:cs="Calibri" w:eastAsia="Calibri" w:hAnsi="Calibri"/>
          <w:sz w:val="22"/>
          <w:szCs w:val="22"/>
        </w:rPr>
        <w:t xml:space="preserve">Resist scoring everything as a 2 or 3 out of caution — a wide, honest spread of scores is far more useful to the target-state and gap-analysis steps that follow.</w:t>
      </w:r>
    </w:p>
    <w:p>
      <w:pPr>
        <w:pStyle w:val="Heading3"/>
        <w:spacing w:after="120" w:before="240"/>
      </w:pPr>
      <w:r>
        <w:t xml:space="preserve">Worked example</w:t>
      </w:r>
    </w:p>
    <w:p>
      <w:pPr>
        <w:spacing w:after="160" w:line="276"/>
      </w:pPr>
      <w:r>
        <w:rPr>
          <w:rFonts w:ascii="Calibri" w:cs="Calibri" w:eastAsia="Calibri" w:hAnsi="Calibri"/>
          <w:sz w:val="22"/>
          <w:szCs w:val="22"/>
        </w:rPr>
        <w:t xml:space="preserve">MEASURE 2.11 (Fairness and bias) row: the assessor reviews ScreenSmart's pre-release bias-testing report (dated 2026-08-01, disparate-impact ratios by protected class) and interviews the ML lead. Testing exists and is run before every release, but results are not tracked over time or reviewed by anyone outside the ML team. Score: 2 (Defined but Inconsistent) — a real process exists but lacks independent review and trend tracking.</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confuse “we have a policy that says this” with “this actually happens” — always look for the record that proves execution (a completed test report, a logged review, a signed-off assessment), not just the policy document.</w:t>
      </w:r>
    </w:p>
    <w:p>
      <w:pPr>
        <w:pStyle w:val="ListParagraph"/>
        <w:numPr>
          <w:ilvl w:val="0"/>
          <w:numId w:val="2"/>
        </w:numPr>
        <w:spacing w:after="100"/>
      </w:pPr>
      <w:r>
        <w:rPr>
          <w:rFonts w:ascii="Calibri" w:cs="Calibri" w:eastAsia="Calibri" w:hAnsi="Calibri"/>
          <w:sz w:val="22"/>
          <w:szCs w:val="22"/>
        </w:rPr>
        <w:t xml:space="preserve">A subcategory scored purely from a single interview, with no corroborating document or observation, is a thinner basis for a score than it looks — note the limitation explicitly if that's all you could get.</w:t>
      </w:r>
    </w:p>
    <w:p>
      <w:pPr>
        <w:spacing w:after="200"/>
      </w:pPr>
    </w:p>
    <w:p>
      <w:pPr>
        <w:pStyle w:val="Heading2"/>
        <w:spacing w:after="150" w:before="300"/>
      </w:pPr>
      <w:r>
        <w:t xml:space="preserve">Walkthrough E: Defining Target State &amp; Priorities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3 - Target State" in the NIST AI RMF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Decide, deliberately, how mature the organization needs to be on each subcategory — not just accept whatever the current state happens to be.</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Once current-state scoring is substantially complete, before starting the gap analysis.</w:t>
      </w:r>
    </w:p>
    <w:p>
      <w:pPr>
        <w:pStyle w:val="Heading3"/>
        <w:spacing w:after="120" w:before="240"/>
      </w:pPr>
      <w:r>
        <w:t xml:space="preserve">Steps</w:t>
      </w:r>
    </w:p>
    <w:p>
      <w:pPr>
        <w:pStyle w:val="ListParagraph"/>
        <w:numPr>
          <w:ilvl w:val="0"/>
          <w:numId w:val="8"/>
        </w:numPr>
        <w:spacing w:after="100"/>
      </w:pPr>
      <w:r>
        <w:rPr>
          <w:rFonts w:ascii="Calibri" w:cs="Calibri" w:eastAsia="Calibri" w:hAnsi="Calibri"/>
          <w:sz w:val="22"/>
          <w:szCs w:val="22"/>
        </w:rPr>
        <w:t xml:space="preserve">Open Template 3 — the Current Score column pulls automatically from Template 2, so you do not need to re-enter it.</w:t>
      </w:r>
    </w:p>
    <w:p>
      <w:pPr>
        <w:pStyle w:val="ListParagraph"/>
        <w:numPr>
          <w:ilvl w:val="0"/>
          <w:numId w:val="8"/>
        </w:numPr>
        <w:spacing w:after="100"/>
      </w:pPr>
      <w:r>
        <w:rPr>
          <w:rFonts w:ascii="Calibri" w:cs="Calibri" w:eastAsia="Calibri" w:hAnsi="Calibri"/>
          <w:sz w:val="22"/>
          <w:szCs w:val="22"/>
        </w:rPr>
        <w:t xml:space="preserve">For each subcategory, set a Target Score (0–4) reflecting the maturity level appropriate to the organization's risk tolerance, the AI system's impact, and any regulatory context.</w:t>
      </w:r>
    </w:p>
    <w:p>
      <w:pPr>
        <w:pStyle w:val="ListParagraph"/>
        <w:numPr>
          <w:ilvl w:val="0"/>
          <w:numId w:val="8"/>
        </w:numPr>
        <w:spacing w:after="100"/>
      </w:pPr>
      <w:r>
        <w:rPr>
          <w:rFonts w:ascii="Calibri" w:cs="Calibri" w:eastAsia="Calibri" w:hAnsi="Calibri"/>
          <w:sz w:val="22"/>
          <w:szCs w:val="22"/>
        </w:rPr>
        <w:t xml:space="preserve">Assign a Priority (Critical/High/Medium/Low) — this is a judgment call about urgency, informed by but not identical to the size of the eventual gap.</w:t>
      </w:r>
    </w:p>
    <w:p>
      <w:pPr>
        <w:pStyle w:val="ListParagraph"/>
        <w:numPr>
          <w:ilvl w:val="0"/>
          <w:numId w:val="8"/>
        </w:numPr>
        <w:spacing w:after="100"/>
      </w:pPr>
      <w:r>
        <w:rPr>
          <w:rFonts w:ascii="Calibri" w:cs="Calibri" w:eastAsia="Calibri" w:hAnsi="Calibri"/>
          <w:sz w:val="22"/>
          <w:szCs w:val="22"/>
        </w:rPr>
        <w:t xml:space="preserve">Record the rationale or business driver behind each target — a specific regulation, a past incident, a customer requirement, or simply organizational risk appetite.</w:t>
      </w:r>
    </w:p>
    <w:p>
      <w:pPr>
        <w:pStyle w:val="ListParagraph"/>
        <w:numPr>
          <w:ilvl w:val="0"/>
          <w:numId w:val="8"/>
        </w:numPr>
        <w:spacing w:after="100"/>
      </w:pPr>
      <w:r>
        <w:rPr>
          <w:rFonts w:ascii="Calibri" w:cs="Calibri" w:eastAsia="Calibri" w:hAnsi="Calibri"/>
          <w:sz w:val="22"/>
          <w:szCs w:val="22"/>
        </w:rPr>
        <w:t xml:space="preserve">Assign an owner and a realistic target date for reaching that target state.</w:t>
      </w:r>
    </w:p>
    <w:p>
      <w:pPr>
        <w:pStyle w:val="ListParagraph"/>
        <w:numPr>
          <w:ilvl w:val="0"/>
          <w:numId w:val="8"/>
        </w:numPr>
        <w:spacing w:after="100"/>
      </w:pPr>
      <w:r>
        <w:rPr>
          <w:rFonts w:ascii="Calibri" w:cs="Calibri" w:eastAsia="Calibri" w:hAnsi="Calibri"/>
          <w:sz w:val="22"/>
          <w:szCs w:val="22"/>
        </w:rPr>
        <w:t xml:space="preserve">Resist setting every target to 4 (Optimized) by default — not every subcategory needs the same level of rigor; calibrate to actual risk.</w:t>
      </w:r>
    </w:p>
    <w:p>
      <w:pPr>
        <w:pStyle w:val="Heading3"/>
        <w:spacing w:after="120" w:before="240"/>
      </w:pPr>
      <w:r>
        <w:t xml:space="preserve">Worked example</w:t>
      </w:r>
    </w:p>
    <w:p>
      <w:pPr>
        <w:spacing w:after="160" w:line="276"/>
      </w:pPr>
      <w:r>
        <w:rPr>
          <w:rFonts w:ascii="Calibri" w:cs="Calibri" w:eastAsia="Calibri" w:hAnsi="Calibri"/>
          <w:sz w:val="22"/>
          <w:szCs w:val="22"/>
        </w:rPr>
        <w:t xml:space="preserve">GOVERN 1.1 (Legal/regulatory requirements) is scored 2 (current) because a legal team member maintains an informal running list of applicable AI regulation. Given upcoming EU AI Act obligations for the organization's EU customers, the target is set to 4, Priority High, owned by Legal, target date end of year — formalizing the process into a scheduled quarterly review with documented sign-off.</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target state copied uniformly from a competitor's public framework or a generic industry benchmark, without adjusting for your own risk profile, will either under- or over-shoot what you actually need — set targets deliberately.</w:t>
      </w:r>
    </w:p>
    <w:p>
      <w:pPr>
        <w:spacing w:after="200"/>
      </w:pPr>
    </w:p>
    <w:p>
      <w:pPr>
        <w:pStyle w:val="Heading2"/>
        <w:spacing w:after="150" w:before="300"/>
      </w:pPr>
      <w:r>
        <w:t xml:space="preserve">Walkthrough F: Conducting the Gap Analysis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4 - Gap Analysis" in the NIST AI RMF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the difference between current and target state into a categorized, explained set of gaps.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After current-state and target-state scoring are both complete.</w:t>
      </w:r>
    </w:p>
    <w:p>
      <w:pPr>
        <w:pStyle w:val="Heading3"/>
        <w:spacing w:after="120" w:before="240"/>
      </w:pPr>
      <w:r>
        <w:t xml:space="preserve">Steps</w:t>
      </w:r>
    </w:p>
    <w:p>
      <w:pPr>
        <w:pStyle w:val="ListParagraph"/>
        <w:numPr>
          <w:ilvl w:val="0"/>
          <w:numId w:val="9"/>
        </w:numPr>
        <w:spacing w:after="100"/>
      </w:pPr>
      <w:r>
        <w:rPr>
          <w:rFonts w:ascii="Calibri" w:cs="Calibri" w:eastAsia="Calibri" w:hAnsi="Calibri"/>
          <w:sz w:val="22"/>
          <w:szCs w:val="22"/>
        </w:rPr>
        <w:t xml:space="preserve">Open Template 4 — Current Score and Target Score pull automatically from Templates 2 and 3; Gap and Gap Category calculate automatically from those.</w:t>
      </w:r>
    </w:p>
    <w:p>
      <w:pPr>
        <w:pStyle w:val="ListParagraph"/>
        <w:numPr>
          <w:ilvl w:val="0"/>
          <w:numId w:val="9"/>
        </w:numPr>
        <w:spacing w:after="100"/>
      </w:pPr>
      <w:r>
        <w:rPr>
          <w:rFonts w:ascii="Calibri" w:cs="Calibri" w:eastAsia="Calibri" w:hAnsi="Calibri"/>
          <w:sz w:val="22"/>
          <w:szCs w:val="22"/>
        </w:rPr>
        <w:t xml:space="preserve">Review the Gap Category for every row: None (target met), Minor (1-point gap), Moderate (2-point gap), or Major (3+ point gap).</w:t>
      </w:r>
    </w:p>
    <w:p>
      <w:pPr>
        <w:pStyle w:val="ListParagraph"/>
        <w:numPr>
          <w:ilvl w:val="0"/>
          <w:numId w:val="9"/>
        </w:numPr>
        <w:spacing w:after="100"/>
      </w:pPr>
      <w:r>
        <w:rPr>
          <w:rFonts w:ascii="Calibri" w:cs="Calibri" w:eastAsia="Calibri" w:hAnsi="Calibri"/>
          <w:sz w:val="22"/>
          <w:szCs w:val="22"/>
        </w:rPr>
        <w:t xml:space="preserve">For every Moderate or Major gap, write down the root cause — is it a missing process, an under-resourced team, a lack of awareness, or a genuine unresolved technical challenge?</w:t>
      </w:r>
    </w:p>
    <w:p>
      <w:pPr>
        <w:pStyle w:val="ListParagraph"/>
        <w:numPr>
          <w:ilvl w:val="0"/>
          <w:numId w:val="9"/>
        </w:numPr>
        <w:spacing w:after="100"/>
      </w:pPr>
      <w:r>
        <w:rPr>
          <w:rFonts w:ascii="Calibri" w:cs="Calibri" w:eastAsia="Calibri" w:hAnsi="Calibri"/>
          <w:sz w:val="22"/>
          <w:szCs w:val="22"/>
        </w:rPr>
        <w:t xml:space="preserve">Draft a recommended action for each significant gap — specific enough that it could become a roadmap line item in Template 9 without further translation.</w:t>
      </w:r>
    </w:p>
    <w:p>
      <w:pPr>
        <w:pStyle w:val="ListParagraph"/>
        <w:numPr>
          <w:ilvl w:val="0"/>
          <w:numId w:val="9"/>
        </w:numPr>
        <w:spacing w:after="100"/>
      </w:pPr>
      <w:r>
        <w:rPr>
          <w:rFonts w:ascii="Calibri" w:cs="Calibri" w:eastAsia="Calibri" w:hAnsi="Calibri"/>
          <w:sz w:val="22"/>
          <w:szCs w:val="22"/>
        </w:rPr>
        <w:t xml:space="preserve">Look across rows for patterns — several Major gaps clustered in one Category (e.g., all of MEASURE 2's trustworthiness subcategories) usually point to one underlying root cause worth fixing once, not many times.</w:t>
      </w:r>
    </w:p>
    <w:p>
      <w:pPr>
        <w:pStyle w:val="Heading3"/>
        <w:spacing w:after="120" w:before="240"/>
      </w:pPr>
      <w:r>
        <w:t xml:space="preserve">Worked example</w:t>
      </w:r>
    </w:p>
    <w:p>
      <w:pPr>
        <w:spacing w:after="160" w:line="276"/>
      </w:pPr>
      <w:r>
        <w:rPr>
          <w:rFonts w:ascii="Calibri" w:cs="Calibri" w:eastAsia="Calibri" w:hAnsi="Calibri"/>
          <w:sz w:val="22"/>
          <w:szCs w:val="22"/>
        </w:rPr>
        <w:t xml:space="preserve">MANAGE 4.3 (Incident communication) shows Current 1, Target 4, Gap 3 (Major). Root cause: no defined process exists for communicating AI incidents to affected users or communities — only ad hoc internal Slack threads. Recommended action: establish a documented AI incident communication procedure with defined triggers, audiences, and timelines, modeled on the existing security-incident process.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stop at the number — two subcategories can have the same Gap of 3 for very different reasons (one a training gap, one a resourcing gap), and the roadmap action should reflect the real cause.</w:t>
      </w:r>
    </w:p>
    <w:p>
      <w:pPr>
        <w:spacing w:after="200"/>
      </w:pPr>
    </w:p>
    <w:p>
      <w:pPr>
        <w:pStyle w:val="Heading2"/>
        <w:spacing w:after="150" w:before="300"/>
      </w:pPr>
      <w:r>
        <w:t xml:space="preserve">Walkthrough G: Writing Findings &amp; Assessing Risk</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6 - Findings Tracker" in the NIST AI RMF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a gap you observed into a clear, specific, actionable finding — prioritized, not graded as a nonconformity.</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As soon as you identify a gap significant enough to track individually, alongside or after the gap analysis.</w:t>
      </w:r>
    </w:p>
    <w:p>
      <w:pPr>
        <w:pStyle w:val="Heading3"/>
        <w:spacing w:after="120" w:before="240"/>
      </w:pPr>
      <w:r>
        <w:t xml:space="preserve">Steps</w:t>
      </w:r>
    </w:p>
    <w:p>
      <w:pPr>
        <w:pStyle w:val="ListParagraph"/>
        <w:numPr>
          <w:ilvl w:val="0"/>
          <w:numId w:val="10"/>
        </w:numPr>
        <w:spacing w:after="100"/>
      </w:pPr>
      <w:r>
        <w:rPr>
          <w:rFonts w:ascii="Calibri" w:cs="Calibri" w:eastAsia="Calibri" w:hAnsi="Calibri"/>
          <w:sz w:val="22"/>
          <w:szCs w:val="22"/>
        </w:rPr>
        <w:t xml:space="preserve">Write the finding in plain, specific, evidence-anchored language — what did you observe, and against which subcategory?</w:t>
      </w:r>
    </w:p>
    <w:p>
      <w:pPr>
        <w:pStyle w:val="ListParagraph"/>
        <w:numPr>
          <w:ilvl w:val="0"/>
          <w:numId w:val="10"/>
        </w:numPr>
        <w:spacing w:after="100"/>
      </w:pPr>
      <w:r>
        <w:rPr>
          <w:rFonts w:ascii="Calibri" w:cs="Calibri" w:eastAsia="Calibri" w:hAnsi="Calibri"/>
          <w:sz w:val="22"/>
          <w:szCs w:val="22"/>
        </w:rPr>
        <w:t xml:space="preserve">Rate Likelihood (1–5) and Impact (1–5) for the underlying risk if the gap is left unaddressed; Risk Score calculates automatically as Likelihood × Impact.</w:t>
      </w:r>
    </w:p>
    <w:p>
      <w:pPr>
        <w:pStyle w:val="ListParagraph"/>
        <w:numPr>
          <w:ilvl w:val="0"/>
          <w:numId w:val="10"/>
        </w:numPr>
        <w:spacing w:after="100"/>
      </w:pPr>
      <w:r>
        <w:rPr>
          <w:rFonts w:ascii="Calibri" w:cs="Calibri" w:eastAsia="Calibri" w:hAnsi="Calibri"/>
          <w:sz w:val="22"/>
          <w:szCs w:val="22"/>
        </w:rPr>
        <w:t xml:space="preserve">Translate the risk score into a Priority (Critical/High/Medium/Low) using this toolkit's own scale — documented in a comment on the column header — and remember this is an interpretive layer, not an official NIST severity grade.</w:t>
      </w:r>
    </w:p>
    <w:p>
      <w:pPr>
        <w:pStyle w:val="ListParagraph"/>
        <w:numPr>
          <w:ilvl w:val="0"/>
          <w:numId w:val="10"/>
        </w:numPr>
        <w:spacing w:after="100"/>
      </w:pPr>
      <w:r>
        <w:rPr>
          <w:rFonts w:ascii="Calibri" w:cs="Calibri" w:eastAsia="Calibri" w:hAnsi="Calibri"/>
          <w:sz w:val="22"/>
          <w:szCs w:val="22"/>
        </w:rPr>
        <w:t xml:space="preserve">Propose a recommended action, and assign an owner and a target date.</w:t>
      </w:r>
    </w:p>
    <w:p>
      <w:pPr>
        <w:pStyle w:val="ListParagraph"/>
        <w:numPr>
          <w:ilvl w:val="0"/>
          <w:numId w:val="10"/>
        </w:numPr>
        <w:spacing w:after="100"/>
      </w:pPr>
      <w:r>
        <w:rPr>
          <w:rFonts w:ascii="Calibri" w:cs="Calibri" w:eastAsia="Calibri" w:hAnsi="Calibri"/>
          <w:sz w:val="22"/>
          <w:szCs w:val="22"/>
        </w:rPr>
        <w:t xml:space="preserve">Cross-reference the relevant subcategory and, if useful, the Evidence ID from Template 5.</w:t>
      </w:r>
    </w:p>
    <w:p>
      <w:pPr>
        <w:pStyle w:val="ListParagraph"/>
        <w:numPr>
          <w:ilvl w:val="0"/>
          <w:numId w:val="10"/>
        </w:numPr>
        <w:spacing w:after="100"/>
      </w:pPr>
      <w:r>
        <w:rPr>
          <w:rFonts w:ascii="Calibri" w:cs="Calibri" w:eastAsia="Calibri" w:hAnsi="Calibri"/>
          <w:sz w:val="22"/>
          <w:szCs w:val="22"/>
        </w:rPr>
        <w:t xml:space="preserve">Track status (Open / In Progress / Remediated – Pending Verification / Closed – Verified / Accepted Risk) as work progresses — note that “Accepted Risk” is a legitimate outcome when leadership makes an informed decision not to remediate.</w:t>
      </w:r>
    </w:p>
    <w:p>
      <w:pPr>
        <w:pStyle w:val="Heading3"/>
        <w:spacing w:after="120" w:before="240"/>
      </w:pPr>
      <w:r>
        <w:t xml:space="preserve">Worked example</w:t>
      </w:r>
    </w:p>
    <w:p>
      <w:pPr>
        <w:spacing w:after="160" w:line="276"/>
      </w:pPr>
      <w:r>
        <w:rPr>
          <w:rFonts w:ascii="Calibri" w:cs="Calibri" w:eastAsia="Calibri" w:hAnsi="Calibri"/>
          <w:sz w:val="22"/>
          <w:szCs w:val="22"/>
        </w:rPr>
        <w:t xml:space="preserve">Finding F-001: “Impact identification (MAP 5.1) is performed for new AI systems but is not re-run when an existing system's use case materially changes.” Evidence: 2 of 5 sampled systems had expanded scope since their original impact worksheet with no update on file. Likelihood 3, Impact 4, Risk Score 12, Priority High. Recommended action: add a change-triggered re-assessment step to the AI system inventory process (GOVERN 1.6).</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Never write a finding as a personal opinion (“I think their monitoring is weak”) — always anchor to a specific subcategory and specific evidence, the same discipline a certification auditor would apply even though nothing here is being certified.</w:t>
      </w:r>
    </w:p>
    <w:p>
      <w:pPr>
        <w:pStyle w:val="ListParagraph"/>
        <w:numPr>
          <w:ilvl w:val="0"/>
          <w:numId w:val="2"/>
        </w:numPr>
        <w:spacing w:after="100"/>
      </w:pPr>
      <w:r>
        <w:rPr>
          <w:rFonts w:ascii="Calibri" w:cs="Calibri" w:eastAsia="Calibri" w:hAnsi="Calibri"/>
          <w:sz w:val="22"/>
          <w:szCs w:val="22"/>
        </w:rPr>
        <w:t xml:space="preserve">Don't inflate every finding to Critical just to get attention — an undifferentiated priority list is as useless as no prioritization at all.</w:t>
      </w:r>
    </w:p>
    <w:p>
      <w:pPr>
        <w:spacing w:after="200"/>
      </w:pPr>
    </w:p>
    <w:p>
      <w:pPr>
        <w:pStyle w:val="Heading2"/>
        <w:spacing w:after="150" w:before="300"/>
      </w:pPr>
      <w:r>
        <w:t xml:space="preserve">Walkthrough H: Building the Remediation Roadmap</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9 - Roadmap Tracker" in the NIST AI RMF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Convert prioritized gaps and findings into a resourced plan with real owners and dates.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Once the gap analysis and findings tracker are substantially complete.</w:t>
      </w:r>
    </w:p>
    <w:p>
      <w:pPr>
        <w:pStyle w:val="Heading3"/>
        <w:spacing w:after="120" w:before="240"/>
      </w:pPr>
      <w:r>
        <w:t xml:space="preserve">Steps</w:t>
      </w:r>
    </w:p>
    <w:p>
      <w:pPr>
        <w:pStyle w:val="ListParagraph"/>
        <w:numPr>
          <w:ilvl w:val="0"/>
          <w:numId w:val="11"/>
        </w:numPr>
        <w:spacing w:after="100"/>
      </w:pPr>
      <w:r>
        <w:rPr>
          <w:rFonts w:ascii="Calibri" w:cs="Calibri" w:eastAsia="Calibri" w:hAnsi="Calibri"/>
          <w:sz w:val="22"/>
          <w:szCs w:val="22"/>
        </w:rPr>
        <w:t xml:space="preserve">For each significant gap (Template 4) or finding (Template 6), add a row to Template 9 with a specific remediation action — not just “improve X.”</w:t>
      </w:r>
    </w:p>
    <w:p>
      <w:pPr>
        <w:pStyle w:val="ListParagraph"/>
        <w:numPr>
          <w:ilvl w:val="0"/>
          <w:numId w:val="11"/>
        </w:numPr>
        <w:spacing w:after="100"/>
      </w:pPr>
      <w:r>
        <w:rPr>
          <w:rFonts w:ascii="Calibri" w:cs="Calibri" w:eastAsia="Calibri" w:hAnsi="Calibri"/>
          <w:sz w:val="22"/>
          <w:szCs w:val="22"/>
        </w:rPr>
        <w:t xml:space="preserve">Assign a single accountable owner — shared ownership across a whole team tends to mean no one actually drives the work.</w:t>
      </w:r>
    </w:p>
    <w:p>
      <w:pPr>
        <w:pStyle w:val="ListParagraph"/>
        <w:numPr>
          <w:ilvl w:val="0"/>
          <w:numId w:val="11"/>
        </w:numPr>
        <w:spacing w:after="100"/>
      </w:pPr>
      <w:r>
        <w:rPr>
          <w:rFonts w:ascii="Calibri" w:cs="Calibri" w:eastAsia="Calibri" w:hAnsi="Calibri"/>
          <w:sz w:val="22"/>
          <w:szCs w:val="22"/>
        </w:rPr>
        <w:t xml:space="preserve">Set a realistic start date and target completion date, sequenced by priority and by dependencies between actions (e.g., an inventory mechanism, GOVERN 1.6, often needs to exist before other tracking-dependent actions can be verified).</w:t>
      </w:r>
    </w:p>
    <w:p>
      <w:pPr>
        <w:pStyle w:val="ListParagraph"/>
        <w:numPr>
          <w:ilvl w:val="0"/>
          <w:numId w:val="11"/>
        </w:numPr>
        <w:spacing w:after="100"/>
      </w:pPr>
      <w:r>
        <w:rPr>
          <w:rFonts w:ascii="Calibri" w:cs="Calibri" w:eastAsia="Calibri" w:hAnsi="Calibri"/>
          <w:sz w:val="22"/>
          <w:szCs w:val="22"/>
        </w:rPr>
        <w:t xml:space="preserve">Track percent complete and status over time; update the tracker at a regular cadence (e.g., monthly) rather than only at the next full reassessment.</w:t>
      </w:r>
    </w:p>
    <w:p>
      <w:pPr>
        <w:pStyle w:val="ListParagraph"/>
        <w:numPr>
          <w:ilvl w:val="0"/>
          <w:numId w:val="11"/>
        </w:numPr>
        <w:spacing w:after="100"/>
      </w:pPr>
      <w:r>
        <w:rPr>
          <w:rFonts w:ascii="Calibri" w:cs="Calibri" w:eastAsia="Calibri" w:hAnsi="Calibri"/>
          <w:sz w:val="22"/>
          <w:szCs w:val="22"/>
        </w:rPr>
        <w:t xml:space="preserve">Mark an action “Verified Complete” only once there is evidence the fix actually works — not just that a policy was updated or a meeting was held.</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roadmap with 40 equally-weighted action items and no sequencing is not a roadmap — sequence by priority and dependency, and be honest about what can realistically happen in parallel.</w:t>
      </w:r>
    </w:p>
    <w:p>
      <w:pPr>
        <w:spacing w:after="200"/>
      </w:pPr>
    </w:p>
    <w:p>
      <w:pPr>
        <w:pStyle w:val="Heading2"/>
        <w:spacing w:after="150" w:before="300"/>
      </w:pPr>
      <w:r>
        <w:t xml:space="preserve">Walkthrough I: Maintaining an AI Risk Register</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10 - Risk Register" in the NIST AI RMF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Give yourself (and future assessors) a living record of the organization's AI risk landscape to focus future assessments.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Updated at every assessment cycle, referenced when scoping the next one.</w:t>
      </w:r>
    </w:p>
    <w:p>
      <w:pPr>
        <w:pStyle w:val="Heading3"/>
        <w:spacing w:after="120" w:before="240"/>
      </w:pPr>
      <w:r>
        <w:t xml:space="preserve">Steps</w:t>
      </w:r>
    </w:p>
    <w:p>
      <w:pPr>
        <w:pStyle w:val="ListParagraph"/>
        <w:numPr>
          <w:ilvl w:val="0"/>
          <w:numId w:val="12"/>
        </w:numPr>
        <w:spacing w:after="100"/>
      </w:pPr>
      <w:r>
        <w:rPr>
          <w:rFonts w:ascii="Calibri" w:cs="Calibri" w:eastAsia="Calibri" w:hAnsi="Calibri"/>
          <w:sz w:val="22"/>
          <w:szCs w:val="22"/>
        </w:rPr>
        <w:t xml:space="preserve">Log every AI system in scope, its purpose, and a risk classification (individual impact, societal impact, operational, compliance/legal, security/privacy, or generative-AI-specific).</w:t>
      </w:r>
    </w:p>
    <w:p>
      <w:pPr>
        <w:pStyle w:val="ListParagraph"/>
        <w:numPr>
          <w:ilvl w:val="0"/>
          <w:numId w:val="12"/>
        </w:numPr>
        <w:spacing w:after="100"/>
      </w:pPr>
      <w:r>
        <w:rPr>
          <w:rFonts w:ascii="Calibri" w:cs="Calibri" w:eastAsia="Calibri" w:hAnsi="Calibri"/>
          <w:sz w:val="22"/>
          <w:szCs w:val="22"/>
        </w:rPr>
        <w:t xml:space="preserve">Record identified risks, existing controls, and a residual risk rating, pulling from the assessment's findings plus your own judgment.</w:t>
      </w:r>
    </w:p>
    <w:p>
      <w:pPr>
        <w:pStyle w:val="ListParagraph"/>
        <w:numPr>
          <w:ilvl w:val="0"/>
          <w:numId w:val="12"/>
        </w:numPr>
        <w:spacing w:after="100"/>
      </w:pPr>
      <w:r>
        <w:rPr>
          <w:rFonts w:ascii="Calibri" w:cs="Calibri" w:eastAsia="Calibri" w:hAnsi="Calibri"/>
          <w:sz w:val="22"/>
          <w:szCs w:val="22"/>
        </w:rPr>
        <w:t xml:space="preserve">Risk Rating calculates automatically as Likelihood × Impact; use it to sort and prioritize, not as an absolute number to defend to the decimal.</w:t>
      </w:r>
    </w:p>
    <w:p>
      <w:pPr>
        <w:pStyle w:val="ListParagraph"/>
        <w:numPr>
          <w:ilvl w:val="0"/>
          <w:numId w:val="12"/>
        </w:numPr>
        <w:spacing w:after="100"/>
      </w:pPr>
      <w:r>
        <w:rPr>
          <w:rFonts w:ascii="Calibri" w:cs="Calibri" w:eastAsia="Calibri" w:hAnsi="Calibri"/>
          <w:sz w:val="22"/>
          <w:szCs w:val="22"/>
        </w:rPr>
        <w:t xml:space="preserve">After each assessment cycle, update the register with new systems discovered, changes in risk rating, and any findings linked to specific systems.</w:t>
      </w:r>
    </w:p>
    <w:p>
      <w:pPr>
        <w:pStyle w:val="ListParagraph"/>
        <w:numPr>
          <w:ilvl w:val="0"/>
          <w:numId w:val="12"/>
        </w:numPr>
        <w:spacing w:after="100"/>
      </w:pPr>
      <w:r>
        <w:rPr>
          <w:rFonts w:ascii="Calibri" w:cs="Calibri" w:eastAsia="Calibri" w:hAnsi="Calibri"/>
          <w:sz w:val="22"/>
          <w:szCs w:val="22"/>
        </w:rPr>
        <w:t xml:space="preserve">Use this register at the planning stage of the next assessment (Template 1) to prioritize scope toward the highest-risk systems.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Treat this register as your assessment-side independent record, separate from any risk register the AI/product team maintains for its own purposes — compare the two rather than assuming they say the same thing.</w:t>
      </w:r>
    </w:p>
    <w:p>
      <w:pPr>
        <w:spacing w:after="200"/>
      </w:pPr>
    </w:p>
    <w:p>
      <w:pPr>
        <w:pStyle w:val="Heading2"/>
        <w:spacing w:after="150" w:before="300"/>
      </w:pPr>
      <w:r>
        <w:t xml:space="preserve">Walkthrough J: Applying the Generative AI Risk Supplement</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11 - GenAI Supplement" in the NIST AI RMF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Extend the core assessment to cover the 12 risks specific to, or heightened by, generative AI.</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Whenever generative AI is in scope — increasingly, on every assessment cycle.</w:t>
      </w:r>
    </w:p>
    <w:p>
      <w:pPr>
        <w:pStyle w:val="Heading3"/>
        <w:spacing w:after="120" w:before="240"/>
      </w:pPr>
      <w:r>
        <w:t xml:space="preserve">Steps</w:t>
      </w:r>
    </w:p>
    <w:p>
      <w:pPr>
        <w:pStyle w:val="ListParagraph"/>
        <w:numPr>
          <w:ilvl w:val="0"/>
          <w:numId w:val="13"/>
        </w:numPr>
        <w:spacing w:after="100"/>
      </w:pPr>
      <w:r>
        <w:rPr>
          <w:rFonts w:ascii="Calibri" w:cs="Calibri" w:eastAsia="Calibri" w:hAnsi="Calibri"/>
          <w:sz w:val="22"/>
          <w:szCs w:val="22"/>
        </w:rPr>
        <w:t xml:space="preserve">For each of the 12 pre-populated Generative AI Profile risks in Template 11, mark whether it is applicable to the AI systems in scope.</w:t>
      </w:r>
    </w:p>
    <w:p>
      <w:pPr>
        <w:pStyle w:val="ListParagraph"/>
        <w:numPr>
          <w:ilvl w:val="0"/>
          <w:numId w:val="13"/>
        </w:numPr>
        <w:spacing w:after="100"/>
      </w:pPr>
      <w:r>
        <w:rPr>
          <w:rFonts w:ascii="Calibri" w:cs="Calibri" w:eastAsia="Calibri" w:hAnsi="Calibri"/>
          <w:sz w:val="22"/>
          <w:szCs w:val="22"/>
        </w:rPr>
        <w:t xml:space="preserve">For each applicable risk, review the pre-mapped relevant AI RMF subcategories — use them as your starting point for evidence gathering, not as an exhaustive list.</w:t>
      </w:r>
    </w:p>
    <w:p>
      <w:pPr>
        <w:pStyle w:val="ListParagraph"/>
        <w:numPr>
          <w:ilvl w:val="0"/>
          <w:numId w:val="13"/>
        </w:numPr>
        <w:spacing w:after="100"/>
      </w:pPr>
      <w:r>
        <w:rPr>
          <w:rFonts w:ascii="Calibri" w:cs="Calibri" w:eastAsia="Calibri" w:hAnsi="Calibri"/>
          <w:sz w:val="22"/>
          <w:szCs w:val="22"/>
        </w:rPr>
        <w:t xml:space="preserve">Document current controls (e.g., retrieval-augmented generation with citation checking for confabulation risk, or content filters for obscene/abusive content risk).</w:t>
      </w:r>
    </w:p>
    <w:p>
      <w:pPr>
        <w:pStyle w:val="ListParagraph"/>
        <w:numPr>
          <w:ilvl w:val="0"/>
          <w:numId w:val="13"/>
        </w:numPr>
        <w:spacing w:after="100"/>
      </w:pPr>
      <w:r>
        <w:rPr>
          <w:rFonts w:ascii="Calibri" w:cs="Calibri" w:eastAsia="Calibri" w:hAnsi="Calibri"/>
          <w:sz w:val="22"/>
          <w:szCs w:val="22"/>
        </w:rPr>
        <w:t xml:space="preserve">Assess residual risk (Low/Medium/High) and assign an owner.</w:t>
      </w:r>
    </w:p>
    <w:p>
      <w:pPr>
        <w:pStyle w:val="ListParagraph"/>
        <w:numPr>
          <w:ilvl w:val="0"/>
          <w:numId w:val="13"/>
        </w:numPr>
        <w:spacing w:after="100"/>
      </w:pPr>
      <w:r>
        <w:rPr>
          <w:rFonts w:ascii="Calibri" w:cs="Calibri" w:eastAsia="Calibri" w:hAnsi="Calibri"/>
          <w:sz w:val="22"/>
          <w:szCs w:val="22"/>
        </w:rPr>
        <w:t xml:space="preserve">Feed any significant residual risk into Template 6 (Findings) and Template 10 (AI Risk Register) as you would any other finding.</w:t>
      </w:r>
    </w:p>
    <w:p>
      <w:pPr>
        <w:pStyle w:val="Heading3"/>
        <w:spacing w:after="120" w:before="240"/>
      </w:pPr>
      <w:r>
        <w:t xml:space="preserve">Worked example</w:t>
      </w:r>
    </w:p>
    <w:p>
      <w:pPr>
        <w:spacing w:after="160" w:line="276"/>
      </w:pPr>
      <w:r>
        <w:rPr>
          <w:rFonts w:ascii="Calibri" w:cs="Calibri" w:eastAsia="Calibri" w:hAnsi="Calibri"/>
          <w:sz w:val="22"/>
          <w:szCs w:val="22"/>
        </w:rPr>
        <w:t xml:space="preserve">The organization's internal support chatbot uses a third-party foundation model. Confabulation is marked applicable — the chatbot has, on at least one occasion, cited a nonexistent internal policy. Current controls: none beyond a generic disclaimer. Residual risk: Medium. This becomes Finding F-014 in Template 6, mapped to MAP 2.2 and MEASURE 2.5.</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Don't treat the Generative AI Profile as a one-time supplement — as generative AI use expands inside most organizations, its risks tend to appear in new places (a new internal tool, a new customer-facing feature) between full reassessment cycles; revisit Template 11 whenever a new generative AI use case launches, not just on the regular schedule.</w:t>
      </w:r>
    </w:p>
    <w:p>
      <w:pPr>
        <w:spacing w:after="200"/>
      </w:pPr>
    </w:p>
    <w:p>
      <w:pPr>
        <w:pStyle w:val="Heading2"/>
        <w:spacing w:after="150" w:before="300"/>
      </w:pPr>
      <w:r>
        <w:t xml:space="preserve">Walkthrough K: Writing the Assessment Report</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8 - Report Summary" in the NIST AI RMF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Produce a single, honest record of the assessment that leadership can act on — with no certification decision to render.</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Once the gap analysis, findings, and roadmap are complete.</w:t>
      </w:r>
    </w:p>
    <w:p>
      <w:pPr>
        <w:pStyle w:val="Heading3"/>
        <w:spacing w:after="120" w:before="240"/>
      </w:pPr>
      <w:r>
        <w:t xml:space="preserve">Steps</w:t>
      </w:r>
    </w:p>
    <w:p>
      <w:pPr>
        <w:pStyle w:val="ListParagraph"/>
        <w:numPr>
          <w:ilvl w:val="0"/>
          <w:numId w:val="14"/>
        </w:numPr>
        <w:spacing w:after="100"/>
      </w:pPr>
      <w:r>
        <w:rPr>
          <w:rFonts w:ascii="Calibri" w:cs="Calibri" w:eastAsia="Calibri" w:hAnsi="Calibri"/>
          <w:sz w:val="22"/>
          <w:szCs w:val="22"/>
        </w:rPr>
        <w:t xml:space="preserve">Complete the header fields in Template 8: organization, scope, criteria, dates, and team.</w:t>
      </w:r>
    </w:p>
    <w:p>
      <w:pPr>
        <w:pStyle w:val="ListParagraph"/>
        <w:numPr>
          <w:ilvl w:val="0"/>
          <w:numId w:val="14"/>
        </w:numPr>
        <w:spacing w:after="100"/>
      </w:pPr>
      <w:r>
        <w:rPr>
          <w:rFonts w:ascii="Calibri" w:cs="Calibri" w:eastAsia="Calibri" w:hAnsi="Calibri"/>
          <w:sz w:val="22"/>
          <w:szCs w:val="22"/>
        </w:rPr>
        <w:t xml:space="preserve">Write an executive summary: overall self-assessed posture across the four Functions, the number and priority mix of findings, and the shape of the roadmap.</w:t>
      </w:r>
    </w:p>
    <w:p>
      <w:pPr>
        <w:pStyle w:val="ListParagraph"/>
        <w:numPr>
          <w:ilvl w:val="0"/>
          <w:numId w:val="14"/>
        </w:numPr>
        <w:spacing w:after="100"/>
      </w:pPr>
      <w:r>
        <w:rPr>
          <w:rFonts w:ascii="Calibri" w:cs="Calibri" w:eastAsia="Calibri" w:hAnsi="Calibri"/>
          <w:sz w:val="22"/>
          <w:szCs w:val="22"/>
        </w:rPr>
        <w:t xml:space="preserve">List findings by priority, pulling directly from Template 6 — do not soften findings that were already discussed at the stakeholder debrief.</w:t>
      </w:r>
    </w:p>
    <w:p>
      <w:pPr>
        <w:pStyle w:val="ListParagraph"/>
        <w:numPr>
          <w:ilvl w:val="0"/>
          <w:numId w:val="14"/>
        </w:numPr>
        <w:spacing w:after="100"/>
      </w:pPr>
      <w:r>
        <w:rPr>
          <w:rFonts w:ascii="Calibri" w:cs="Calibri" w:eastAsia="Calibri" w:hAnsi="Calibri"/>
          <w:sz w:val="22"/>
          <w:szCs w:val="22"/>
        </w:rPr>
        <w:t xml:space="preserve">Summarize which Functions/Categories were actually covered versus planned, and disclose any limitations (e.g., a stakeholder unavailable, a system not accessible).</w:t>
      </w:r>
    </w:p>
    <w:p>
      <w:pPr>
        <w:pStyle w:val="ListParagraph"/>
        <w:numPr>
          <w:ilvl w:val="0"/>
          <w:numId w:val="14"/>
        </w:numPr>
        <w:spacing w:after="100"/>
      </w:pPr>
      <w:r>
        <w:rPr>
          <w:rFonts w:ascii="Calibri" w:cs="Calibri" w:eastAsia="Calibri" w:hAnsi="Calibri"/>
          <w:sz w:val="22"/>
          <w:szCs w:val="22"/>
        </w:rPr>
        <w:t xml:space="preserve">State recommended next steps clearly — typically the top few roadmap items and the proposed reassessment date.</w:t>
      </w:r>
    </w:p>
    <w:p>
      <w:pPr>
        <w:pStyle w:val="ListParagraph"/>
        <w:numPr>
          <w:ilvl w:val="0"/>
          <w:numId w:val="14"/>
        </w:numPr>
        <w:spacing w:after="100"/>
      </w:pPr>
      <w:r>
        <w:rPr>
          <w:rFonts w:ascii="Calibri" w:cs="Calibri" w:eastAsia="Calibri" w:hAnsi="Calibri"/>
          <w:sz w:val="22"/>
          <w:szCs w:val="22"/>
        </w:rPr>
        <w:t xml:space="preserve">Have the assessment lead and executive sponsor sign and date the report — there is no external technical reviewer, because there is no certification body to submit it to.</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Resist importing certification-audit language (“we recommend certification,” “major nonconformity”) into this report — it misrepresents what has actually happened and can create false confidence for anyone reading the report who does not understand AI RMF has no certification scheme.</w:t>
      </w:r>
    </w:p>
    <w:p>
      <w:pPr>
        <w:spacing w:after="200"/>
      </w:pPr>
    </w:p>
    <w:p>
      <w:pPr>
        <w:pStyle w:val="Heading2"/>
        <w:spacing w:after="150" w:before="300"/>
      </w:pPr>
      <w:r>
        <w:t xml:space="preserve">Walkthrough L: Scheduling Reassessment</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12 - Reassessment" in the NIST AI RMF Assessment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Make sure every Function and Category gets revisited on a sensible cadence — not left untouched until something goes wrong.</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Immediately after the first assessment report is issued, and reviewed after every subsequent cycle.</w:t>
      </w:r>
    </w:p>
    <w:p>
      <w:pPr>
        <w:pStyle w:val="Heading3"/>
        <w:spacing w:after="120" w:before="240"/>
      </w:pPr>
      <w:r>
        <w:t xml:space="preserve">Steps</w:t>
      </w:r>
    </w:p>
    <w:p>
      <w:pPr>
        <w:pStyle w:val="ListParagraph"/>
        <w:numPr>
          <w:ilvl w:val="0"/>
          <w:numId w:val="15"/>
        </w:numPr>
        <w:spacing w:after="100"/>
      </w:pPr>
      <w:r>
        <w:rPr>
          <w:rFonts w:ascii="Calibri" w:cs="Calibri" w:eastAsia="Calibri" w:hAnsi="Calibri"/>
          <w:sz w:val="22"/>
          <w:szCs w:val="22"/>
        </w:rPr>
        <w:t xml:space="preserve">List all 19 Categories down the rows of Template 12, with the date each was last assessed.</w:t>
      </w:r>
    </w:p>
    <w:p>
      <w:pPr>
        <w:pStyle w:val="ListParagraph"/>
        <w:numPr>
          <w:ilvl w:val="0"/>
          <w:numId w:val="15"/>
        </w:numPr>
        <w:spacing w:after="100"/>
      </w:pPr>
      <w:r>
        <w:rPr>
          <w:rFonts w:ascii="Calibri" w:cs="Calibri" w:eastAsia="Calibri" w:hAnsi="Calibri"/>
          <w:sz w:val="22"/>
          <w:szCs w:val="22"/>
        </w:rPr>
        <w:t xml:space="preserve">Set a Next Scheduled date for each, weighted toward higher-risk Categories and any with recent Major gaps.</w:t>
      </w:r>
    </w:p>
    <w:p>
      <w:pPr>
        <w:pStyle w:val="ListParagraph"/>
        <w:numPr>
          <w:ilvl w:val="0"/>
          <w:numId w:val="15"/>
        </w:numPr>
        <w:spacing w:after="100"/>
      </w:pPr>
      <w:r>
        <w:rPr>
          <w:rFonts w:ascii="Calibri" w:cs="Calibri" w:eastAsia="Calibri" w:hAnsi="Calibri"/>
          <w:sz w:val="22"/>
          <w:szCs w:val="22"/>
        </w:rPr>
        <w:t xml:space="preserve">Record the trigger type for each planned reassessment: Scheduled Cycle, Major AI System Change, New Generative AI Deployment, Regulatory Change, or Prior Finding Follow-up.</w:t>
      </w:r>
    </w:p>
    <w:p>
      <w:pPr>
        <w:pStyle w:val="ListParagraph"/>
        <w:numPr>
          <w:ilvl w:val="0"/>
          <w:numId w:val="15"/>
        </w:numPr>
        <w:spacing w:after="100"/>
      </w:pPr>
      <w:r>
        <w:rPr>
          <w:rFonts w:ascii="Calibri" w:cs="Calibri" w:eastAsia="Calibri" w:hAnsi="Calibri"/>
          <w:sz w:val="22"/>
          <w:szCs w:val="22"/>
        </w:rPr>
        <w:t xml:space="preserve">Add ad hoc rows whenever an unscheduled trigger occurs — a new generative AI feature launch, for instance, should not wait for the next scheduled cycle to get a Template 11 review.</w:t>
      </w:r>
    </w:p>
    <w:p>
      <w:pPr>
        <w:pStyle w:val="ListParagraph"/>
        <w:numPr>
          <w:ilvl w:val="0"/>
          <w:numId w:val="15"/>
        </w:numPr>
        <w:spacing w:after="100"/>
      </w:pPr>
      <w:r>
        <w:rPr>
          <w:rFonts w:ascii="Calibri" w:cs="Calibri" w:eastAsia="Calibri" w:hAnsi="Calibri"/>
          <w:sz w:val="22"/>
          <w:szCs w:val="22"/>
        </w:rPr>
        <w:t xml:space="preserve">Review and update this schedule after every assessment cycle, incorporating what you learned about how quickly things changed since the last one.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reassessment schedule that only ever revisits the easy Categories and never returns to one with a prior Major gap will not tell you whether that gap actually closed — build revisits of past Major/Moderate gaps into the plan explicitly.</w:t>
      </w:r>
    </w:p>
    <w:p>
      <w:pPr>
        <w:pStyle w:val="ListParagraph"/>
        <w:numPr>
          <w:ilvl w:val="0"/>
          <w:numId w:val="2"/>
        </w:numPr>
        <w:spacing w:after="100"/>
      </w:pPr>
      <w:r>
        <w:rPr>
          <w:rFonts w:ascii="Calibri" w:cs="Calibri" w:eastAsia="Calibri" w:hAnsi="Calibri"/>
          <w:sz w:val="22"/>
          <w:szCs w:val="22"/>
        </w:rPr>
        <w:t xml:space="preserve">As generative AI use grows inside most organizations, a purely calendar-based schedule (e.g., “annually”) tends to miss risk introduced between cycles — pair the calendar cadence with change-triggered reassessment.</w:t>
      </w:r>
    </w:p>
    <w:p>
      <w:pPr>
        <w:spacing w:after="200"/>
      </w:pPr>
    </w:p>
    <w:p>
      <w:r>
        <w:br w:type="page"/>
      </w:r>
    </w:p>
    <w:p>
      <w:pPr>
        <w:pStyle w:val="Heading1"/>
        <w:spacing w:after="200" w:before="400"/>
      </w:pPr>
      <w:r>
        <w:t xml:space="preserve">Part Five – Reusing the Toolkit for Future Reassessments</w:t>
      </w:r>
    </w:p>
    <w:p>
      <w:pPr>
        <w:pStyle w:val="Heading2"/>
        <w:spacing w:after="150" w:before="300"/>
      </w:pPr>
      <w:r>
        <w:t xml:space="preserve">5.1 Treat the Toolkit as a Living System, Not a One-Off Form</w:t>
      </w:r>
    </w:p>
    <w:p>
      <w:pPr>
        <w:pStyle w:val="ListParagraph"/>
        <w:numPr>
          <w:ilvl w:val="0"/>
          <w:numId w:val="2"/>
        </w:numPr>
        <w:spacing w:after="100"/>
      </w:pPr>
      <w:r>
        <w:rPr>
          <w:rFonts w:ascii="Calibri" w:cs="Calibri" w:eastAsia="Calibri" w:hAnsi="Calibri"/>
          <w:sz w:val="22"/>
          <w:szCs w:val="22"/>
        </w:rPr>
        <w:t xml:space="preserve">Version-control the workbook (e.g., filename or tab date-stamped per cycle) so you can compare current-state scores year over year.</w:t>
      </w:r>
    </w:p>
    <w:p>
      <w:pPr>
        <w:pStyle w:val="ListParagraph"/>
        <w:numPr>
          <w:ilvl w:val="0"/>
          <w:numId w:val="2"/>
        </w:numPr>
        <w:spacing w:after="100"/>
      </w:pPr>
      <w:r>
        <w:rPr>
          <w:rFonts w:ascii="Calibri" w:cs="Calibri" w:eastAsia="Calibri" w:hAnsi="Calibri"/>
          <w:sz w:val="22"/>
          <w:szCs w:val="22"/>
        </w:rPr>
        <w:t xml:space="preserve">Carry forward open items from Template 9 into the next cycle's Template 1 scope — never start a new assessment blind to unresolved history.</w:t>
      </w:r>
    </w:p>
    <w:p>
      <w:pPr>
        <w:pStyle w:val="ListParagraph"/>
        <w:numPr>
          <w:ilvl w:val="0"/>
          <w:numId w:val="2"/>
        </w:numPr>
        <w:spacing w:after="100"/>
      </w:pPr>
      <w:r>
        <w:rPr>
          <w:rFonts w:ascii="Calibri" w:cs="Calibri" w:eastAsia="Calibri" w:hAnsi="Calibri"/>
          <w:sz w:val="22"/>
          <w:szCs w:val="22"/>
        </w:rPr>
        <w:t xml:space="preserve">Recalibrate target states each cycle using Template 10's risk register — new or higher-risk AI systems, especially generative AI, may justify raising targets in relevant subcategories.</w:t>
      </w:r>
    </w:p>
    <w:p>
      <w:pPr>
        <w:pStyle w:val="ListParagraph"/>
        <w:numPr>
          <w:ilvl w:val="0"/>
          <w:numId w:val="2"/>
        </w:numPr>
        <w:spacing w:after="100"/>
      </w:pPr>
      <w:r>
        <w:rPr>
          <w:rFonts w:ascii="Calibri" w:cs="Calibri" w:eastAsia="Calibri" w:hAnsi="Calibri"/>
          <w:sz w:val="22"/>
          <w:szCs w:val="22"/>
        </w:rPr>
        <w:t xml:space="preserve">Update Template 2's subcategory reference text if NIST revises the Framework — NIST has stated the AI RMF ecosystem is being actively updated.</w:t>
      </w:r>
    </w:p>
    <w:p>
      <w:pPr>
        <w:pStyle w:val="Heading2"/>
        <w:spacing w:after="150" w:before="300"/>
      </w:pPr>
      <w:r>
        <w:t xml:space="preserve">5.2 Especially: Reassessing as Generative AI Use Grows</w:t>
      </w:r>
    </w:p>
    <w:p>
      <w:pPr>
        <w:spacing w:after="160" w:line="276"/>
      </w:pPr>
      <w:r>
        <w:rPr>
          <w:rFonts w:ascii="Calibri" w:cs="Calibri" w:eastAsia="Calibri" w:hAnsi="Calibri"/>
          <w:sz w:val="22"/>
          <w:szCs w:val="22"/>
        </w:rPr>
        <w:t xml:space="preserve">Generative AI tends to enter organizations faster than formal AI governance processes can track it — through individual teams adopting tools, through vendor products quietly adding generative features, and through experimentation that becomes production without a formal launch. Two practices keep the toolkit useful as this happens:</w:t>
      </w:r>
    </w:p>
    <w:p>
      <w:pPr>
        <w:pStyle w:val="ListParagraph"/>
        <w:numPr>
          <w:ilvl w:val="0"/>
          <w:numId w:val="2"/>
        </w:numPr>
        <w:spacing w:after="100"/>
      </w:pPr>
      <w:r>
        <w:rPr>
          <w:rFonts w:ascii="Calibri" w:cs="Calibri" w:eastAsia="Calibri" w:hAnsi="Calibri"/>
          <w:sz w:val="22"/>
          <w:szCs w:val="22"/>
        </w:rPr>
        <w:t xml:space="preserve">Treat Template 11 (Generative AI Risk Supplement) as a rolling checklist, not a once-per-cycle exercise — revisit it whenever a new generative AI use case is identified, per Walkthrough J.</w:t>
      </w:r>
    </w:p>
    <w:p>
      <w:pPr>
        <w:pStyle w:val="ListParagraph"/>
        <w:numPr>
          <w:ilvl w:val="0"/>
          <w:numId w:val="2"/>
        </w:numPr>
        <w:spacing w:after="100"/>
      </w:pPr>
      <w:r>
        <w:rPr>
          <w:rFonts w:ascii="Calibri" w:cs="Calibri" w:eastAsia="Calibri" w:hAnsi="Calibri"/>
          <w:sz w:val="22"/>
          <w:szCs w:val="22"/>
        </w:rPr>
        <w:t xml:space="preserve">Keep Template 10 (AI Risk Register) as the single source of truth for “what AI systems exist,” including generative-AI-specific entries, so a new deployment doesn't fall through the cracks between formal assessment cycles.</w:t>
      </w:r>
    </w:p>
    <w:p>
      <w:pPr>
        <w:pStyle w:val="Heading2"/>
        <w:spacing w:after="150" w:before="300"/>
      </w:pPr>
      <w:r>
        <w:t xml:space="preserve">5.3 Growing From Beginner to Confident Assessor</w:t>
      </w:r>
    </w:p>
    <w:p>
      <w:pPr>
        <w:pStyle w:val="ListParagraph"/>
        <w:numPr>
          <w:ilvl w:val="0"/>
          <w:numId w:val="2"/>
        </w:numPr>
        <w:spacing w:after="100"/>
      </w:pPr>
      <w:r>
        <w:rPr>
          <w:rFonts w:ascii="Calibri" w:cs="Calibri" w:eastAsia="Calibri" w:hAnsi="Calibri"/>
          <w:sz w:val="22"/>
          <w:szCs w:val="22"/>
        </w:rPr>
        <w:t xml:space="preserve">Shadow a more experienced assessor on your first one or two cycles before leading one yourself.</w:t>
      </w:r>
    </w:p>
    <w:p>
      <w:pPr>
        <w:pStyle w:val="ListParagraph"/>
        <w:numPr>
          <w:ilvl w:val="0"/>
          <w:numId w:val="2"/>
        </w:numPr>
        <w:spacing w:after="100"/>
      </w:pPr>
      <w:r>
        <w:rPr>
          <w:rFonts w:ascii="Calibri" w:cs="Calibri" w:eastAsia="Calibri" w:hAnsi="Calibri"/>
          <w:sz w:val="22"/>
          <w:szCs w:val="22"/>
        </w:rPr>
        <w:t xml:space="preserve">After each cycle, do a short personal retrospective: which interview questions produced the most useful evidence? Which scores were hardest to justify, and why?</w:t>
      </w:r>
    </w:p>
    <w:p>
      <w:pPr>
        <w:pStyle w:val="ListParagraph"/>
        <w:numPr>
          <w:ilvl w:val="0"/>
          <w:numId w:val="2"/>
        </w:numPr>
        <w:spacing w:after="100"/>
      </w:pPr>
      <w:r>
        <w:rPr>
          <w:rFonts w:ascii="Calibri" w:cs="Calibri" w:eastAsia="Calibri" w:hAnsi="Calibri"/>
          <w:sz w:val="22"/>
          <w:szCs w:val="22"/>
        </w:rPr>
        <w:t xml:space="preserve">Keep building your own bank of good/bad example finding write-ups — nothing improves finding-writing faster than reviewing real examples.</w:t>
      </w:r>
    </w:p>
    <w:p>
      <w:pPr>
        <w:pStyle w:val="ListParagraph"/>
        <w:numPr>
          <w:ilvl w:val="0"/>
          <w:numId w:val="2"/>
        </w:numPr>
        <w:spacing w:after="100"/>
      </w:pPr>
      <w:r>
        <w:rPr>
          <w:rFonts w:ascii="Calibri" w:cs="Calibri" w:eastAsia="Calibri" w:hAnsi="Calibri"/>
          <w:sz w:val="22"/>
          <w:szCs w:val="22"/>
        </w:rPr>
        <w:t xml:space="preserve">Stay current: AI RMF, the Generative AI Profile, and AI regulation generally are young and moving fast — revisit airc.nist.gov periodically for updates to the Framework, the Playbook, and NIST's crosswalk guidance.</w:t>
      </w:r>
    </w:p>
    <w:p>
      <w:r>
        <w:br w:type="page"/>
      </w:r>
    </w:p>
    <w:p>
      <w:pPr>
        <w:pStyle w:val="Heading1"/>
        <w:spacing w:after="200" w:before="400"/>
      </w:pPr>
      <w:r>
        <w:t xml:space="preserve">Glossary</w:t>
      </w:r>
    </w:p>
    <w:p>
      <w:pPr>
        <w:spacing w:after="160" w:line="276"/>
      </w:pPr>
      <w:r>
        <w:rPr>
          <w:rFonts w:ascii="Calibri" w:cs="Calibri" w:eastAsia="Calibri" w:hAnsi="Calibri"/>
          <w:b/>
          <w:bCs/>
          <w:i w:val="false"/>
          <w:iCs w:val="false"/>
          <w:sz w:val="22"/>
          <w:szCs w:val="22"/>
        </w:rPr>
        <w:t xml:space="preserve">AI RMF: </w:t>
      </w:r>
      <w:r>
        <w:rPr>
          <w:rFonts w:ascii="Calibri" w:cs="Calibri" w:eastAsia="Calibri" w:hAnsi="Calibri"/>
          <w:b w:val="false"/>
          <w:bCs w:val="false"/>
          <w:i w:val="false"/>
          <w:iCs w:val="false"/>
          <w:sz w:val="22"/>
          <w:szCs w:val="22"/>
        </w:rPr>
        <w:t xml:space="preserve">The NIST AI Risk Management Framework (AI RMF 1.0 / NIST AI 100-1), a voluntary framework published January 26, 2023, to help organizations manage risks of designing, developing, deploying, or using AI systems.</w:t>
      </w:r>
    </w:p>
    <w:p>
      <w:pPr>
        <w:spacing w:after="160" w:line="276"/>
      </w:pPr>
      <w:r>
        <w:rPr>
          <w:rFonts w:ascii="Calibri" w:cs="Calibri" w:eastAsia="Calibri" w:hAnsi="Calibri"/>
          <w:b/>
          <w:bCs/>
          <w:i w:val="false"/>
          <w:iCs w:val="false"/>
          <w:sz w:val="22"/>
          <w:szCs w:val="22"/>
        </w:rPr>
        <w:t xml:space="preserve">AI Actor: </w:t>
      </w:r>
      <w:r>
        <w:rPr>
          <w:rFonts w:ascii="Calibri" w:cs="Calibri" w:eastAsia="Calibri" w:hAnsi="Calibri"/>
          <w:b w:val="false"/>
          <w:bCs w:val="false"/>
          <w:i w:val="false"/>
          <w:iCs w:val="false"/>
          <w:sz w:val="22"/>
          <w:szCs w:val="22"/>
        </w:rPr>
        <w:t xml:space="preserve">Anyone playing an active role in the AI lifecycle, including design, development, deployment, operation, evaluation, and use — see Appendix A of the AI RMF for the full list.</w:t>
      </w:r>
    </w:p>
    <w:p>
      <w:pPr>
        <w:spacing w:after="160" w:line="276"/>
      </w:pPr>
      <w:r>
        <w:rPr>
          <w:rFonts w:ascii="Calibri" w:cs="Calibri" w:eastAsia="Calibri" w:hAnsi="Calibri"/>
          <w:b/>
          <w:bCs/>
          <w:i w:val="false"/>
          <w:iCs w:val="false"/>
          <w:sz w:val="22"/>
          <w:szCs w:val="22"/>
        </w:rPr>
        <w:t xml:space="preserve">Assessment criteria: </w:t>
      </w:r>
      <w:r>
        <w:rPr>
          <w:rFonts w:ascii="Calibri" w:cs="Calibri" w:eastAsia="Calibri" w:hAnsi="Calibri"/>
          <w:b w:val="false"/>
          <w:bCs w:val="false"/>
          <w:i w:val="false"/>
          <w:iCs w:val="false"/>
          <w:sz w:val="22"/>
          <w:szCs w:val="22"/>
        </w:rPr>
        <w:t xml:space="preserve">The reference an assessor compares evidence against — for AI RMF, this is the Framework's Functions/Categories/Subcategories plus the organization's own AI governance documentation.</w:t>
      </w:r>
    </w:p>
    <w:p>
      <w:pPr>
        <w:spacing w:after="160" w:line="276"/>
      </w:pPr>
      <w:r>
        <w:rPr>
          <w:rFonts w:ascii="Calibri" w:cs="Calibri" w:eastAsia="Calibri" w:hAnsi="Calibri"/>
          <w:b/>
          <w:bCs/>
          <w:i w:val="false"/>
          <w:iCs w:val="false"/>
          <w:sz w:val="22"/>
          <w:szCs w:val="22"/>
        </w:rPr>
        <w:t xml:space="preserve">Assessment evidence: </w:t>
      </w:r>
      <w:r>
        <w:rPr>
          <w:rFonts w:ascii="Calibri" w:cs="Calibri" w:eastAsia="Calibri" w:hAnsi="Calibri"/>
          <w:b w:val="false"/>
          <w:bCs w:val="false"/>
          <w:i w:val="false"/>
          <w:iCs w:val="false"/>
          <w:sz w:val="22"/>
          <w:szCs w:val="22"/>
        </w:rPr>
        <w:t xml:space="preserve">Records, statements of fact, or other verifiable information relevant to the assessment criteria. Should be objective, not opinion.</w:t>
      </w:r>
    </w:p>
    <w:p>
      <w:pPr>
        <w:spacing w:after="160" w:line="276"/>
      </w:pPr>
      <w:r>
        <w:rPr>
          <w:rFonts w:ascii="Calibri" w:cs="Calibri" w:eastAsia="Calibri" w:hAnsi="Calibri"/>
          <w:b/>
          <w:bCs/>
          <w:i w:val="false"/>
          <w:iCs w:val="false"/>
          <w:sz w:val="22"/>
          <w:szCs w:val="22"/>
        </w:rPr>
        <w:t xml:space="preserve">Current-state score: </w:t>
      </w:r>
      <w:r>
        <w:rPr>
          <w:rFonts w:ascii="Calibri" w:cs="Calibri" w:eastAsia="Calibri" w:hAnsi="Calibri"/>
          <w:b w:val="false"/>
          <w:bCs w:val="false"/>
          <w:i w:val="false"/>
          <w:iCs w:val="false"/>
          <w:sz w:val="22"/>
          <w:szCs w:val="22"/>
        </w:rPr>
        <w:t xml:space="preserve">This toolkit's own rating (0-4) of how mature an organization's practice is against a given subcategory today. Not an official NIST scale.</w:t>
      </w:r>
    </w:p>
    <w:p>
      <w:pPr>
        <w:spacing w:after="160" w:line="276"/>
      </w:pPr>
      <w:r>
        <w:rPr>
          <w:rFonts w:ascii="Calibri" w:cs="Calibri" w:eastAsia="Calibri" w:hAnsi="Calibri"/>
          <w:b/>
          <w:bCs/>
          <w:i w:val="false"/>
          <w:iCs w:val="false"/>
          <w:sz w:val="22"/>
          <w:szCs w:val="22"/>
        </w:rPr>
        <w:t xml:space="preserve">Gap: </w:t>
      </w:r>
      <w:r>
        <w:rPr>
          <w:rFonts w:ascii="Calibri" w:cs="Calibri" w:eastAsia="Calibri" w:hAnsi="Calibri"/>
          <w:b w:val="false"/>
          <w:bCs w:val="false"/>
          <w:i w:val="false"/>
          <w:iCs w:val="false"/>
          <w:sz w:val="22"/>
          <w:szCs w:val="22"/>
        </w:rPr>
        <w:t xml:space="preserve">The difference between an organization's current-state score and its target-state score for a given subcategory.</w:t>
      </w:r>
    </w:p>
    <w:p>
      <w:pPr>
        <w:spacing w:after="160" w:line="276"/>
      </w:pPr>
      <w:r>
        <w:rPr>
          <w:rFonts w:ascii="Calibri" w:cs="Calibri" w:eastAsia="Calibri" w:hAnsi="Calibri"/>
          <w:b/>
          <w:bCs/>
          <w:i w:val="false"/>
          <w:iCs w:val="false"/>
          <w:sz w:val="22"/>
          <w:szCs w:val="22"/>
        </w:rPr>
        <w:t xml:space="preserve">Generative AI Profile: </w:t>
      </w:r>
      <w:r>
        <w:rPr>
          <w:rFonts w:ascii="Calibri" w:cs="Calibri" w:eastAsia="Calibri" w:hAnsi="Calibri"/>
          <w:b w:val="false"/>
          <w:bCs w:val="false"/>
          <w:i w:val="false"/>
          <w:iCs w:val="false"/>
          <w:sz w:val="22"/>
          <w:szCs w:val="22"/>
        </w:rPr>
        <w:t xml:space="preserve">NIST AI 600-1, published July 26, 2024, applying the AI RMF's four functions to generative AI specifically and cataloging 12 GAI-specific risks.</w:t>
      </w:r>
    </w:p>
    <w:p>
      <w:pPr>
        <w:spacing w:after="160" w:line="276"/>
      </w:pPr>
      <w:r>
        <w:rPr>
          <w:rFonts w:ascii="Calibri" w:cs="Calibri" w:eastAsia="Calibri" w:hAnsi="Calibri"/>
          <w:b/>
          <w:bCs/>
          <w:i w:val="false"/>
          <w:iCs w:val="false"/>
          <w:sz w:val="22"/>
          <w:szCs w:val="22"/>
        </w:rPr>
        <w:t xml:space="preserve">Maturity model: </w:t>
      </w:r>
      <w:r>
        <w:rPr>
          <w:rFonts w:ascii="Calibri" w:cs="Calibri" w:eastAsia="Calibri" w:hAnsi="Calibri"/>
          <w:b w:val="false"/>
          <w:bCs w:val="false"/>
          <w:i w:val="false"/>
          <w:iCs w:val="false"/>
          <w:sz w:val="22"/>
          <w:szCs w:val="22"/>
        </w:rPr>
        <w:t xml:space="preserve">A structured scale describing how developed a practice or capability is. AI RMF itself does not define one; any maturity scale applied to it (including this toolkit's) is a third-party interpretive layer.</w:t>
      </w:r>
    </w:p>
    <w:p>
      <w:pPr>
        <w:spacing w:after="160" w:line="276"/>
      </w:pPr>
      <w:r>
        <w:rPr>
          <w:rFonts w:ascii="Calibri" w:cs="Calibri" w:eastAsia="Calibri" w:hAnsi="Calibri"/>
          <w:b/>
          <w:bCs/>
          <w:i w:val="false"/>
          <w:iCs w:val="false"/>
          <w:sz w:val="22"/>
          <w:szCs w:val="22"/>
        </w:rPr>
        <w:t xml:space="preserve">Playbook: </w:t>
      </w:r>
      <w:r>
        <w:rPr>
          <w:rFonts w:ascii="Calibri" w:cs="Calibri" w:eastAsia="Calibri" w:hAnsi="Calibri"/>
          <w:b w:val="false"/>
          <w:bCs w:val="false"/>
          <w:i w:val="false"/>
          <w:iCs w:val="false"/>
          <w:sz w:val="22"/>
          <w:szCs w:val="22"/>
        </w:rPr>
        <w:t xml:space="preserve">A companion, non-normative NIST resource offering suggested (voluntary) actions and references tied to each subcategory. Explicitly not a checklist.</w:t>
      </w:r>
    </w:p>
    <w:p>
      <w:pPr>
        <w:spacing w:after="160" w:line="276"/>
      </w:pPr>
      <w:r>
        <w:rPr>
          <w:rFonts w:ascii="Calibri" w:cs="Calibri" w:eastAsia="Calibri" w:hAnsi="Calibri"/>
          <w:b/>
          <w:bCs/>
          <w:i w:val="false"/>
          <w:iCs w:val="false"/>
          <w:sz w:val="22"/>
          <w:szCs w:val="22"/>
        </w:rPr>
        <w:t xml:space="preserve">Priority: </w:t>
      </w:r>
      <w:r>
        <w:rPr>
          <w:rFonts w:ascii="Calibri" w:cs="Calibri" w:eastAsia="Calibri" w:hAnsi="Calibri"/>
          <w:b w:val="false"/>
          <w:bCs w:val="false"/>
          <w:i w:val="false"/>
          <w:iCs w:val="false"/>
          <w:sz w:val="22"/>
          <w:szCs w:val="22"/>
        </w:rPr>
        <w:t xml:space="preserve">This toolkit's own label (Critical/High/Medium/Low) for how urgently a finding or gap should be addressed. Not an official NIST severity grade.</w:t>
      </w:r>
    </w:p>
    <w:p>
      <w:pPr>
        <w:spacing w:after="160" w:line="276"/>
      </w:pPr>
      <w:r>
        <w:rPr>
          <w:rFonts w:ascii="Calibri" w:cs="Calibri" w:eastAsia="Calibri" w:hAnsi="Calibri"/>
          <w:b/>
          <w:bCs/>
          <w:i w:val="false"/>
          <w:iCs w:val="false"/>
          <w:sz w:val="22"/>
          <w:szCs w:val="22"/>
        </w:rPr>
        <w:t xml:space="preserve">Self-assessment: </w:t>
      </w:r>
      <w:r>
        <w:rPr>
          <w:rFonts w:ascii="Calibri" w:cs="Calibri" w:eastAsia="Calibri" w:hAnsi="Calibri"/>
          <w:b w:val="false"/>
          <w:bCs w:val="false"/>
          <w:i w:val="false"/>
          <w:iCs w:val="false"/>
          <w:sz w:val="22"/>
          <w:szCs w:val="22"/>
        </w:rPr>
        <w:t xml:space="preserve">An organization evaluating its own conformance to a framework, as opposed to an external party issuing a certification decision.</w:t>
      </w:r>
    </w:p>
    <w:p>
      <w:pPr>
        <w:spacing w:after="160" w:line="276"/>
      </w:pPr>
      <w:r>
        <w:rPr>
          <w:rFonts w:ascii="Calibri" w:cs="Calibri" w:eastAsia="Calibri" w:hAnsi="Calibri"/>
          <w:b/>
          <w:bCs/>
          <w:i w:val="false"/>
          <w:iCs w:val="false"/>
          <w:sz w:val="22"/>
          <w:szCs w:val="22"/>
        </w:rPr>
        <w:t xml:space="preserve">Subcategory: </w:t>
      </w:r>
      <w:r>
        <w:rPr>
          <w:rFonts w:ascii="Calibri" w:cs="Calibri" w:eastAsia="Calibri" w:hAnsi="Calibri"/>
          <w:b w:val="false"/>
          <w:bCs w:val="false"/>
          <w:i w:val="false"/>
          <w:iCs w:val="false"/>
          <w:sz w:val="22"/>
          <w:szCs w:val="22"/>
        </w:rPr>
        <w:t xml:space="preserve">The most granular unit of the AI RMF Core — 72 specific outcomes grouped into 19 Categories under 4 Functions.</w:t>
      </w:r>
    </w:p>
    <w:p>
      <w:pPr>
        <w:spacing w:after="160" w:line="276"/>
      </w:pPr>
      <w:r>
        <w:rPr>
          <w:rFonts w:ascii="Calibri" w:cs="Calibri" w:eastAsia="Calibri" w:hAnsi="Calibri"/>
          <w:b/>
          <w:bCs/>
          <w:i w:val="false"/>
          <w:iCs w:val="false"/>
          <w:sz w:val="22"/>
          <w:szCs w:val="22"/>
        </w:rPr>
        <w:t xml:space="preserve">TEVV: </w:t>
      </w:r>
      <w:r>
        <w:rPr>
          <w:rFonts w:ascii="Calibri" w:cs="Calibri" w:eastAsia="Calibri" w:hAnsi="Calibri"/>
          <w:b w:val="false"/>
          <w:bCs w:val="false"/>
          <w:i w:val="false"/>
          <w:iCs w:val="false"/>
          <w:sz w:val="22"/>
          <w:szCs w:val="22"/>
        </w:rPr>
        <w:t xml:space="preserve">Test, Evaluation, Verification, and Validation — activities performed throughout the AI lifecycle (not a single stage) to confirm a system meets requirements and performs as intended.</w:t>
      </w:r>
    </w:p>
    <w:p>
      <w:pPr>
        <w:spacing w:after="160" w:line="276"/>
      </w:pPr>
      <w:r>
        <w:rPr>
          <w:rFonts w:ascii="Calibri" w:cs="Calibri" w:eastAsia="Calibri" w:hAnsi="Calibri"/>
          <w:b/>
          <w:bCs/>
          <w:i w:val="false"/>
          <w:iCs w:val="false"/>
          <w:sz w:val="22"/>
          <w:szCs w:val="22"/>
        </w:rPr>
        <w:t xml:space="preserve">Trustworthy AI: </w:t>
      </w:r>
      <w:r>
        <w:rPr>
          <w:rFonts w:ascii="Calibri" w:cs="Calibri" w:eastAsia="Calibri" w:hAnsi="Calibri"/>
          <w:b w:val="false"/>
          <w:bCs w:val="false"/>
          <w:i w:val="false"/>
          <w:iCs w:val="false"/>
          <w:sz w:val="22"/>
          <w:szCs w:val="22"/>
        </w:rPr>
        <w:t xml:space="preserve">AI that is valid &amp; reliable, safe, secure &amp; resilient, accountable &amp; transparent, explainable &amp; interpretable, privacy-enhanced, and fair with harmful bias managed — with tradeoffs made contextually across these, not by optimizing each independently.</w:t>
      </w:r>
    </w:p>
    <w:p>
      <w:r>
        <w:br w:type="page"/>
      </w:r>
    </w:p>
    <w:p>
      <w:pPr>
        <w:pStyle w:val="Heading1"/>
        <w:spacing w:after="200" w:before="400"/>
      </w:pPr>
      <w:r>
        <w:t xml:space="preserve">Appendix A: Full Function / Category / Subcategory Reference Table</w:t>
      </w:r>
    </w:p>
    <w:p>
      <w:pPr>
        <w:spacing w:after="160" w:line="276"/>
      </w:pPr>
      <w:r>
        <w:rPr>
          <w:rFonts w:ascii="Calibri" w:cs="Calibri" w:eastAsia="Calibri" w:hAnsi="Calibri"/>
          <w:sz w:val="22"/>
          <w:szCs w:val="22"/>
        </w:rPr>
        <w:t xml:space="preserve">All 72 subcategories of the AI RMF Core, organized by Function and Category. This same text is pre-loaded into Template 2 of the companion workbook.</w:t>
      </w:r>
    </w:p>
    <w:p>
      <w:pPr>
        <w:pStyle w:val="Heading2"/>
        <w:spacing w:after="150" w:before="300"/>
      </w:pPr>
      <w:r>
        <w:t xml:space="preserve">GOVERN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w:t>
            </w:r>
          </w:p>
        </w:tc>
        <w:tc>
          <w:tcPr>
            <w:tcW w:type="dxa" w:w="81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1.1</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Legal and regulatory requirements involving AI are understood, managed, and documented.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1.2</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characteristics of trustworthy AI are integrated into organizational policies, processes, procedures, and practices.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1.3</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Processes, procedures, and practices are in place to determine the needed level of risk management activities based on the organization's risk tolerance.</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1.4</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risk management process and its outcomes are established through transparent policies, procedures, and other controls based on organizational risk priorities.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1.5</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Ongoing monitoring and periodic review of the risk management process and its outcomes are planned, with roles and responsibilities clearly defined, including the frequency of periodic review.</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1.6</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Mechanisms are in place to inventory AI systems and are resourced according to organizational risk priorities.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1.7</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Processes and procedures are in place for decommissioning and phasing out AI systems safely and in a manner that does not increase risks or decrease the organization's trustworthiness.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2.1</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Roles, responsibilities, and lines of communication related to mapping, measuring, and managing AI risks are documented and clear to individuals and teams throughout the organization.</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2.2</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organization's personnel and partners receive AI risk management training to enable them to perform their duties consistent with related policies, procedures, and agreements.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2.3</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Executive leadership of the organization takes responsibility for decisions about risks associated with AI system development and deployment.</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3.1</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Decision-making related to mapping, measuring, and managing AI risks throughout the lifecycle is informed by a diverse team (demographics, disciplines, experience, expertise, backgrounds).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3.2</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Policies and procedures are in place to define and differentiate roles and responsibilities for human-AI configurations and oversight of AI systems.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4.1</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Organizational policies and practices foster a critical-thinking and safety-first mindset in the design, development, deployment, and use of AI systems to minimize negative impacts.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4.2</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Organizational teams document the risks and potential impacts of the AI technology they design, develop, deploy, evaluate, and use, and communicate about impacts more broadly.</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4.3</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Organizational practices are in place to enable AI testing, identification of incidents, and information sharing.</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5.1</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Policies and practices are in place to collect, consider, prioritize, and integrate feedback from those external to the team regarding potential individual and societal impacts related to AI risks.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5.2</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Mechanisms are established to enable the team that developed or deployed AI systems to regularly incorporate adjudicated feedback from relevant AI actors into system design and implementation.</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6.1</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Policies and procedures address AI risks associated with third-party entities, including risks of infringement of a third-party's intellectual property or other rights.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GOVERN 6.2</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Contingency processes are in place to handle failures or incidents in third-party data or AI systems deemed to be high-risk.</w:t>
            </w:r>
          </w:p>
        </w:tc>
      </w:tr>
    </w:tbl>
    <w:p>
      <w:pPr>
        <w:spacing w:after="120"/>
      </w:pPr>
    </w:p>
    <w:p>
      <w:pPr>
        <w:pStyle w:val="Heading2"/>
        <w:spacing w:after="150" w:before="300"/>
      </w:pPr>
      <w:r>
        <w:t xml:space="preserve">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w:t>
            </w:r>
          </w:p>
        </w:tc>
        <w:tc>
          <w:tcPr>
            <w:tcW w:type="dxa" w:w="81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1.1</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Intended purposes, potentially beneficial uses, context-specific laws/norms/expectations, and prospective deployment settings are understood and documented.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1.2</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Interdisciplinary AI actors, competencies, skills, and capacities for establishing context reflect demographic diversity and broad domain/user experience expertise; participation is documented.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1.3</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organization's mission and relevant goals for AI technology are understood and documented.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1.4</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business value or context of business use has been clearly defined or, for existing AI systems, re-evaluated.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1.5</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Organizational risk tolerances are determined and documented.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1.6</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requirements are elicited from and understood by relevant AI actors; design decisions take socio-technical implications into account to address AI risks.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2.1</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specific tasks and methods used to implement the tasks that the AI system will support are defined (e.g., classifiers, generative models, recommenders).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2.2</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about the AI system's knowledge limits and how output may be utilized/overseen by humans is documented, sufficient to assist AI actors in decisions and actions.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2.3</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Scientific integrity and TEVV considerations are identified and documented, including experimental design, data collection/selection, system trustworthiness, and construct validation.</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3.1</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Potential benefits of intended AI system functionality and performance are examined and documented.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3.2</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Potential costs, including non-monetary costs, resulting from expected or realized AI errors or system functionality/trustworthiness, are examined and documented.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3.3</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Targeted application scope is specified and documented based on the system's capability, established context, and AI system categorization.</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3.4</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Processes for operator and practitioner proficiency with AI system performance and trustworthiness, and relevant technical standards/certifications, are defined, assessed, and documented.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3.5</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Processes for human oversight are defined, assessed, and documented in accordance with organizational policies from the GOVERN function.</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4.1</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Approaches for mapping AI technology and legal risks of its components, including third-party data or software, are in place, followed, and documented, including IP infringement risks.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4.2</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Internal risk controls for components of the AI system, including third-party AI technologies, are identified and documented.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5.1</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Likelihood and magnitude of each identified impact (beneficial and harmful) are identified and documented, based on expected use, past uses in similar contexts, incident reports, or feedback.</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 5.2</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Practices and personnel for supporting regular engagement with relevant AI actors and integrating feedback about positive, negative, and unanticipated impacts are in place and documented.</w:t>
            </w:r>
          </w:p>
        </w:tc>
      </w:tr>
    </w:tbl>
    <w:p>
      <w:pPr>
        <w:spacing w:after="120"/>
      </w:pPr>
    </w:p>
    <w:p>
      <w:pPr>
        <w:pStyle w:val="Heading2"/>
        <w:spacing w:after="150" w:before="300"/>
      </w:pPr>
      <w:r>
        <w:t xml:space="preserve">MEASURE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w:t>
            </w:r>
          </w:p>
        </w:tc>
        <w:tc>
          <w:tcPr>
            <w:tcW w:type="dxa" w:w="81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1.1</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Approaches and metrics for measurement of AI risks identified during MAP are selected, starting with the most significant risks; risks that will not/cannot be measured are documented.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1.2</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Appropriateness of AI metrics and effectiveness of existing controls are regularly assessed and updated, including reports of errors and impacts on affected communities.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1.3</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Internal experts who were not front-line developers and/or independent assessors are involved in regular assessments; domain experts and affected communities are consulted as needed.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2.1</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 sets, metrics, and details about the tools used during TEVV are documented.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2.2</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Evaluations involving human subjects meet applicable requirements (including human subject protection) and are representative of the relevant population.</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2.3</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 performance or assurance criteria are measured qualitatively/quantitatively and demonstrated for conditions similar to deployment; measures are documented.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2.4</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functionality and behavior of the AI system and its components, as identified in MAP, are monitored when in production.</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2.5</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AI system to be deployed is demonstrated to be valid and reliable; limitations of generalizability beyond development conditions are documented.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2.6</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AI system is evaluated regularly for safety risks; it is demonstrated to be safe, its residual risk does not exceed tolerance, and it can fail safely.</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2.7</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system security and resilience, as identified in MAP, are evaluated and documented.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2.8</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Risks associated with transparency and accountability, as identified in MAP, are examined and documented.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2.9</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AI model is explained, validated, and documented, and AI system output is interpreted within its context to inform responsible use and governance.</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2.10</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Privacy risk of the AI system, as identified in MAP, is examined and documented.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2.11</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Fairness and bias, as identified in MAP, are evaluated and results are documented.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2.12</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Environmental impact and sustainability of AI model training and management activities, as identified in MAP, are assessed and documented.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2.13</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Effectiveness of the employed TEVV metrics and processes in the MEASURE function are evaluated and documented.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3.1</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Approaches, personnel, and documentation are in place to regularly identify and track existing, unanticipated, and emergent AI risks based on deployed-context performance.</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3.2</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Risk-tracking approaches are considered for settings where AI risks are difficult to assess using currently available measurement techniques or where metrics are not yet available.</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3.3</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Feedback processes for end users and impacted communities to report problems and appeal system outcomes are established and integrated into evaluation metrics.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4.1</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Measurement approaches for identifying AI risks are connected to deployment context(s) and informed through consultation with domain experts and end users; approaches are documented.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4.2</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Measurement results regarding AI system trustworthiness in deployment context(s) are informed by domain experts and AI actors to validate the system is performing as intended; results are documented.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MEASURE 4.3</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Measurable performance improvements or declines, based on consultations and field data about context-relevant risks and trustworthiness, are identified and documented.</w:t>
            </w:r>
          </w:p>
        </w:tc>
      </w:tr>
    </w:tbl>
    <w:p>
      <w:pPr>
        <w:spacing w:after="120"/>
      </w:pPr>
    </w:p>
    <w:p>
      <w:pPr>
        <w:pStyle w:val="Heading2"/>
        <w:spacing w:after="150" w:before="300"/>
      </w:pPr>
      <w:r>
        <w:t xml:space="preserve">MANAGE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8100"/>
      </w:tblGrid>
      <w:tr>
        <w:trPr>
          <w:cantSplit/>
          <w:tblHeader/>
        </w:trPr>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Subcategory</w:t>
            </w:r>
          </w:p>
        </w:tc>
        <w:tc>
          <w:tcPr>
            <w:tcW w:type="dxa" w:w="81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1.1</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determination is made as to whether the AI system achieves its intended purposes and stated objectives, and whether development or deployment should proceed.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1.2</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Treatment of documented AI risks is prioritized based on impact, likelihood, and available resources or methods.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1.3</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Responses to AI risks deemed high priority, as identified by MAP, are developed, planned, and documented; options include mitigating, transferring, avoiding, or accepting.</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1.4</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Negative residual risks (the sum of all unmitigated risks) to both downstream acquirers of AI systems and end users are documented.</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2.1</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Resources required to manage AI risks are taken into account, along with viable non-AI alternatives, to reduce the magnitude or likelihood of potential impacts.</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2.2</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Mechanisms are in place and applied to sustain the value of deployed AI systems.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2.3</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Procedures are followed to respond to and recover from a previously unknown risk when it is identified.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2.4</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Mechanisms are in place and applied, with responsibilities assigned and understood, to supersede, disengage, or deactivate AI systems performing inconsistently with intended use.</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3.1</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risks and benefits from third-party resources are regularly monitored, and risk controls are applied and documented.</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3.2</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Pre-trained models which are used for development are monitored as part of AI system regular monitoring and maintenance.</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4.1</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Post-deployment AI system monitoring plans are implemented, including capturing/evaluating input from users, appeal and override, decommissioning, incident response, recovery, and change management.</w:t>
            </w:r>
          </w:p>
        </w:tc>
      </w:tr>
      <w:tr>
        <w:trPr>
          <w:cantSplit/>
        </w:trPr>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4.2</w:t>
            </w:r>
          </w:p>
        </w:tc>
        <w:tc>
          <w:tcPr>
            <w:tcW w:type="dxa" w:w="81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Measurable activities for continual improvement are integrated into AI system updates and include regular engagement with interested parties, including relevant AI actors.</w:t>
            </w:r>
          </w:p>
        </w:tc>
      </w:tr>
      <w:tr>
        <w:trPr>
          <w:cantSplit/>
        </w:trP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MANAGE 4.3</w:t>
            </w:r>
          </w:p>
        </w:tc>
        <w:tc>
          <w:tcPr>
            <w:tcW w:type="dxa" w:w="8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Incidents and errors are communicated to relevant AI actors, including affected communities; processes for tracking, responding to, and recovering from incidents are followed and documented.</w:t>
            </w:r>
          </w:p>
        </w:tc>
      </w:tr>
    </w:tbl>
    <w:p>
      <w:pPr>
        <w:spacing w:after="120"/>
      </w:pPr>
    </w:p>
    <w:p>
      <w:r>
        <w:br w:type="page"/>
      </w:r>
    </w:p>
    <w:p>
      <w:pPr>
        <w:pStyle w:val="Heading1"/>
        <w:spacing w:after="200" w:before="400"/>
      </w:pPr>
      <w:r>
        <w:t xml:space="preserve">Sources &amp; Further Reading</w:t>
      </w:r>
    </w:p>
    <w:p>
      <w:pPr>
        <w:spacing w:after="160" w:line="276"/>
      </w:pPr>
      <w:r>
        <w:rPr>
          <w:rFonts w:ascii="Calibri" w:cs="Calibri" w:eastAsia="Calibri" w:hAnsi="Calibri"/>
          <w:sz w:val="22"/>
          <w:szCs w:val="22"/>
        </w:rPr>
        <w:t xml:space="preserve">This handbook synthesizes the primary NIST AI RMF text together with publicly available secondary guidance. The 72 subcategories in Template 2 of the companion workbook and in Appendix A of this handbook were independently verified against the AI RMF Core as published by NIST's AI Resource Center before this toolkit was finalized. For the authoritative primary text, consult NIST directly:</w:t>
      </w:r>
    </w:p>
    <w:p>
      <w:pPr>
        <w:pStyle w:val="ListParagraph"/>
        <w:numPr>
          <w:ilvl w:val="0"/>
          <w:numId w:val="2"/>
        </w:numPr>
        <w:spacing w:after="100"/>
      </w:pPr>
      <w:r>
        <w:rPr>
          <w:rFonts w:ascii="Calibri" w:cs="Calibri" w:eastAsia="Calibri" w:hAnsi="Calibri"/>
          <w:sz w:val="22"/>
          <w:szCs w:val="22"/>
        </w:rPr>
        <w:t xml:space="preserve">NIST AI 100-1 — Artificial Intelligence Risk Management Framework (AI RMF 1.0) — nvlpubs.nist.gov/nistpubs/ai/NIST.AI.100-1.pdf</w:t>
      </w:r>
    </w:p>
    <w:p>
      <w:pPr>
        <w:pStyle w:val="ListParagraph"/>
        <w:numPr>
          <w:ilvl w:val="0"/>
          <w:numId w:val="2"/>
        </w:numPr>
        <w:spacing w:after="100"/>
      </w:pPr>
      <w:r>
        <w:rPr>
          <w:rFonts w:ascii="Calibri" w:cs="Calibri" w:eastAsia="Calibri" w:hAnsi="Calibri"/>
          <w:sz w:val="22"/>
          <w:szCs w:val="22"/>
        </w:rPr>
        <w:t xml:space="preserve">NIST AI Resource Center (AIRC) — airc.nist.gov</w:t>
      </w:r>
    </w:p>
    <w:p>
      <w:pPr>
        <w:pStyle w:val="ListParagraph"/>
        <w:numPr>
          <w:ilvl w:val="0"/>
          <w:numId w:val="2"/>
        </w:numPr>
        <w:spacing w:after="100"/>
      </w:pPr>
      <w:r>
        <w:rPr>
          <w:rFonts w:ascii="Calibri" w:cs="Calibri" w:eastAsia="Calibri" w:hAnsi="Calibri"/>
          <w:sz w:val="22"/>
          <w:szCs w:val="22"/>
        </w:rPr>
        <w:t xml:space="preserve">NIST — AI Risk Management Framework overview — nist.gov/itl/ai-risk-management-framework</w:t>
      </w:r>
    </w:p>
    <w:p>
      <w:pPr>
        <w:pStyle w:val="ListParagraph"/>
        <w:numPr>
          <w:ilvl w:val="0"/>
          <w:numId w:val="2"/>
        </w:numPr>
        <w:spacing w:after="100"/>
      </w:pPr>
      <w:r>
        <w:rPr>
          <w:rFonts w:ascii="Calibri" w:cs="Calibri" w:eastAsia="Calibri" w:hAnsi="Calibri"/>
          <w:sz w:val="22"/>
          <w:szCs w:val="22"/>
        </w:rPr>
        <w:t xml:space="preserve">NIST AI 600-1 — Artificial Intelligence Risk Management Framework: Generative Artificial Intelligence Profile — nvlpubs.nist.gov/nistpubs/ai/NIST.AI.600-1.pdf</w:t>
      </w:r>
    </w:p>
    <w:p>
      <w:pPr>
        <w:pStyle w:val="ListParagraph"/>
        <w:numPr>
          <w:ilvl w:val="0"/>
          <w:numId w:val="2"/>
        </w:numPr>
        <w:spacing w:after="100"/>
      </w:pPr>
      <w:r>
        <w:rPr>
          <w:rFonts w:ascii="Calibri" w:cs="Calibri" w:eastAsia="Calibri" w:hAnsi="Calibri"/>
          <w:sz w:val="22"/>
          <w:szCs w:val="22"/>
        </w:rPr>
        <w:t xml:space="preserve">NIST — Crosswalks of the NIST AI RMF to ISO/IEC 42001, ISO/IEC 23894, and ISO/IEC 42005 — nist.gov/itl/ai-risk-management-framework/crosswalks-nist-artificial-intelligence-risk-management-framework</w:t>
      </w:r>
    </w:p>
    <w:p>
      <w:pPr>
        <w:pStyle w:val="ListParagraph"/>
        <w:numPr>
          <w:ilvl w:val="0"/>
          <w:numId w:val="2"/>
        </w:numPr>
        <w:spacing w:after="100"/>
      </w:pPr>
      <w:r>
        <w:rPr>
          <w:rFonts w:ascii="Calibri" w:cs="Calibri" w:eastAsia="Calibri" w:hAnsi="Calibri"/>
          <w:sz w:val="22"/>
          <w:szCs w:val="22"/>
        </w:rPr>
        <w:t xml:space="preserve">Vanta — NIST AI RMF and ISO 42001 compared — vanta.com/collection/iso-42001/nist-ai-rmf-and-iso-42001</w:t>
      </w:r>
    </w:p>
    <w:p>
      <w:pPr>
        <w:pStyle w:val="ListParagraph"/>
        <w:numPr>
          <w:ilvl w:val="0"/>
          <w:numId w:val="2"/>
        </w:numPr>
        <w:spacing w:after="100"/>
      </w:pPr>
      <w:r>
        <w:rPr>
          <w:rFonts w:ascii="Calibri" w:cs="Calibri" w:eastAsia="Calibri" w:hAnsi="Calibri"/>
          <w:sz w:val="22"/>
          <w:szCs w:val="22"/>
        </w:rPr>
        <w:t xml:space="preserve">Cloud Security Alliance — AI Controls Matrix and AI Security Maturity Model — cloudsecurityalliance.org</w:t>
      </w:r>
    </w:p>
    <w:p>
      <w:pPr>
        <w:spacing w:after="120"/>
      </w:pPr>
    </w:p>
    <w:p>
      <w:pPr>
        <w:spacing w:after="160" w:line="276"/>
      </w:pPr>
      <w:r>
        <w:rPr>
          <w:rFonts w:ascii="Calibri" w:cs="Calibri" w:eastAsia="Calibri" w:hAnsi="Calibri"/>
          <w:sz w:val="22"/>
          <w:szCs w:val="22"/>
        </w:rPr>
        <w:t xml:space="preserve">Note: any maturity scale, priority label, or risk score used in this handbook and the companion workbook is this toolkit's own interpretive layer, not an official NIST scoring methodology. Examples include the 0–4 current-state scale, the Critical/High/Medium/Low priority scale, and the Likelihood × Impact risk score. This mirrors how third-party tools such as the Cloud Security Alliance's AI Controls Matrix / AI Security Maturity Model present their own interpretive scoring on top of the Framework.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NIST AI RMF Assessment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4"/>
      <w:szCs w:val="34"/>
    </w:rPr>
  </w:style>
  <w:style w:type="paragraph" w:styleId="Heading2">
    <w:name w:val="Heading 2"/>
    <w:basedOn w:val="Normal"/>
    <w:next w:val="Normal"/>
    <w:qFormat/>
    <w:pPr>
      <w:spacing w:after="150" w:before="300"/>
    </w:pPr>
    <w:rPr>
      <w:rFonts w:ascii="Calibri" w:cs="Calibri" w:eastAsia="Calibri" w:hAnsi="Calibri"/>
      <w:b/>
      <w:bCs/>
      <w:color w:val="2E5395"/>
      <w:sz w:val="27"/>
      <w:szCs w:val="27"/>
    </w:rPr>
  </w:style>
  <w:style w:type="paragraph" w:styleId="Heading3">
    <w:name w:val="Heading 3"/>
    <w:basedOn w:val="Normal"/>
    <w:next w:val="Normal"/>
    <w:qFormat/>
    <w:pPr>
      <w:spacing w:after="120" w:before="240"/>
    </w:pPr>
    <w:rPr>
      <w:rFonts w:ascii="Calibri" w:cs="Calibri" w:eastAsia="Calibri" w:hAnsi="Calibri"/>
      <w:b/>
      <w:bCs/>
      <w:color w:val="59595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2026-08-13T15:35:47.290Z</dcterms:created>
  <dcterms:modified xsi:type="dcterms:W3CDTF">2026-08-13T15:35:47.290Z</dcterms:modified>
</cp:coreProperties>
</file>

<file path=docProps/custom.xml><?xml version="1.0" encoding="utf-8"?>
<Properties xmlns="http://schemas.openxmlformats.org/officeDocument/2006/custom-properties" xmlns:vt="http://schemas.openxmlformats.org/officeDocument/2006/docPropsVTypes"/>
</file>