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Calibri" w:cs="Calibri" w:eastAsia="Calibri" w:hAnsi="Calibri"/>
          <w:b/>
          <w:bCs/>
          <w:color w:val="1F3864"/>
          <w:sz w:val="50"/>
          <w:szCs w:val="50"/>
        </w:rPr>
        <w:t xml:space="preserve">NIST CYBERSECURITY FRAMEWORK (CSF) 2.0</w:t>
      </w:r>
    </w:p>
    <w:p>
      <w:pPr>
        <w:spacing w:before="100"/>
        <w:jc w:val="center"/>
      </w:pPr>
      <w:r>
        <w:rPr>
          <w:rFonts w:ascii="Calibri" w:cs="Calibri" w:eastAsia="Calibri" w:hAnsi="Calibri"/>
          <w:b/>
          <w:bCs/>
          <w:color w:val="1F3864"/>
          <w:sz w:val="50"/>
          <w:szCs w:val="50"/>
        </w:rPr>
        <w:t xml:space="preserve">ASSESSMENT HANDBOOK</w:t>
      </w:r>
    </w:p>
    <w:p>
      <w:pPr>
        <w:spacing w:after="300" w:before="300"/>
        <w:jc w:val="center"/>
      </w:pPr>
      <w:r>
        <w:rPr>
          <w:rFonts w:ascii="Calibri" w:cs="Calibri" w:eastAsia="Calibri" w:hAnsi="Calibri"/>
          <w:color w:val="2E5395"/>
          <w:sz w:val="30"/>
          <w:szCs w:val="30"/>
        </w:rPr>
        <w:t xml:space="preserve">A Beginner's Step-by-Step Guide to Running a CSF Gap Assessment</w:t>
      </w:r>
    </w:p>
    <w:p>
      <w:pPr>
        <w:spacing w:before="200"/>
        <w:jc w:val="center"/>
      </w:pPr>
      <w:r>
        <w:rPr>
          <w:rFonts w:ascii="Calibri" w:cs="Calibri" w:eastAsia="Calibri" w:hAnsi="Calibri"/>
          <w:i/>
          <w:iCs/>
          <w:color w:val="595959"/>
          <w:sz w:val="24"/>
          <w:szCs w:val="24"/>
        </w:rPr>
        <w:t xml:space="preserve">For new risk &amp; security-assessment professionals conducting a self-assessment or consultant-led gap/maturity assessment against NIST CSF 2.0</w:t>
      </w:r>
    </w:p>
    <w:p>
      <w:pPr>
        <w:spacing w:before="500"/>
        <w:jc w:val="center"/>
      </w:pPr>
      <w:r>
        <w:rPr>
          <w:rFonts w:ascii="Calibri" w:cs="Calibri" w:eastAsia="Calibri" w:hAnsi="Calibri"/>
          <w:color w:val="595959"/>
          <w:sz w:val="22"/>
          <w:szCs w:val="22"/>
        </w:rPr>
        <w:t xml:space="preserve">Companion to: NIST_CSF_2.0_Assessment_Toolkit.xlsx</w:t>
      </w:r>
    </w:p>
    <w:p>
      <w:pPr>
        <w:spacing w:before="260"/>
        <w:jc w:val="center"/>
      </w:pPr>
      <w:r>
        <w:rPr>
          <w:rFonts w:ascii="Calibri" w:cs="Calibri" w:eastAsia="Calibri" w:hAnsi="Calibri"/>
          <w:b/>
          <w:bCs/>
          <w:color w:val="C00000"/>
          <w:sz w:val="20"/>
          <w:szCs w:val="20"/>
        </w:rPr>
        <w:t xml:space="preserve">IMPORTANT: NIST CSF has no certification. There is no accredited body and no Stage 1 / Stage 2 audit. See Part One.</w:t>
      </w:r>
    </w:p>
    <w:p>
      <w:pPr>
        <w:spacing w:before="3200"/>
        <w:jc w:val="center"/>
      </w:pPr>
      <w:r>
        <w:rPr>
          <w:rFonts w:ascii="Calibri" w:cs="Calibri" w:eastAsia="Calibri" w:hAnsi="Calibri"/>
          <w:color w:val="595959"/>
          <w:sz w:val="20"/>
          <w:szCs w:val="20"/>
        </w:rPr>
        <w:t xml:space="preserve">Prepared August 2026</w:t>
      </w:r>
    </w:p>
    <w:p>
      <w:r>
        <w:br w:type="page"/>
      </w:r>
    </w:p>
    <w:p>
      <w:pPr>
        <w:pStyle w:val="Heading1"/>
        <w:spacing w:after="200" w:before="400"/>
      </w:pPr>
      <w:r>
        <w:t xml:space="preserve">Table of Contents</w:t>
      </w:r>
    </w:p>
    <w:p>
      <w:pPr>
        <w:spacing w:after="200"/>
      </w:pPr>
      <w:r>
        <w:rPr>
          <w:rFonts w:ascii="Calibri" w:cs="Calibri" w:eastAsia="Calibri" w:hAnsi="Calibri"/>
          <w:i/>
          <w:iCs/>
          <w:color w:val="595959"/>
          <w:sz w:val="20"/>
          <w:szCs w:val="20"/>
        </w:rPr>
        <w:t xml:space="preserve">(In Word, right-click below and choose “Update Field” — or press Ctrl+A then F9 — to populate this table of contents with page numbers.)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How to Use This Handbook</w:t>
      </w:r>
    </w:p>
    <w:p>
      <w:pPr>
        <w:spacing w:after="160" w:line="276"/>
      </w:pPr>
      <w:r>
        <w:rPr>
          <w:rFonts w:ascii="Calibri" w:cs="Calibri" w:eastAsia="Calibri" w:hAnsi="Calibri"/>
          <w:sz w:val="22"/>
          <w:szCs w:val="22"/>
        </w:rPr>
        <w:t xml:space="preserve">This handbook is written for someone who is new to both risk/security-assessment work and to NIST CSF 2.0. It assumes no prior assessment background and builds up from first principles to a full, repeatable assessment process.</w:t>
      </w:r>
    </w:p>
    <w:tbl>
      <w:tblPr>
        <w:tblW w:type="dxa" w:w="10080"/>
        <w:tblBorders>
          <w:top w:val="single" w:color="C00000" w:sz="6"/>
          <w:left w:val="single" w:color="C00000" w:sz="6"/>
          <w:bottom w:val="single" w:color="C00000" w:sz="6"/>
          <w:right w:val="single" w:color="C00000" w:sz="6"/>
          <w:insideH w:val="single" w:color="auto" w:sz="4"/>
          <w:insideV w:val="single" w:color="auto" w:sz="4"/>
        </w:tblBorders>
      </w:tblPr>
      <w:tblGrid>
        <w:gridCol w:w="10080"/>
      </w:tblGrid>
      <w:tr>
        <w:trPr>
          <w:cantSplit/>
        </w:trPr>
        <w:tc>
          <w:tcPr>
            <w:tcW w:type="dxa" w:w="10080"/>
            <w:shd w:fill="FCE4E4" w:val="clear"/>
            <w:tcMar>
              <w:top w:type="dxa" w:w="160"/>
              <w:left w:type="dxa" w:w="180"/>
              <w:bottom w:type="dxa" w:w="160"/>
              <w:right w:type="dxa" w:w="180"/>
            </w:tcMar>
          </w:tcPr>
          <w:p>
            <w:pPr>
              <w:spacing w:after="100"/>
            </w:pPr>
            <w:r>
              <w:rPr>
                <w:rFonts w:ascii="Calibri" w:cs="Calibri" w:eastAsia="Calibri" w:hAnsi="Calibri"/>
                <w:b/>
                <w:bCs/>
                <w:color w:val="C00000"/>
                <w:sz w:val="24"/>
                <w:szCs w:val="24"/>
              </w:rPr>
              <w:t xml:space="preserve">Before you read any further</w:t>
            </w:r>
          </w:p>
          <w:p>
            <w:pPr>
              <w:spacing w:line="276"/>
            </w:pPr>
            <w:r>
              <w:rPr>
                <w:rFonts w:ascii="Calibri" w:cs="Calibri" w:eastAsia="Calibri" w:hAnsi="Calibri"/>
                <w:b/>
                <w:bCs/>
                <w:sz w:val="22"/>
                <w:szCs w:val="22"/>
              </w:rPr>
              <w:t xml:space="preserve">NIST CSF 2.0 is a voluntary framework. NIST issues nothing and certifies nothing, and there is no accredited third-party certification body for it. Organizations self-assess, or hire a consultant, to run a gap/maturity assessment against a Current Profile and a Target Profile. If a vendor advertises “NIST CSF Certified,” that refers to a private scheme built on CSF-mapped controls, or conflates CSF with a genuinely separate certifiable framework like HITRUST. See Part One, Section 1.1 and Part Two, Section 2.6 for the full explanation.</w:t>
            </w:r>
          </w:p>
        </w:tc>
      </w:tr>
    </w:tbl>
    <w:p>
      <w:pPr>
        <w:spacing w:after="120"/>
      </w:pPr>
    </w:p>
    <w:p>
      <w:pPr>
        <w:spacing w:after="160" w:line="276"/>
      </w:pPr>
      <w:r>
        <w:rPr>
          <w:rFonts w:ascii="Calibri" w:cs="Calibri" w:eastAsia="Calibri" w:hAnsi="Calibri"/>
          <w:sz w:val="22"/>
          <w:szCs w:val="22"/>
        </w:rPr>
        <w:t xml:space="preserve">This handbook is organized in five parts:</w:t>
      </w:r>
    </w:p>
    <w:p>
      <w:pPr>
        <w:pStyle w:val="ListParagraph"/>
        <w:numPr>
          <w:ilvl w:val="0"/>
          <w:numId w:val="2"/>
        </w:numPr>
        <w:spacing w:after="100"/>
      </w:pPr>
      <w:r>
        <w:rPr>
          <w:rFonts w:ascii="Calibri" w:cs="Calibri" w:eastAsia="Calibri" w:hAnsi="Calibri"/>
          <w:sz w:val="22"/>
          <w:szCs w:val="22"/>
        </w:rPr>
        <w:t xml:space="preserve">Part One – Assessment fundamentals: what a gap/maturity assessment is (and is not), self-assessment vs. consultant-led vs. vendor-requested engagements, key terminology, and the assessor's code of conduct.</w:t>
      </w:r>
    </w:p>
    <w:p>
      <w:pPr>
        <w:pStyle w:val="ListParagraph"/>
        <w:numPr>
          <w:ilvl w:val="0"/>
          <w:numId w:val="2"/>
        </w:numPr>
        <w:spacing w:after="100"/>
      </w:pPr>
      <w:r>
        <w:rPr>
          <w:rFonts w:ascii="Calibri" w:cs="Calibri" w:eastAsia="Calibri" w:hAnsi="Calibri"/>
          <w:sz w:val="22"/>
          <w:szCs w:val="22"/>
        </w:rPr>
        <w:t xml:space="preserve">Part Two – Understanding NIST CSF 2.0: the structure of the framework – 6 Functions, 22 Categories, 106 Subcategories – explained in plain language, plus Tiers, Profiles, and the no-certification clarification in full.</w:t>
      </w:r>
    </w:p>
    <w:p>
      <w:pPr>
        <w:pStyle w:val="ListParagraph"/>
        <w:numPr>
          <w:ilvl w:val="0"/>
          <w:numId w:val="2"/>
        </w:numPr>
        <w:spacing w:after="100"/>
      </w:pPr>
      <w:r>
        <w:rPr>
          <w:rFonts w:ascii="Calibri" w:cs="Calibri" w:eastAsia="Calibri" w:hAnsi="Calibri"/>
          <w:sz w:val="22"/>
          <w:szCs w:val="22"/>
        </w:rPr>
        <w:t xml:space="preserve">Part Three – The assessment journey end to end, from scoping through to the final deliverable – explicitly contrasted with an ISO-style certification audit.</w:t>
      </w:r>
    </w:p>
    <w:p>
      <w:pPr>
        <w:pStyle w:val="ListParagraph"/>
        <w:numPr>
          <w:ilvl w:val="0"/>
          <w:numId w:val="2"/>
        </w:numPr>
        <w:spacing w:after="100"/>
      </w:pPr>
      <w:r>
        <w:rPr>
          <w:rFonts w:ascii="Calibri" w:cs="Calibri" w:eastAsia="Calibri" w:hAnsi="Calibri"/>
          <w:sz w:val="22"/>
          <w:szCs w:val="22"/>
        </w:rPr>
        <w:t xml:space="preserve">Part Four – Eleven step-by-step walkthroughs, each tied to a fillable template in the companion Excel workbook, “NIST_CSF_2.0_Assessment_Toolkit.xlsx.”</w:t>
      </w:r>
    </w:p>
    <w:p>
      <w:pPr>
        <w:pStyle w:val="ListParagraph"/>
        <w:numPr>
          <w:ilvl w:val="0"/>
          <w:numId w:val="2"/>
        </w:numPr>
        <w:spacing w:after="100"/>
      </w:pPr>
      <w:r>
        <w:rPr>
          <w:rFonts w:ascii="Calibri" w:cs="Calibri" w:eastAsia="Calibri" w:hAnsi="Calibri"/>
          <w:sz w:val="22"/>
          <w:szCs w:val="22"/>
        </w:rPr>
        <w:t xml:space="preserve">Part Five – How to reuse the toolkit for future reassessments.</w:t>
      </w:r>
    </w:p>
    <w:p>
      <w:pPr>
        <w:spacing w:after="160" w:line="276"/>
      </w:pPr>
      <w:r>
        <w:rPr>
          <w:rFonts w:ascii="Calibri" w:cs="Calibri" w:eastAsia="Calibri" w:hAnsi="Calibri"/>
          <w:sz w:val="22"/>
          <w:szCs w:val="22"/>
        </w:rPr>
        <w:t xml:space="preserve">Throughout Part Four you will see boxes like the one below — they tell you exactly which tab of the companion workbook to have open.</w:t>
      </w:r>
    </w:p>
    <w:tbl>
      <w:tblPr>
        <w:tblW w:type="dxa" w:w="10080"/>
        <w:tblBorders>
          <w:top w:val="single" w:color="2E5395" w:sz="4"/>
          <w:left w:val="single" w:color="2E5395" w:sz="4"/>
          <w:bottom w:val="single" w:color="2E5395" w:sz="4"/>
          <w:right w:val="single" w:color="2E5395" w:sz="4"/>
          <w:insideH w:val="single" w:color="auto" w:sz="4"/>
          <w:insideV w:val="single" w:color="auto" w:sz="4"/>
        </w:tblBorders>
      </w:tblPr>
      <w:tblGrid>
        <w:gridCol w:w="10080"/>
      </w:tblGrid>
      <w:tr>
        <w:trPr>
          <w:cantSplit/>
        </w:trPr>
        <w:tc>
          <w:tcPr>
            <w:tcW w:type="dxa" w:w="10080"/>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Example: “Open 'Template 1 - Assessment Plan' in the NIST CSF 2.0 Assessment Toolkit workbook.”</w:t>
            </w:r>
          </w:p>
        </w:tc>
      </w:tr>
    </w:tbl>
    <w:p>
      <w:r>
        <w:br w:type="page"/>
      </w:r>
    </w:p>
    <w:p>
      <w:pPr>
        <w:pStyle w:val="Heading1"/>
        <w:spacing w:after="200" w:before="400"/>
      </w:pPr>
      <w:r>
        <w:t xml:space="preserve">Part One – Assessment Fundamentals</w:t>
      </w:r>
    </w:p>
    <w:p>
      <w:pPr>
        <w:pStyle w:val="Heading2"/>
        <w:spacing w:after="150" w:before="300"/>
      </w:pPr>
      <w:r>
        <w:t xml:space="preserve">1.1 What a Gap/Maturity Assessment Is – and Is Not</w:t>
      </w:r>
    </w:p>
    <w:p>
      <w:pPr>
        <w:spacing w:after="160" w:line="276"/>
      </w:pPr>
      <w:r>
        <w:rPr>
          <w:rFonts w:ascii="Calibri" w:cs="Calibri" w:eastAsia="Calibri" w:hAnsi="Calibri"/>
          <w:sz w:val="22"/>
          <w:szCs w:val="22"/>
        </w:rPr>
        <w:t xml:space="preserve">A NIST CSF 2.0 assessment is a structured comparison between what an organization is currently doing for cybersecurity (its Current Profile) and what it wants or needs to be doing (its Target Profile), organized around the CSF's 6 Functions, 22 Categories and 106 Subcategories. The output is a gap analysis and, usually, a prioritized remediation roadmap.</w:t>
      </w:r>
    </w:p>
    <w:p>
      <w:pPr>
        <w:spacing w:after="160" w:line="276"/>
      </w:pPr>
      <w:r>
        <w:rPr>
          <w:rFonts w:ascii="Calibri" w:cs="Calibri" w:eastAsia="Calibri" w:hAnsi="Calibri"/>
          <w:sz w:val="22"/>
          <w:szCs w:val="22"/>
        </w:rPr>
        <w:t xml:space="preserve">This is fundamentally different from a certification audit such as ISO/IEC 27001 or ISO/IEC 42001: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4280"/>
      </w:tblGrid>
      <w:tr>
        <w:trPr>
          <w:cantSplit/>
          <w:tblHeader/>
        </w:trPr>
        <w:tc>
          <w:tcPr>
            <w:tcW w:type="dxa" w:w="1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
            </w:r>
          </w:p>
        </w:tc>
        <w:tc>
          <w:tcPr>
            <w:tcW w:type="dxa" w:w="4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ISO-style certification audit</w:t>
            </w:r>
          </w:p>
        </w:tc>
        <w:tc>
          <w:tcPr>
            <w:tcW w:type="dxa" w:w="42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NIST CSF 2.0 assessment</w:t>
            </w:r>
          </w:p>
        </w:tc>
      </w:tr>
      <w:tr>
        <w:trPr>
          <w:cantSplit/>
        </w:trP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Accreditation</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Performed by an accredited, independent certification body</w:t>
            </w:r>
          </w:p>
        </w:tc>
        <w:tc>
          <w:tcPr>
            <w:tcW w:type="dxa" w:w="42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No accreditation scheme exists; performed by internal staff or any consultant the organization chooses</w:t>
            </w:r>
          </w:p>
        </w:tc>
      </w:tr>
      <w:tr>
        <w:trPr>
          <w:cantSplit/>
        </w:trP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Stages</w:t>
            </w:r>
          </w:p>
        </w:tc>
        <w:tc>
          <w:tcPr>
            <w:tcW w:type="dxa" w:w="4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Formal Stage 1 (readiness) and Stage 2 (certification) audits</w:t>
            </w:r>
          </w:p>
        </w:tc>
        <w:tc>
          <w:tcPr>
            <w:tcW w:type="dxa" w:w="42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No formal stages – you design your own engagement (see Part Three)</w:t>
            </w:r>
          </w:p>
        </w:tc>
      </w:tr>
      <w:tr>
        <w:trPr>
          <w:cantSplit/>
        </w:trP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Outcome</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 certificate of conformity, valid ~3 years with annual surveillance</w:t>
            </w:r>
          </w:p>
        </w:tc>
        <w:tc>
          <w:tcPr>
            <w:tcW w:type="dxa" w:w="42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An assessment report: Current Profile, Target Profile, gap/heat-map, and a roadmap – no certificate</w:t>
            </w:r>
          </w:p>
        </w:tc>
      </w:tr>
      <w:tr>
        <w:trPr>
          <w:cantSplit/>
        </w:trP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Pass/fail basis</w:t>
            </w:r>
          </w:p>
        </w:tc>
        <w:tc>
          <w:tcPr>
            <w:tcW w:type="dxa" w:w="4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Nonconformities graded major/minor against a fixed clause set</w:t>
            </w:r>
          </w:p>
        </w:tc>
        <w:tc>
          <w:tcPr>
            <w:tcW w:type="dxa" w:w="42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Gaps and findings graded by the assessor's own priority scale (e.g., High/Medium/Low)</w:t>
            </w:r>
          </w:p>
        </w:tc>
      </w:tr>
      <w:tr>
        <w:trPr>
          <w:cantSplit/>
        </w:trP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Cadence</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Fixed 3-year certification cycle with annual surveillance</w:t>
            </w:r>
          </w:p>
        </w:tc>
        <w:tc>
          <w:tcPr>
            <w:tcW w:type="dxa" w:w="42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Entirely the organization's choice – commonly annual, or triggered by events</w:t>
            </w:r>
          </w:p>
        </w:tc>
      </w:tr>
    </w:tbl>
    <w:p>
      <w:pPr>
        <w:spacing w:after="160" w:line="276"/>
      </w:pPr>
      <w:r>
        <w:rPr>
          <w:rFonts w:ascii="Calibri" w:cs="Calibri" w:eastAsia="Calibri" w:hAnsi="Calibri"/>
          <w:sz w:val="22"/>
          <w:szCs w:val="22"/>
        </w:rPr>
        <w:t xml:space="preserve">What you can legitimately obtain from a CSF engagement is a third-party or self-conducted assessment report against Current and Target Profiles – not a certificate. See Section 2.6 for the full “no certification” explanation, including why some vendors nonetheless advertise “NIST CSF Certified.”</w:t>
      </w:r>
    </w:p>
    <w:p>
      <w:pPr>
        <w:pStyle w:val="Heading2"/>
        <w:spacing w:after="150" w:before="300"/>
      </w:pPr>
      <w:r>
        <w:t xml:space="preserve">1.2 Self-Assessment vs. Consultant-Led vs. Vendor/Customer-Requested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680"/>
      </w:tblGrid>
      <w:tr>
        <w:trPr>
          <w:cantSplit/>
          <w:tblHeader/>
        </w:trPr>
        <w:tc>
          <w:tcPr>
            <w:tcW w:type="dxa" w:w="2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Model</w:t>
            </w:r>
          </w:p>
        </w:tc>
        <w:tc>
          <w:tcPr>
            <w:tcW w:type="dxa" w:w="38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Who does the work</w:t>
            </w:r>
          </w:p>
        </w:tc>
        <w:tc>
          <w:tcPr>
            <w:tcW w:type="dxa" w:w="36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Typical driver</w:t>
            </w:r>
          </w:p>
        </w:tc>
      </w:tr>
      <w:tr>
        <w:trPr>
          <w:cantSplit/>
        </w:trP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Self-assessment</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Internal staff (security, IT, risk) assess the organization's own posture</w:t>
            </w:r>
          </w:p>
        </w:tc>
        <w:tc>
          <w:tcPr>
            <w:tcW w:type="dxa" w:w="3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Routine governance, board reporting, preparing for a bigger external ask</w:t>
            </w:r>
          </w:p>
        </w:tc>
      </w:tr>
      <w:tr>
        <w:trPr>
          <w:cantSplit/>
        </w:trP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Consultant-led</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An external, independent consultant or firm runs the assessment</w:t>
            </w:r>
          </w:p>
        </w:tc>
        <w:tc>
          <w:tcPr>
            <w:tcW w:type="dxa" w:w="3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Need for independence/objectivity, specialist expertise, or bandwidth the internal team lacks</w:t>
            </w:r>
          </w:p>
        </w:tc>
      </w:tr>
      <w:tr>
        <w:trPr>
          <w:cantSplit/>
        </w:trP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Vendor/customer-requested</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Performed because a customer, insurer, or business partner asked for evidence of a CSF-aligned posture</w:t>
            </w:r>
          </w:p>
        </w:tc>
        <w:tc>
          <w:tcPr>
            <w:tcW w:type="dxa" w:w="3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Sales due diligence, cyber-insurance underwriting, M&amp;A diligence, vendor risk management</w:t>
            </w:r>
          </w:p>
        </w:tc>
      </w:tr>
    </w:tbl>
    <w:p>
      <w:pPr>
        <w:spacing w:after="160" w:line="276"/>
      </w:pPr>
      <w:r>
        <w:rPr>
          <w:rFonts w:ascii="Calibri" w:cs="Calibri" w:eastAsia="Calibri" w:hAnsi="Calibri"/>
          <w:sz w:val="22"/>
          <w:szCs w:val="22"/>
        </w:rPr>
        <w:t xml:space="preserve">All three models use the same underlying method and the same toolkit – what differs is who is in the room, how much independence is expected, and what happens with the results. This handbook is written so it works for all three; Part Four notes where the approach should flex.</w:t>
      </w:r>
    </w:p>
    <w:p>
      <w:pPr>
        <w:pStyle w:val="Heading2"/>
        <w:spacing w:after="150" w:before="300"/>
      </w:pPr>
      <w:r>
        <w:t xml:space="preserve">1.3 Key Terms You Need Before You Start</w:t>
      </w:r>
    </w:p>
    <w:p>
      <w:pPr>
        <w:spacing w:after="160" w:line="276"/>
      </w:pPr>
      <w:r>
        <w:rPr>
          <w:rFonts w:ascii="Calibri" w:cs="Calibri" w:eastAsia="Calibri" w:hAnsi="Calibri"/>
          <w:b/>
          <w:bCs/>
          <w:i w:val="false"/>
          <w:iCs w:val="false"/>
          <w:sz w:val="22"/>
          <w:szCs w:val="22"/>
        </w:rPr>
        <w:t xml:space="preserve">Function: </w:t>
      </w:r>
      <w:r>
        <w:rPr>
          <w:rFonts w:ascii="Calibri" w:cs="Calibri" w:eastAsia="Calibri" w:hAnsi="Calibri"/>
          <w:b w:val="false"/>
          <w:bCs w:val="false"/>
          <w:i w:val="false"/>
          <w:iCs w:val="false"/>
          <w:sz w:val="22"/>
          <w:szCs w:val="22"/>
        </w:rPr>
        <w:t xml:space="preserve">One of six top-level groupings of cybersecurity outcomes in the CSF Core: GOVERN, IDENTIFY, PROTECT, DETECT, RESPOND, RECOVER.</w:t>
      </w:r>
    </w:p>
    <w:p>
      <w:pPr>
        <w:spacing w:after="160" w:line="276"/>
      </w:pPr>
      <w:r>
        <w:rPr>
          <w:rFonts w:ascii="Calibri" w:cs="Calibri" w:eastAsia="Calibri" w:hAnsi="Calibri"/>
          <w:b/>
          <w:bCs/>
          <w:i w:val="false"/>
          <w:iCs w:val="false"/>
          <w:sz w:val="22"/>
          <w:szCs w:val="22"/>
        </w:rPr>
        <w:t xml:space="preserve">Category: </w:t>
      </w:r>
      <w:r>
        <w:rPr>
          <w:rFonts w:ascii="Calibri" w:cs="Calibri" w:eastAsia="Calibri" w:hAnsi="Calibri"/>
          <w:b w:val="false"/>
          <w:bCs w:val="false"/>
          <w:i w:val="false"/>
          <w:iCs w:val="false"/>
          <w:sz w:val="22"/>
          <w:szCs w:val="22"/>
        </w:rPr>
        <w:t xml:space="preserve">A subdivision of a Function into a related group of cybersecurity outcomes (e.g., GV.RM – Risk Management Strategy). CSF 2.0 has 22 categories.</w:t>
      </w:r>
    </w:p>
    <w:p>
      <w:pPr>
        <w:spacing w:after="160" w:line="276"/>
      </w:pPr>
      <w:r>
        <w:rPr>
          <w:rFonts w:ascii="Calibri" w:cs="Calibri" w:eastAsia="Calibri" w:hAnsi="Calibri"/>
          <w:b/>
          <w:bCs/>
          <w:i w:val="false"/>
          <w:iCs w:val="false"/>
          <w:sz w:val="22"/>
          <w:szCs w:val="22"/>
        </w:rPr>
        <w:t xml:space="preserve">Subcategory: </w:t>
      </w:r>
      <w:r>
        <w:rPr>
          <w:rFonts w:ascii="Calibri" w:cs="Calibri" w:eastAsia="Calibri" w:hAnsi="Calibri"/>
          <w:b w:val="false"/>
          <w:bCs w:val="false"/>
          <w:i w:val="false"/>
          <w:iCs w:val="false"/>
          <w:sz w:val="22"/>
          <w:szCs w:val="22"/>
        </w:rPr>
        <w:t xml:space="preserve">A specific, granular outcome statement within a Category (e.g., GV.RM-01). CSF 2.0 has 106 subcategories, with intentional numbering gaps preserved from the 1.1-to-2.0 transition.</w:t>
      </w:r>
    </w:p>
    <w:p>
      <w:pPr>
        <w:spacing w:after="160" w:line="276"/>
      </w:pPr>
      <w:r>
        <w:rPr>
          <w:rFonts w:ascii="Calibri" w:cs="Calibri" w:eastAsia="Calibri" w:hAnsi="Calibri"/>
          <w:b/>
          <w:bCs/>
          <w:i w:val="false"/>
          <w:iCs w:val="false"/>
          <w:sz w:val="22"/>
          <w:szCs w:val="22"/>
        </w:rPr>
        <w:t xml:space="preserve">Core: </w:t>
      </w:r>
      <w:r>
        <w:rPr>
          <w:rFonts w:ascii="Calibri" w:cs="Calibri" w:eastAsia="Calibri" w:hAnsi="Calibri"/>
          <w:b w:val="false"/>
          <w:bCs w:val="false"/>
          <w:i w:val="false"/>
          <w:iCs w:val="false"/>
          <w:sz w:val="22"/>
          <w:szCs w:val="22"/>
        </w:rPr>
        <w:t xml:space="preserve">The complete set of Functions, Categories and Subcategories – the framework's description of “what” cybersecurity outcomes an organization should consider.</w:t>
      </w:r>
    </w:p>
    <w:p>
      <w:pPr>
        <w:spacing w:after="160" w:line="276"/>
      </w:pPr>
      <w:r>
        <w:rPr>
          <w:rFonts w:ascii="Calibri" w:cs="Calibri" w:eastAsia="Calibri" w:hAnsi="Calibri"/>
          <w:b/>
          <w:bCs/>
          <w:i w:val="false"/>
          <w:iCs w:val="false"/>
          <w:sz w:val="22"/>
          <w:szCs w:val="22"/>
        </w:rPr>
        <w:t xml:space="preserve">Informative References: </w:t>
      </w:r>
      <w:r>
        <w:rPr>
          <w:rFonts w:ascii="Calibri" w:cs="Calibri" w:eastAsia="Calibri" w:hAnsi="Calibri"/>
          <w:b w:val="false"/>
          <w:bCs w:val="false"/>
          <w:i w:val="false"/>
          <w:iCs w:val="false"/>
          <w:sz w:val="22"/>
          <w:szCs w:val="22"/>
        </w:rPr>
        <w:t xml:space="preserve">Pointers from a CSF Subcategory to specific sections of other standards, guidelines or frameworks (e.g., NIST SP 800-53) that describe detailed methods for achieving that outcome.</w:t>
      </w:r>
    </w:p>
    <w:p>
      <w:pPr>
        <w:spacing w:after="160" w:line="276"/>
      </w:pPr>
      <w:r>
        <w:rPr>
          <w:rFonts w:ascii="Calibri" w:cs="Calibri" w:eastAsia="Calibri" w:hAnsi="Calibri"/>
          <w:b/>
          <w:bCs/>
          <w:i w:val="false"/>
          <w:iCs w:val="false"/>
          <w:sz w:val="22"/>
          <w:szCs w:val="22"/>
        </w:rPr>
        <w:t xml:space="preserve">Implementation Tier: </w:t>
      </w:r>
      <w:r>
        <w:rPr>
          <w:rFonts w:ascii="Calibri" w:cs="Calibri" w:eastAsia="Calibri" w:hAnsi="Calibri"/>
          <w:b w:val="false"/>
          <w:bCs w:val="false"/>
          <w:i w:val="false"/>
          <w:iCs w:val="false"/>
          <w:sz w:val="22"/>
          <w:szCs w:val="22"/>
        </w:rPr>
        <w:t xml:space="preserve">One of four official, qualitative levels – Partial, Risk Informed, Repeatable, Adaptive – describing the rigor and consistency of an organization's cybersecurity risk governance overall. Not a per-subcategory numeric score.</w:t>
      </w:r>
    </w:p>
    <w:p>
      <w:pPr>
        <w:spacing w:after="160" w:line="276"/>
      </w:pPr>
      <w:r>
        <w:rPr>
          <w:rFonts w:ascii="Calibri" w:cs="Calibri" w:eastAsia="Calibri" w:hAnsi="Calibri"/>
          <w:b/>
          <w:bCs/>
          <w:i w:val="false"/>
          <w:iCs w:val="false"/>
          <w:sz w:val="22"/>
          <w:szCs w:val="22"/>
        </w:rPr>
        <w:t xml:space="preserve">Organizational Profile: </w:t>
      </w:r>
      <w:r>
        <w:rPr>
          <w:rFonts w:ascii="Calibri" w:cs="Calibri" w:eastAsia="Calibri" w:hAnsi="Calibri"/>
          <w:b w:val="false"/>
          <w:bCs w:val="false"/>
          <w:i w:val="false"/>
          <w:iCs w:val="false"/>
          <w:sz w:val="22"/>
          <w:szCs w:val="22"/>
        </w:rPr>
        <w:t xml:space="preserve">A description of how an organization's cybersecurity activities align with the CSF Core outcomes, at a point in time (current) or as a goal (target).</w:t>
      </w:r>
    </w:p>
    <w:p>
      <w:pPr>
        <w:spacing w:after="160" w:line="276"/>
      </w:pPr>
      <w:r>
        <w:rPr>
          <w:rFonts w:ascii="Calibri" w:cs="Calibri" w:eastAsia="Calibri" w:hAnsi="Calibri"/>
          <w:b/>
          <w:bCs/>
          <w:i w:val="false"/>
          <w:iCs w:val="false"/>
          <w:sz w:val="22"/>
          <w:szCs w:val="22"/>
        </w:rPr>
        <w:t xml:space="preserve">Current Profile: </w:t>
      </w:r>
      <w:r>
        <w:rPr>
          <w:rFonts w:ascii="Calibri" w:cs="Calibri" w:eastAsia="Calibri" w:hAnsi="Calibri"/>
          <w:b w:val="false"/>
          <w:bCs w:val="false"/>
          <w:i w:val="false"/>
          <w:iCs w:val="false"/>
          <w:sz w:val="22"/>
          <w:szCs w:val="22"/>
        </w:rPr>
        <w:t xml:space="preserve">The cybersecurity outcomes an organization is presently achieving (or attempting to achieve), and how.</w:t>
      </w:r>
    </w:p>
    <w:p>
      <w:pPr>
        <w:spacing w:after="160" w:line="276"/>
      </w:pPr>
      <w:r>
        <w:rPr>
          <w:rFonts w:ascii="Calibri" w:cs="Calibri" w:eastAsia="Calibri" w:hAnsi="Calibri"/>
          <w:b/>
          <w:bCs/>
          <w:i w:val="false"/>
          <w:iCs w:val="false"/>
          <w:sz w:val="22"/>
          <w:szCs w:val="22"/>
        </w:rPr>
        <w:t xml:space="preserve">Target Profile: </w:t>
      </w:r>
      <w:r>
        <w:rPr>
          <w:rFonts w:ascii="Calibri" w:cs="Calibri" w:eastAsia="Calibri" w:hAnsi="Calibri"/>
          <w:b w:val="false"/>
          <w:bCs w:val="false"/>
          <w:i w:val="false"/>
          <w:iCs w:val="false"/>
          <w:sz w:val="22"/>
          <w:szCs w:val="22"/>
        </w:rPr>
        <w:t xml:space="preserve">The desired cybersecurity outcomes an organization has selected, informed by risk appetite, threat intelligence, and regulatory or business requirements.</w:t>
      </w:r>
    </w:p>
    <w:p>
      <w:pPr>
        <w:spacing w:after="160" w:line="276"/>
      </w:pPr>
      <w:r>
        <w:rPr>
          <w:rFonts w:ascii="Calibri" w:cs="Calibri" w:eastAsia="Calibri" w:hAnsi="Calibri"/>
          <w:sz w:val="22"/>
          <w:szCs w:val="22"/>
        </w:rPr>
        <w:t xml:space="preserve">(The full glossary, including report and remediation terms, appears at the end of this handbook.)</w:t>
      </w:r>
    </w:p>
    <w:p>
      <w:pPr>
        <w:pStyle w:val="Heading2"/>
        <w:spacing w:after="150" w:before="300"/>
      </w:pPr>
      <w:r>
        <w:t xml:space="preserve">1.4 The Assessor's Code of Conduct</w:t>
      </w:r>
    </w:p>
    <w:p>
      <w:pPr>
        <w:spacing w:after="160" w:line="276"/>
      </w:pPr>
      <w:r>
        <w:rPr>
          <w:rFonts w:ascii="Calibri" w:cs="Calibri" w:eastAsia="Calibri" w:hAnsi="Calibri"/>
          <w:sz w:val="22"/>
          <w:szCs w:val="22"/>
        </w:rPr>
        <w:t xml:space="preserve">There is no accreditation body enforcing conduct rules for CSF assessors the way there is for ISO certification auditors – which makes it more important, not less, that you hold yourself to a professional standard. The same principles that ISO 19011 sets out for management-system auditors apply directly: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blHeader/>
        </w:trPr>
        <w:tc>
          <w:tcPr>
            <w:tcW w:type="dxa" w:w="2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Principle</w:t>
            </w:r>
          </w:p>
        </w:tc>
        <w:tc>
          <w:tcPr>
            <w:tcW w:type="dxa" w:w="74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What it means in practice</w:t>
            </w:r>
          </w:p>
        </w:tc>
      </w:tr>
      <w:tr>
        <w:trPr>
          <w:cantSplit/>
        </w:trP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Objectivity</w:t>
            </w:r>
          </w:p>
        </w:tc>
        <w:tc>
          <w:tcPr>
            <w:tcW w:type="dxa" w:w="74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Assess against the evidence, not your own opinion or the organization's own assurances alone – even though no external body will ever review your work.</w:t>
            </w:r>
          </w:p>
        </w:tc>
      </w:tr>
      <w:tr>
        <w:trPr>
          <w:cantSplit/>
        </w:trP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Evidence-based approach</w:t>
            </w:r>
          </w:p>
        </w:tc>
        <w:tc>
          <w:tcPr>
            <w:tcW w:type="dxa" w:w="74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Every score and finding should trace back to something you observed, read, or were shown – not a general impression.</w:t>
            </w:r>
          </w:p>
        </w:tc>
      </w:tr>
      <w:tr>
        <w:trPr>
          <w:cantSplit/>
        </w:trP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Independence (where applicable)</w:t>
            </w:r>
          </w:p>
        </w:tc>
        <w:tc>
          <w:tcPr>
            <w:tcW w:type="dxa" w:w="74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 consultant-led or vendor-requested assessment loses its value if the assessor has a stake in the result; disclose any conflicts of interest.</w:t>
            </w:r>
          </w:p>
        </w:tc>
      </w:tr>
      <w:tr>
        <w:trPr>
          <w:cantSplit/>
        </w:trP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Confidentiality</w:t>
            </w:r>
          </w:p>
        </w:tc>
        <w:tc>
          <w:tcPr>
            <w:tcW w:type="dxa" w:w="74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Cybersecurity assessment data is sensitive by nature – protect it accordingly, and agree data-handling rules before you start.</w:t>
            </w:r>
          </w:p>
        </w:tc>
      </w:tr>
      <w:tr>
        <w:trPr>
          <w:cantSplit/>
        </w:trP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Competence</w:t>
            </w:r>
          </w:p>
        </w:tc>
        <w:tc>
          <w:tcPr>
            <w:tcW w:type="dxa" w:w="74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Only assess areas you understand well enough to ask good follow-up questions; bring in a technical specialist for areas outside your depth (e.g., OT/ICS security).</w:t>
            </w:r>
          </w:p>
        </w:tc>
      </w:tr>
      <w:tr>
        <w:trPr>
          <w:cantSplit/>
        </w:trP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Fair, balanced reporting</w:t>
            </w:r>
          </w:p>
        </w:tc>
        <w:tc>
          <w:tcPr>
            <w:tcW w:type="dxa" w:w="74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Report genuine strengths as well as gaps – a report that reads as entirely negative is usually incomplete, not thorough.</w:t>
            </w:r>
          </w:p>
        </w:tc>
      </w:tr>
    </w:tbl>
    <w:p>
      <w:pPr>
        <w:pStyle w:val="Heading2"/>
        <w:spacing w:after="150" w:before="300"/>
      </w:pPr>
      <w:r>
        <w:t xml:space="preserve">1.5 The Assessment Cycle at a Glance</w:t>
      </w:r>
    </w:p>
    <w:p>
      <w:pPr>
        <w:spacing w:after="160" w:line="276"/>
      </w:pPr>
      <w:r>
        <w:rPr>
          <w:rFonts w:ascii="Calibri" w:cs="Calibri" w:eastAsia="Calibri" w:hAnsi="Calibri"/>
          <w:sz w:val="22"/>
          <w:szCs w:val="22"/>
        </w:rPr>
        <w:t xml:space="preserve">Every CSF assessment, whatever its size, moves through the same broad phases. Part Three expands this into the full 8-step lifecycle, and Part Four gives you a template for each step.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blHeader/>
        </w:trPr>
        <w:tc>
          <w:tcPr>
            <w:tcW w:type="dxa" w:w="2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Phase</w:t>
            </w:r>
          </w:p>
        </w:tc>
        <w:tc>
          <w:tcPr>
            <w:tcW w:type="dxa" w:w="74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What happens</w:t>
            </w:r>
          </w:p>
        </w:tc>
      </w:tr>
      <w:tr>
        <w:trPr>
          <w:cantSplit/>
        </w:trP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 Scope &amp; plan</w:t>
            </w:r>
          </w:p>
        </w:tc>
        <w:tc>
          <w:tcPr>
            <w:tcW w:type="dxa" w:w="74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Define coverage, objectives, intended use of results, team and schedule (Template 1).</w:t>
            </w:r>
          </w:p>
        </w:tc>
      </w:tr>
      <w:tr>
        <w:trPr>
          <w:cantSplit/>
        </w:trP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 Engage stakeholders</w:t>
            </w:r>
          </w:p>
        </w:tc>
        <w:tc>
          <w:tcPr>
            <w:tcW w:type="dxa" w:w="74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Interviews and workshops across technical and non-technical functions (Template 7).</w:t>
            </w:r>
          </w:p>
        </w:tc>
      </w:tr>
      <w:tr>
        <w:trPr>
          <w:cantSplit/>
        </w:trP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 Build the Current Profile</w:t>
            </w:r>
          </w:p>
        </w:tc>
        <w:tc>
          <w:tcPr>
            <w:tcW w:type="dxa" w:w="74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Score current practice against all 106 subcategories, with evidence (Templates 2, 5).</w:t>
            </w:r>
          </w:p>
        </w:tc>
      </w:tr>
      <w:tr>
        <w:trPr>
          <w:cantSplit/>
        </w:trP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 Define the Target Profile</w:t>
            </w:r>
          </w:p>
        </w:tc>
        <w:tc>
          <w:tcPr>
            <w:tcW w:type="dxa" w:w="74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Select target Tier(s) and target scores based on risk appetite and drivers (Template 3).</w:t>
            </w:r>
          </w:p>
        </w:tc>
      </w:tr>
      <w:tr>
        <w:trPr>
          <w:cantSplit/>
        </w:trP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5. Analyze the gap</w:t>
            </w:r>
          </w:p>
        </w:tc>
        <w:tc>
          <w:tcPr>
            <w:tcW w:type="dxa" w:w="74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Roll up Current vs. Target by Category and Function; prioritize (Template 4).</w:t>
            </w:r>
          </w:p>
        </w:tc>
      </w:tr>
      <w:tr>
        <w:trPr>
          <w:cantSplit/>
        </w:trP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6. Report &amp; remediate</w:t>
            </w:r>
          </w:p>
        </w:tc>
        <w:tc>
          <w:tcPr>
            <w:tcW w:type="dxa" w:w="74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Document findings, write the report, and track remediation to closure (Templates 6, 8, 9, 10).</w:t>
            </w:r>
          </w:p>
        </w:tc>
      </w:tr>
      <w:tr>
        <w:trPr>
          <w:cantSplit/>
        </w:trP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7. Reassess</w:t>
            </w:r>
          </w:p>
        </w:tc>
        <w:tc>
          <w:tcPr>
            <w:tcW w:type="dxa" w:w="74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Set your own cadence and repeat – there is no external body dictating the schedule (Template 11).</w:t>
            </w:r>
          </w:p>
        </w:tc>
      </w:tr>
    </w:tbl>
    <w:p>
      <w:r>
        <w:br w:type="page"/>
      </w:r>
    </w:p>
    <w:p>
      <w:pPr>
        <w:pStyle w:val="Heading1"/>
        <w:spacing w:after="200" w:before="400"/>
      </w:pPr>
      <w:r>
        <w:t xml:space="preserve">Part Two – Understanding NIST CSF 2.0</w:t>
      </w:r>
    </w:p>
    <w:p>
      <w:pPr>
        <w:pStyle w:val="Heading2"/>
        <w:spacing w:after="150" w:before="300"/>
      </w:pPr>
      <w:r>
        <w:t xml:space="preserve">2.1 Why NIST CSF 2.0 Exists</w:t>
      </w:r>
    </w:p>
    <w:p>
      <w:pPr>
        <w:spacing w:after="160" w:line="276"/>
      </w:pPr>
      <w:r>
        <w:rPr>
          <w:rFonts w:ascii="Calibri" w:cs="Calibri" w:eastAsia="Calibri" w:hAnsi="Calibri"/>
          <w:sz w:val="22"/>
          <w:szCs w:val="22"/>
        </w:rPr>
        <w:t xml:space="preserve">NIST published Cybersecurity Framework (CSF) 2.0 on February 26, 2024 – the framework's first major update since its creation in 2014. The original CSF was built primarily for critical-infrastructure operators; CSF 2.0 was deliberately broadened for organizations of every sector and size, from a five-person startup to a multinational enterprise. It gives organizations a common vocabulary and a structured way to understand, communicate about, and manage cybersecurity risk – without prescribing a specific technology or dictating exactly how outcomes must be achieved.</w:t>
      </w:r>
    </w:p>
    <w:p>
      <w:pPr>
        <w:spacing w:after="160" w:line="276"/>
      </w:pPr>
      <w:r>
        <w:rPr>
          <w:rFonts w:ascii="Calibri" w:cs="Calibri" w:eastAsia="Calibri" w:hAnsi="Calibri"/>
          <w:sz w:val="22"/>
          <w:szCs w:val="22"/>
        </w:rPr>
        <w:t xml:space="preserve">CSF 2.0 effectively supersedes CSF 1.1 for new assessment work. There is no formal “withdrawn” banner on the CSF Core document itself, but every current NIST resource, reference tool, and reputable secondary source treats 2.0 as the current, authoritative version – which is the version this handbook and its companion toolkit are built around.</w:t>
      </w:r>
    </w:p>
    <w:p>
      <w:pPr>
        <w:pStyle w:val="Heading2"/>
        <w:spacing w:after="150" w:before="300"/>
      </w:pPr>
      <w:r>
        <w:t xml:space="preserve">2.2 The Structure: 6 Functions, 22 Categories, 106 Subcategories</w:t>
      </w:r>
    </w:p>
    <w:p>
      <w:pPr>
        <w:spacing w:after="160" w:line="276"/>
      </w:pPr>
      <w:r>
        <w:rPr>
          <w:rFonts w:ascii="Calibri" w:cs="Calibri" w:eastAsia="Calibri" w:hAnsi="Calibri"/>
          <w:sz w:val="22"/>
          <w:szCs w:val="22"/>
        </w:rPr>
        <w:t xml:space="preserve">The CSF Core organizes cybersecurity outcomes into three nested levels. A Function is the highest-level grouping (e.g., GOVERN). Each Function contains several Categories (e.g., GV.RM – Risk Management Strategy). Each Category contains one or more Subcategories – specific, testable outcome statements (e.g., GV.RM-01). GOVERN is new in CSF 2.0 as a standalone, top-level Function – it did not exist as a Function in CSF 1.1, reflecting a deliberate shift to put governance and organizational context on equal footing with the more technical Functions.</w:t>
      </w:r>
    </w:p>
    <w:p>
      <w:pPr>
        <w:spacing w:after="160" w:line="276"/>
      </w:pPr>
      <w:r>
        <w:rPr>
          <w:rFonts w:ascii="Calibri" w:cs="Calibri" w:eastAsia="Calibri" w:hAnsi="Calibri"/>
          <w:sz w:val="22"/>
          <w:szCs w:val="22"/>
        </w:rPr>
        <w:t xml:space="preserve">A note on numbering: several Categories have Subcategory codes with gaps (for example, ID.AM skips ID.AM-06, and PR.DS only uses PR.DS-01, -02, -10 and -11). These gaps are intentional and official – the missing numbers belonged to CSF 1.1 subcategories that were withdrawn or merged into a different Subcategory during the 2.0 update. Never renumber them to close the gaps; the companion workbook preserves every official code exactly as published.</w:t>
      </w:r>
    </w:p>
    <w:p>
      <w:pPr>
        <w:spacing w:after="160" w:line="276"/>
      </w:pPr>
      <w:r>
        <w:rPr>
          <w:rFonts w:ascii="Calibri" w:cs="Calibri" w:eastAsia="Calibri" w:hAnsi="Calibri"/>
          <w:sz w:val="22"/>
          <w:szCs w:val="22"/>
        </w:rPr>
        <w:t xml:space="preserve">The table below is the full structural map – all 6 Functions and 22 Categories. The complete 106-subcategory reference, with NIST's exact outcome wording for each, appears in Appendix 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80"/>
        <w:gridCol w:w="1000"/>
      </w:tblGrid>
      <w:tr>
        <w:trPr>
          <w:cantSplit/>
          <w:tblHeader/>
        </w:trPr>
        <w:tc>
          <w:tcPr>
            <w:tcW w:type="dxa" w:w="2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Function</w:t>
            </w:r>
          </w:p>
        </w:tc>
        <w:tc>
          <w:tcPr>
            <w:tcW w:type="dxa" w:w="1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Category Code</w:t>
            </w:r>
          </w:p>
        </w:tc>
        <w:tc>
          <w:tcPr>
            <w:tcW w:type="dxa" w:w="54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Category Title</w:t>
            </w:r>
          </w:p>
        </w:tc>
        <w:tc>
          <w:tcPr>
            <w:tcW w:type="dxa" w:w="10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 Subcats</w:t>
            </w:r>
          </w:p>
        </w:tc>
      </w:tr>
      <w:tr>
        <w:trPr>
          <w:cantSplit/>
        </w:trP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GOVERN (GV)</w:t>
            </w:r>
          </w:p>
        </w:tc>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GV.OC</w:t>
            </w:r>
          </w:p>
        </w:tc>
        <w:tc>
          <w:tcPr>
            <w:tcW w:type="dxa" w:w="54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Organizational Context</w:t>
            </w:r>
          </w:p>
        </w:tc>
        <w:tc>
          <w:tcPr>
            <w:tcW w:type="dxa" w:w="1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5</w:t>
            </w:r>
          </w:p>
        </w:tc>
      </w:tr>
      <w:tr>
        <w:trPr>
          <w:cantSplit/>
        </w:trPr>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GOVERN (GV)</w:t>
            </w:r>
          </w:p>
        </w:tc>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GV.RM</w:t>
            </w:r>
          </w:p>
        </w:tc>
        <w:tc>
          <w:tcPr>
            <w:tcW w:type="dxa" w:w="54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Risk Management Strategy</w:t>
            </w:r>
          </w:p>
        </w:tc>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7</w:t>
            </w:r>
          </w:p>
        </w:tc>
      </w:tr>
      <w:tr>
        <w:trPr>
          <w:cantSplit/>
        </w:trP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GOVERN (GV)</w:t>
            </w:r>
          </w:p>
        </w:tc>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GV.RR</w:t>
            </w:r>
          </w:p>
        </w:tc>
        <w:tc>
          <w:tcPr>
            <w:tcW w:type="dxa" w:w="54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Roles, Responsibilities, and Authorities</w:t>
            </w:r>
          </w:p>
        </w:tc>
        <w:tc>
          <w:tcPr>
            <w:tcW w:type="dxa" w:w="1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w:t>
            </w:r>
          </w:p>
        </w:tc>
      </w:tr>
      <w:tr>
        <w:trPr>
          <w:cantSplit/>
        </w:trPr>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GOVERN (GV)</w:t>
            </w:r>
          </w:p>
        </w:tc>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GV.PO</w:t>
            </w:r>
          </w:p>
        </w:tc>
        <w:tc>
          <w:tcPr>
            <w:tcW w:type="dxa" w:w="54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Policy</w:t>
            </w:r>
          </w:p>
        </w:tc>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w:t>
            </w:r>
          </w:p>
        </w:tc>
      </w:tr>
      <w:tr>
        <w:trPr>
          <w:cantSplit/>
        </w:trP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GOVERN (GV)</w:t>
            </w:r>
          </w:p>
        </w:tc>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GV.OV</w:t>
            </w:r>
          </w:p>
        </w:tc>
        <w:tc>
          <w:tcPr>
            <w:tcW w:type="dxa" w:w="54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Oversight</w:t>
            </w:r>
          </w:p>
        </w:tc>
        <w:tc>
          <w:tcPr>
            <w:tcW w:type="dxa" w:w="1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w:t>
            </w:r>
          </w:p>
        </w:tc>
      </w:tr>
      <w:tr>
        <w:trPr>
          <w:cantSplit/>
        </w:trPr>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GOVERN (GV)</w:t>
            </w:r>
          </w:p>
        </w:tc>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GV.SC</w:t>
            </w:r>
          </w:p>
        </w:tc>
        <w:tc>
          <w:tcPr>
            <w:tcW w:type="dxa" w:w="54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Cybersecurity Supply Chain Risk Management</w:t>
            </w:r>
          </w:p>
        </w:tc>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10</w:t>
            </w:r>
          </w:p>
        </w:tc>
      </w:tr>
      <w:tr>
        <w:trPr>
          <w:cantSplit/>
        </w:trP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IDENTIFY (ID)</w:t>
            </w:r>
          </w:p>
        </w:tc>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ID.AM</w:t>
            </w:r>
          </w:p>
        </w:tc>
        <w:tc>
          <w:tcPr>
            <w:tcW w:type="dxa" w:w="54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Asset Management</w:t>
            </w:r>
          </w:p>
        </w:tc>
        <w:tc>
          <w:tcPr>
            <w:tcW w:type="dxa" w:w="1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7</w:t>
            </w:r>
          </w:p>
        </w:tc>
      </w:tr>
      <w:tr>
        <w:trPr>
          <w:cantSplit/>
        </w:trPr>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IDENTIFY (ID)</w:t>
            </w:r>
          </w:p>
        </w:tc>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ID.RA</w:t>
            </w:r>
          </w:p>
        </w:tc>
        <w:tc>
          <w:tcPr>
            <w:tcW w:type="dxa" w:w="54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Risk Assessment</w:t>
            </w:r>
          </w:p>
        </w:tc>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10</w:t>
            </w:r>
          </w:p>
        </w:tc>
      </w:tr>
      <w:tr>
        <w:trPr>
          <w:cantSplit/>
        </w:trP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IDENTIFY (ID)</w:t>
            </w:r>
          </w:p>
        </w:tc>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ID.IM</w:t>
            </w:r>
          </w:p>
        </w:tc>
        <w:tc>
          <w:tcPr>
            <w:tcW w:type="dxa" w:w="54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Improvement</w:t>
            </w:r>
          </w:p>
        </w:tc>
        <w:tc>
          <w:tcPr>
            <w:tcW w:type="dxa" w:w="1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w:t>
            </w:r>
          </w:p>
        </w:tc>
      </w:tr>
      <w:tr>
        <w:trPr>
          <w:cantSplit/>
        </w:trPr>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PROTECT (PR)</w:t>
            </w:r>
          </w:p>
        </w:tc>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PR.AA</w:t>
            </w:r>
          </w:p>
        </w:tc>
        <w:tc>
          <w:tcPr>
            <w:tcW w:type="dxa" w:w="54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Identity Management, Authentication, and Access Control</w:t>
            </w:r>
          </w:p>
        </w:tc>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6</w:t>
            </w:r>
          </w:p>
        </w:tc>
      </w:tr>
      <w:tr>
        <w:trPr>
          <w:cantSplit/>
        </w:trP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PROTECT (PR)</w:t>
            </w:r>
          </w:p>
        </w:tc>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PR.AT</w:t>
            </w:r>
          </w:p>
        </w:tc>
        <w:tc>
          <w:tcPr>
            <w:tcW w:type="dxa" w:w="54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Awareness and Training</w:t>
            </w:r>
          </w:p>
        </w:tc>
        <w:tc>
          <w:tcPr>
            <w:tcW w:type="dxa" w:w="1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w:t>
            </w:r>
          </w:p>
        </w:tc>
      </w:tr>
      <w:tr>
        <w:trPr>
          <w:cantSplit/>
        </w:trPr>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PROTECT (PR)</w:t>
            </w:r>
          </w:p>
        </w:tc>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PR.DS</w:t>
            </w:r>
          </w:p>
        </w:tc>
        <w:tc>
          <w:tcPr>
            <w:tcW w:type="dxa" w:w="54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Data Security</w:t>
            </w:r>
          </w:p>
        </w:tc>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w:t>
            </w:r>
          </w:p>
        </w:tc>
      </w:tr>
      <w:tr>
        <w:trPr>
          <w:cantSplit/>
        </w:trP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PROTECT (PR)</w:t>
            </w:r>
          </w:p>
        </w:tc>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PR.PS</w:t>
            </w:r>
          </w:p>
        </w:tc>
        <w:tc>
          <w:tcPr>
            <w:tcW w:type="dxa" w:w="54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Platform Security</w:t>
            </w:r>
          </w:p>
        </w:tc>
        <w:tc>
          <w:tcPr>
            <w:tcW w:type="dxa" w:w="1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6</w:t>
            </w:r>
          </w:p>
        </w:tc>
      </w:tr>
      <w:tr>
        <w:trPr>
          <w:cantSplit/>
        </w:trPr>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PROTECT (PR)</w:t>
            </w:r>
          </w:p>
        </w:tc>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PR.IR</w:t>
            </w:r>
          </w:p>
        </w:tc>
        <w:tc>
          <w:tcPr>
            <w:tcW w:type="dxa" w:w="54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Technology Infrastructure Resilience</w:t>
            </w:r>
          </w:p>
        </w:tc>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w:t>
            </w:r>
          </w:p>
        </w:tc>
      </w:tr>
      <w:tr>
        <w:trPr>
          <w:cantSplit/>
        </w:trP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DETECT (DE)</w:t>
            </w:r>
          </w:p>
        </w:tc>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DE.CM</w:t>
            </w:r>
          </w:p>
        </w:tc>
        <w:tc>
          <w:tcPr>
            <w:tcW w:type="dxa" w:w="54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Continuous Monitoring</w:t>
            </w:r>
          </w:p>
        </w:tc>
        <w:tc>
          <w:tcPr>
            <w:tcW w:type="dxa" w:w="1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5</w:t>
            </w:r>
          </w:p>
        </w:tc>
      </w:tr>
      <w:tr>
        <w:trPr>
          <w:cantSplit/>
        </w:trPr>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DETECT (DE)</w:t>
            </w:r>
          </w:p>
        </w:tc>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DE.AE</w:t>
            </w:r>
          </w:p>
        </w:tc>
        <w:tc>
          <w:tcPr>
            <w:tcW w:type="dxa" w:w="54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Adverse Event Analysis</w:t>
            </w:r>
          </w:p>
        </w:tc>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6</w:t>
            </w:r>
          </w:p>
        </w:tc>
      </w:tr>
      <w:tr>
        <w:trPr>
          <w:cantSplit/>
        </w:trP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RESPOND (RS)</w:t>
            </w:r>
          </w:p>
        </w:tc>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RS.MA</w:t>
            </w:r>
          </w:p>
        </w:tc>
        <w:tc>
          <w:tcPr>
            <w:tcW w:type="dxa" w:w="54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Incident Management</w:t>
            </w:r>
          </w:p>
        </w:tc>
        <w:tc>
          <w:tcPr>
            <w:tcW w:type="dxa" w:w="1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5</w:t>
            </w:r>
          </w:p>
        </w:tc>
      </w:tr>
      <w:tr>
        <w:trPr>
          <w:cantSplit/>
        </w:trPr>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RESPOND (RS)</w:t>
            </w:r>
          </w:p>
        </w:tc>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RS.AN</w:t>
            </w:r>
          </w:p>
        </w:tc>
        <w:tc>
          <w:tcPr>
            <w:tcW w:type="dxa" w:w="54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Incident Analysis</w:t>
            </w:r>
          </w:p>
        </w:tc>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w:t>
            </w:r>
          </w:p>
        </w:tc>
      </w:tr>
      <w:tr>
        <w:trPr>
          <w:cantSplit/>
        </w:trP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RESPOND (RS)</w:t>
            </w:r>
          </w:p>
        </w:tc>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RS.CO</w:t>
            </w:r>
          </w:p>
        </w:tc>
        <w:tc>
          <w:tcPr>
            <w:tcW w:type="dxa" w:w="54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Incident Response Reporting and Communication</w:t>
            </w:r>
          </w:p>
        </w:tc>
        <w:tc>
          <w:tcPr>
            <w:tcW w:type="dxa" w:w="1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w:t>
            </w:r>
          </w:p>
        </w:tc>
      </w:tr>
      <w:tr>
        <w:trPr>
          <w:cantSplit/>
        </w:trPr>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RESPOND (RS)</w:t>
            </w:r>
          </w:p>
        </w:tc>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RS.MI</w:t>
            </w:r>
          </w:p>
        </w:tc>
        <w:tc>
          <w:tcPr>
            <w:tcW w:type="dxa" w:w="54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Incident Mitigation</w:t>
            </w:r>
          </w:p>
        </w:tc>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w:t>
            </w:r>
          </w:p>
        </w:tc>
      </w:tr>
      <w:tr>
        <w:trPr>
          <w:cantSplit/>
        </w:trP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RECOVER (RC)</w:t>
            </w:r>
          </w:p>
        </w:tc>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RC.RP</w:t>
            </w:r>
          </w:p>
        </w:tc>
        <w:tc>
          <w:tcPr>
            <w:tcW w:type="dxa" w:w="54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Incident Recovery Plan Execution</w:t>
            </w:r>
          </w:p>
        </w:tc>
        <w:tc>
          <w:tcPr>
            <w:tcW w:type="dxa" w:w="1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6</w:t>
            </w:r>
          </w:p>
        </w:tc>
      </w:tr>
      <w:tr>
        <w:trPr>
          <w:cantSplit/>
        </w:trPr>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RECOVER (RC)</w:t>
            </w:r>
          </w:p>
        </w:tc>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RC.CO</w:t>
            </w:r>
          </w:p>
        </w:tc>
        <w:tc>
          <w:tcPr>
            <w:tcW w:type="dxa" w:w="54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Incident Recovery Communication</w:t>
            </w:r>
          </w:p>
        </w:tc>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w:t>
            </w:r>
          </w:p>
        </w:tc>
      </w:tr>
    </w:tbl>
    <w:p>
      <w:pPr>
        <w:spacing w:after="120"/>
      </w:pPr>
    </w:p>
    <w:p>
      <w:pPr>
        <w:spacing w:after="160" w:line="276"/>
      </w:pPr>
      <w:r>
        <w:rPr>
          <w:rFonts w:ascii="Calibri" w:cs="Calibri" w:eastAsia="Calibri" w:hAnsi="Calibri"/>
          <w:sz w:val="22"/>
          <w:szCs w:val="22"/>
        </w:rPr>
        <w:t xml:space="preserve">In plain language, here is what each Category is really asking you to look at:</w:t>
      </w:r>
    </w:p>
    <w:p>
      <w:pPr>
        <w:pStyle w:val="Heading3"/>
        <w:spacing w:after="120" w:before="240"/>
      </w:pPr>
      <w:r>
        <w:t xml:space="preserve">GOVERN (GV)</w:t>
      </w:r>
    </w:p>
    <w:p>
      <w:pPr>
        <w:spacing w:after="160" w:line="276"/>
      </w:pPr>
      <w:r>
        <w:rPr>
          <w:rFonts w:ascii="Calibri" w:cs="Calibri" w:eastAsia="Calibri" w:hAnsi="Calibri"/>
          <w:b/>
          <w:bCs/>
          <w:i w:val="false"/>
          <w:iCs w:val="false"/>
          <w:sz w:val="22"/>
          <w:szCs w:val="22"/>
        </w:rPr>
        <w:t xml:space="preserve">GV.OC – Organizational Context: </w:t>
      </w:r>
      <w:r>
        <w:rPr>
          <w:rFonts w:ascii="Calibri" w:cs="Calibri" w:eastAsia="Calibri" w:hAnsi="Calibri"/>
          <w:b w:val="false"/>
          <w:bCs w:val="false"/>
          <w:i w:val="false"/>
          <w:iCs w:val="false"/>
          <w:sz w:val="22"/>
          <w:szCs w:val="22"/>
        </w:rPr>
        <w:t xml:space="preserve">Understand your mission, stakeholders, legal/regulatory obligations, and dependencies that shape your cybersecurity priorities.</w:t>
      </w:r>
    </w:p>
    <w:p>
      <w:pPr>
        <w:spacing w:after="160" w:line="276"/>
      </w:pPr>
      <w:r>
        <w:rPr>
          <w:rFonts w:ascii="Calibri" w:cs="Calibri" w:eastAsia="Calibri" w:hAnsi="Calibri"/>
          <w:b/>
          <w:bCs/>
          <w:i w:val="false"/>
          <w:iCs w:val="false"/>
          <w:sz w:val="22"/>
          <w:szCs w:val="22"/>
        </w:rPr>
        <w:t xml:space="preserve">GV.RM – Risk Management Strategy: </w:t>
      </w:r>
      <w:r>
        <w:rPr>
          <w:rFonts w:ascii="Calibri" w:cs="Calibri" w:eastAsia="Calibri" w:hAnsi="Calibri"/>
          <w:b w:val="false"/>
          <w:bCs w:val="false"/>
          <w:i w:val="false"/>
          <w:iCs w:val="false"/>
          <w:sz w:val="22"/>
          <w:szCs w:val="22"/>
        </w:rPr>
        <w:t xml:space="preserve">Set risk appetite and tolerance, and agree a consistent, organization-wide way to identify, evaluate and respond to cybersecurity risk.</w:t>
      </w:r>
    </w:p>
    <w:p>
      <w:pPr>
        <w:spacing w:after="160" w:line="276"/>
      </w:pPr>
      <w:r>
        <w:rPr>
          <w:rFonts w:ascii="Calibri" w:cs="Calibri" w:eastAsia="Calibri" w:hAnsi="Calibri"/>
          <w:b/>
          <w:bCs/>
          <w:i w:val="false"/>
          <w:iCs w:val="false"/>
          <w:sz w:val="22"/>
          <w:szCs w:val="22"/>
        </w:rPr>
        <w:t xml:space="preserve">GV.RR – Roles, Responsibilities, and Authorities: </w:t>
      </w:r>
      <w:r>
        <w:rPr>
          <w:rFonts w:ascii="Calibri" w:cs="Calibri" w:eastAsia="Calibri" w:hAnsi="Calibri"/>
          <w:b w:val="false"/>
          <w:bCs w:val="false"/>
          <w:i w:val="false"/>
          <w:iCs w:val="false"/>
          <w:sz w:val="22"/>
          <w:szCs w:val="22"/>
        </w:rPr>
        <w:t xml:space="preserve">Make clear who owns cybersecurity risk, from the board down to individual roles, and back that ownership with resources.</w:t>
      </w:r>
    </w:p>
    <w:p>
      <w:pPr>
        <w:spacing w:after="160" w:line="276"/>
      </w:pPr>
      <w:r>
        <w:rPr>
          <w:rFonts w:ascii="Calibri" w:cs="Calibri" w:eastAsia="Calibri" w:hAnsi="Calibri"/>
          <w:b/>
          <w:bCs/>
          <w:i w:val="false"/>
          <w:iCs w:val="false"/>
          <w:sz w:val="22"/>
          <w:szCs w:val="22"/>
        </w:rPr>
        <w:t xml:space="preserve">GV.PO – Policy: </w:t>
      </w:r>
      <w:r>
        <w:rPr>
          <w:rFonts w:ascii="Calibri" w:cs="Calibri" w:eastAsia="Calibri" w:hAnsi="Calibri"/>
          <w:b w:val="false"/>
          <w:bCs w:val="false"/>
          <w:i w:val="false"/>
          <w:iCs w:val="false"/>
          <w:sz w:val="22"/>
          <w:szCs w:val="22"/>
        </w:rPr>
        <w:t xml:space="preserve">Establish a documented cybersecurity policy and keep it current as context, threats and technology change.</w:t>
      </w:r>
    </w:p>
    <w:p>
      <w:pPr>
        <w:spacing w:after="160" w:line="276"/>
      </w:pPr>
      <w:r>
        <w:rPr>
          <w:rFonts w:ascii="Calibri" w:cs="Calibri" w:eastAsia="Calibri" w:hAnsi="Calibri"/>
          <w:b/>
          <w:bCs/>
          <w:i w:val="false"/>
          <w:iCs w:val="false"/>
          <w:sz w:val="22"/>
          <w:szCs w:val="22"/>
        </w:rPr>
        <w:t xml:space="preserve">GV.OV – Oversight: </w:t>
      </w:r>
      <w:r>
        <w:rPr>
          <w:rFonts w:ascii="Calibri" w:cs="Calibri" w:eastAsia="Calibri" w:hAnsi="Calibri"/>
          <w:b w:val="false"/>
          <w:bCs w:val="false"/>
          <w:i w:val="false"/>
          <w:iCs w:val="false"/>
          <w:sz w:val="22"/>
          <w:szCs w:val="22"/>
        </w:rPr>
        <w:t xml:space="preserve">Regularly review whether the risk management strategy is actually working, and adjust it based on results.</w:t>
      </w:r>
    </w:p>
    <w:p>
      <w:pPr>
        <w:spacing w:after="160" w:line="276"/>
      </w:pPr>
      <w:r>
        <w:rPr>
          <w:rFonts w:ascii="Calibri" w:cs="Calibri" w:eastAsia="Calibri" w:hAnsi="Calibri"/>
          <w:b/>
          <w:bCs/>
          <w:i w:val="false"/>
          <w:iCs w:val="false"/>
          <w:sz w:val="22"/>
          <w:szCs w:val="22"/>
        </w:rPr>
        <w:t xml:space="preserve">GV.SC – Cybersecurity Supply Chain Risk Management: </w:t>
      </w:r>
      <w:r>
        <w:rPr>
          <w:rFonts w:ascii="Calibri" w:cs="Calibri" w:eastAsia="Calibri" w:hAnsi="Calibri"/>
          <w:b w:val="false"/>
          <w:bCs w:val="false"/>
          <w:i w:val="false"/>
          <w:iCs w:val="false"/>
          <w:sz w:val="22"/>
          <w:szCs w:val="22"/>
        </w:rPr>
        <w:t xml:space="preserve">Manage cybersecurity risk introduced by suppliers, vendors, customers and other third parties across the full relationship lifecycle.</w:t>
      </w:r>
    </w:p>
    <w:p>
      <w:pPr>
        <w:pStyle w:val="Heading3"/>
        <w:spacing w:after="120" w:before="240"/>
      </w:pPr>
      <w:r>
        <w:t xml:space="preserve">IDENTIFY (ID)</w:t>
      </w:r>
    </w:p>
    <w:p>
      <w:pPr>
        <w:spacing w:after="160" w:line="276"/>
      </w:pPr>
      <w:r>
        <w:rPr>
          <w:rFonts w:ascii="Calibri" w:cs="Calibri" w:eastAsia="Calibri" w:hAnsi="Calibri"/>
          <w:b/>
          <w:bCs/>
          <w:i w:val="false"/>
          <w:iCs w:val="false"/>
          <w:sz w:val="22"/>
          <w:szCs w:val="22"/>
        </w:rPr>
        <w:t xml:space="preserve">ID.AM – Asset Management: </w:t>
      </w:r>
      <w:r>
        <w:rPr>
          <w:rFonts w:ascii="Calibri" w:cs="Calibri" w:eastAsia="Calibri" w:hAnsi="Calibri"/>
          <w:b w:val="false"/>
          <w:bCs w:val="false"/>
          <w:i w:val="false"/>
          <w:iCs w:val="false"/>
          <w:sz w:val="22"/>
          <w:szCs w:val="22"/>
        </w:rPr>
        <w:t xml:space="preserve">Know what hardware, software, data, services and systems you have, and how critical each one is to the mission.</w:t>
      </w:r>
    </w:p>
    <w:p>
      <w:pPr>
        <w:spacing w:after="160" w:line="276"/>
      </w:pPr>
      <w:r>
        <w:rPr>
          <w:rFonts w:ascii="Calibri" w:cs="Calibri" w:eastAsia="Calibri" w:hAnsi="Calibri"/>
          <w:b/>
          <w:bCs/>
          <w:i w:val="false"/>
          <w:iCs w:val="false"/>
          <w:sz w:val="22"/>
          <w:szCs w:val="22"/>
        </w:rPr>
        <w:t xml:space="preserve">ID.RA – Risk Assessment: </w:t>
      </w:r>
      <w:r>
        <w:rPr>
          <w:rFonts w:ascii="Calibri" w:cs="Calibri" w:eastAsia="Calibri" w:hAnsi="Calibri"/>
          <w:b w:val="false"/>
          <w:bCs w:val="false"/>
          <w:i w:val="false"/>
          <w:iCs w:val="false"/>
          <w:sz w:val="22"/>
          <w:szCs w:val="22"/>
        </w:rPr>
        <w:t xml:space="preserve">Identify vulnerabilities and threats, understand their likely impact, and use that understanding to prioritize your response.</w:t>
      </w:r>
    </w:p>
    <w:p>
      <w:pPr>
        <w:spacing w:after="160" w:line="276"/>
      </w:pPr>
      <w:r>
        <w:rPr>
          <w:rFonts w:ascii="Calibri" w:cs="Calibri" w:eastAsia="Calibri" w:hAnsi="Calibri"/>
          <w:b/>
          <w:bCs/>
          <w:i w:val="false"/>
          <w:iCs w:val="false"/>
          <w:sz w:val="22"/>
          <w:szCs w:val="22"/>
        </w:rPr>
        <w:t xml:space="preserve">ID.IM – Improvement: </w:t>
      </w:r>
      <w:r>
        <w:rPr>
          <w:rFonts w:ascii="Calibri" w:cs="Calibri" w:eastAsia="Calibri" w:hAnsi="Calibri"/>
          <w:b w:val="false"/>
          <w:bCs w:val="false"/>
          <w:i w:val="false"/>
          <w:iCs w:val="false"/>
          <w:sz w:val="22"/>
          <w:szCs w:val="22"/>
        </w:rPr>
        <w:t xml:space="preserve">Turn lessons from evaluations, tests, exercises and day-to-day operations into concrete, tracked improvements.</w:t>
      </w:r>
    </w:p>
    <w:p>
      <w:pPr>
        <w:pStyle w:val="Heading3"/>
        <w:spacing w:after="120" w:before="240"/>
      </w:pPr>
      <w:r>
        <w:t xml:space="preserve">PROTECT (PR)</w:t>
      </w:r>
    </w:p>
    <w:p>
      <w:pPr>
        <w:spacing w:after="160" w:line="276"/>
      </w:pPr>
      <w:r>
        <w:rPr>
          <w:rFonts w:ascii="Calibri" w:cs="Calibri" w:eastAsia="Calibri" w:hAnsi="Calibri"/>
          <w:b/>
          <w:bCs/>
          <w:i w:val="false"/>
          <w:iCs w:val="false"/>
          <w:sz w:val="22"/>
          <w:szCs w:val="22"/>
        </w:rPr>
        <w:t xml:space="preserve">PR.AA – Identity Management, Authentication, and Access Control: </w:t>
      </w:r>
      <w:r>
        <w:rPr>
          <w:rFonts w:ascii="Calibri" w:cs="Calibri" w:eastAsia="Calibri" w:hAnsi="Calibri"/>
          <w:b w:val="false"/>
          <w:bCs w:val="false"/>
          <w:i w:val="false"/>
          <w:iCs w:val="false"/>
          <w:sz w:val="22"/>
          <w:szCs w:val="22"/>
        </w:rPr>
        <w:t xml:space="preserve">Control who (and what) can access your systems and data, and verify they are who -- or what -- they claim to be.</w:t>
      </w:r>
    </w:p>
    <w:p>
      <w:pPr>
        <w:spacing w:after="160" w:line="276"/>
      </w:pPr>
      <w:r>
        <w:rPr>
          <w:rFonts w:ascii="Calibri" w:cs="Calibri" w:eastAsia="Calibri" w:hAnsi="Calibri"/>
          <w:b/>
          <w:bCs/>
          <w:i w:val="false"/>
          <w:iCs w:val="false"/>
          <w:sz w:val="22"/>
          <w:szCs w:val="22"/>
        </w:rPr>
        <w:t xml:space="preserve">PR.AT – Awareness and Training: </w:t>
      </w:r>
      <w:r>
        <w:rPr>
          <w:rFonts w:ascii="Calibri" w:cs="Calibri" w:eastAsia="Calibri" w:hAnsi="Calibri"/>
          <w:b w:val="false"/>
          <w:bCs w:val="false"/>
          <w:i w:val="false"/>
          <w:iCs w:val="false"/>
          <w:sz w:val="22"/>
          <w:szCs w:val="22"/>
        </w:rPr>
        <w:t xml:space="preserve">Make sure both general staff and people in specialized roles have the security knowledge and skills to do their jobs safely.</w:t>
      </w:r>
    </w:p>
    <w:p>
      <w:pPr>
        <w:spacing w:after="160" w:line="276"/>
      </w:pPr>
      <w:r>
        <w:rPr>
          <w:rFonts w:ascii="Calibri" w:cs="Calibri" w:eastAsia="Calibri" w:hAnsi="Calibri"/>
          <w:b/>
          <w:bCs/>
          <w:i w:val="false"/>
          <w:iCs w:val="false"/>
          <w:sz w:val="22"/>
          <w:szCs w:val="22"/>
        </w:rPr>
        <w:t xml:space="preserve">PR.DS – Data Security: </w:t>
      </w:r>
      <w:r>
        <w:rPr>
          <w:rFonts w:ascii="Calibri" w:cs="Calibri" w:eastAsia="Calibri" w:hAnsi="Calibri"/>
          <w:b w:val="false"/>
          <w:bCs w:val="false"/>
          <w:i w:val="false"/>
          <w:iCs w:val="false"/>
          <w:sz w:val="22"/>
          <w:szCs w:val="22"/>
        </w:rPr>
        <w:t xml:space="preserve">Protect the confidentiality, integrity and availability of data at rest, in transit, in use, and in backups.</w:t>
      </w:r>
    </w:p>
    <w:p>
      <w:pPr>
        <w:spacing w:after="160" w:line="276"/>
      </w:pPr>
      <w:r>
        <w:rPr>
          <w:rFonts w:ascii="Calibri" w:cs="Calibri" w:eastAsia="Calibri" w:hAnsi="Calibri"/>
          <w:b/>
          <w:bCs/>
          <w:i w:val="false"/>
          <w:iCs w:val="false"/>
          <w:sz w:val="22"/>
          <w:szCs w:val="22"/>
        </w:rPr>
        <w:t xml:space="preserve">PR.PS – Platform Security: </w:t>
      </w:r>
      <w:r>
        <w:rPr>
          <w:rFonts w:ascii="Calibri" w:cs="Calibri" w:eastAsia="Calibri" w:hAnsi="Calibri"/>
          <w:b w:val="false"/>
          <w:bCs w:val="false"/>
          <w:i w:val="false"/>
          <w:iCs w:val="false"/>
          <w:sz w:val="22"/>
          <w:szCs w:val="22"/>
        </w:rPr>
        <w:t xml:space="preserve">Keep hardware, software, configurations, patching and logging securely managed throughout their lifecycle, and prevent unauthorized software.</w:t>
      </w:r>
    </w:p>
    <w:p>
      <w:pPr>
        <w:spacing w:after="160" w:line="276"/>
      </w:pPr>
      <w:r>
        <w:rPr>
          <w:rFonts w:ascii="Calibri" w:cs="Calibri" w:eastAsia="Calibri" w:hAnsi="Calibri"/>
          <w:b/>
          <w:bCs/>
          <w:i w:val="false"/>
          <w:iCs w:val="false"/>
          <w:sz w:val="22"/>
          <w:szCs w:val="22"/>
        </w:rPr>
        <w:t xml:space="preserve">PR.IR – Technology Infrastructure Resilience: </w:t>
      </w:r>
      <w:r>
        <w:rPr>
          <w:rFonts w:ascii="Calibri" w:cs="Calibri" w:eastAsia="Calibri" w:hAnsi="Calibri"/>
          <w:b w:val="false"/>
          <w:bCs w:val="false"/>
          <w:i w:val="false"/>
          <w:iCs w:val="false"/>
          <w:sz w:val="22"/>
          <w:szCs w:val="22"/>
        </w:rPr>
        <w:t xml:space="preserve">Design networks and infrastructure to keep operating -- and keep serving their purpose -- under both normal and adverse conditions.</w:t>
      </w:r>
    </w:p>
    <w:p>
      <w:pPr>
        <w:pStyle w:val="Heading3"/>
        <w:spacing w:after="120" w:before="240"/>
      </w:pPr>
      <w:r>
        <w:t xml:space="preserve">DETECT (DE)</w:t>
      </w:r>
    </w:p>
    <w:p>
      <w:pPr>
        <w:spacing w:after="160" w:line="276"/>
      </w:pPr>
      <w:r>
        <w:rPr>
          <w:rFonts w:ascii="Calibri" w:cs="Calibri" w:eastAsia="Calibri" w:hAnsi="Calibri"/>
          <w:b/>
          <w:bCs/>
          <w:i w:val="false"/>
          <w:iCs w:val="false"/>
          <w:sz w:val="22"/>
          <w:szCs w:val="22"/>
        </w:rPr>
        <w:t xml:space="preserve">DE.CM – Continuous Monitoring: </w:t>
      </w:r>
      <w:r>
        <w:rPr>
          <w:rFonts w:ascii="Calibri" w:cs="Calibri" w:eastAsia="Calibri" w:hAnsi="Calibri"/>
          <w:b w:val="false"/>
          <w:bCs w:val="false"/>
          <w:i w:val="false"/>
          <w:iCs w:val="false"/>
          <w:sz w:val="22"/>
          <w:szCs w:val="22"/>
        </w:rPr>
        <w:t xml:space="preserve">Continuously watch networks, the physical environment, personnel activity, external providers and computing assets for signs of trouble.</w:t>
      </w:r>
    </w:p>
    <w:p>
      <w:pPr>
        <w:spacing w:after="160" w:line="276"/>
      </w:pPr>
      <w:r>
        <w:rPr>
          <w:rFonts w:ascii="Calibri" w:cs="Calibri" w:eastAsia="Calibri" w:hAnsi="Calibri"/>
          <w:b/>
          <w:bCs/>
          <w:i w:val="false"/>
          <w:iCs w:val="false"/>
          <w:sz w:val="22"/>
          <w:szCs w:val="22"/>
        </w:rPr>
        <w:t xml:space="preserve">DE.AE – Adverse Event Analysis: </w:t>
      </w:r>
      <w:r>
        <w:rPr>
          <w:rFonts w:ascii="Calibri" w:cs="Calibri" w:eastAsia="Calibri" w:hAnsi="Calibri"/>
          <w:b w:val="false"/>
          <w:bCs w:val="false"/>
          <w:i w:val="false"/>
          <w:iCs w:val="false"/>
          <w:sz w:val="22"/>
          <w:szCs w:val="22"/>
        </w:rPr>
        <w:t xml:space="preserve">Analyze and correlate what you observe, understand impact and scope, and formally declare an incident when criteria are met.</w:t>
      </w:r>
    </w:p>
    <w:p>
      <w:pPr>
        <w:pStyle w:val="Heading3"/>
        <w:spacing w:after="120" w:before="240"/>
      </w:pPr>
      <w:r>
        <w:t xml:space="preserve">RESPOND (RS)</w:t>
      </w:r>
    </w:p>
    <w:p>
      <w:pPr>
        <w:spacing w:after="160" w:line="276"/>
      </w:pPr>
      <w:r>
        <w:rPr>
          <w:rFonts w:ascii="Calibri" w:cs="Calibri" w:eastAsia="Calibri" w:hAnsi="Calibri"/>
          <w:b/>
          <w:bCs/>
          <w:i w:val="false"/>
          <w:iCs w:val="false"/>
          <w:sz w:val="22"/>
          <w:szCs w:val="22"/>
        </w:rPr>
        <w:t xml:space="preserve">RS.MA – Incident Management: </w:t>
      </w:r>
      <w:r>
        <w:rPr>
          <w:rFonts w:ascii="Calibri" w:cs="Calibri" w:eastAsia="Calibri" w:hAnsi="Calibri"/>
          <w:b w:val="false"/>
          <w:bCs w:val="false"/>
          <w:i w:val="false"/>
          <w:iCs w:val="false"/>
          <w:sz w:val="22"/>
          <w:szCs w:val="22"/>
        </w:rPr>
        <w:t xml:space="preserve">Execute the incident response plan: triage and validate reports, categorize and prioritize, escalate as needed, and decide when recovery begins.</w:t>
      </w:r>
    </w:p>
    <w:p>
      <w:pPr>
        <w:spacing w:after="160" w:line="276"/>
      </w:pPr>
      <w:r>
        <w:rPr>
          <w:rFonts w:ascii="Calibri" w:cs="Calibri" w:eastAsia="Calibri" w:hAnsi="Calibri"/>
          <w:b/>
          <w:bCs/>
          <w:i w:val="false"/>
          <w:iCs w:val="false"/>
          <w:sz w:val="22"/>
          <w:szCs w:val="22"/>
        </w:rPr>
        <w:t xml:space="preserve">RS.AN – Incident Analysis: </w:t>
      </w:r>
      <w:r>
        <w:rPr>
          <w:rFonts w:ascii="Calibri" w:cs="Calibri" w:eastAsia="Calibri" w:hAnsi="Calibri"/>
          <w:b w:val="false"/>
          <w:bCs w:val="false"/>
          <w:i w:val="false"/>
          <w:iCs w:val="false"/>
          <w:sz w:val="22"/>
          <w:szCs w:val="22"/>
        </w:rPr>
        <w:t xml:space="preserve">Determine what happened, the root cause, and the scale of an incident, with records whose integrity and provenance are preserved.</w:t>
      </w:r>
    </w:p>
    <w:p>
      <w:pPr>
        <w:spacing w:after="160" w:line="276"/>
      </w:pPr>
      <w:r>
        <w:rPr>
          <w:rFonts w:ascii="Calibri" w:cs="Calibri" w:eastAsia="Calibri" w:hAnsi="Calibri"/>
          <w:b/>
          <w:bCs/>
          <w:i w:val="false"/>
          <w:iCs w:val="false"/>
          <w:sz w:val="22"/>
          <w:szCs w:val="22"/>
        </w:rPr>
        <w:t xml:space="preserve">RS.CO – Incident Response Reporting and Communication: </w:t>
      </w:r>
      <w:r>
        <w:rPr>
          <w:rFonts w:ascii="Calibri" w:cs="Calibri" w:eastAsia="Calibri" w:hAnsi="Calibri"/>
          <w:b w:val="false"/>
          <w:bCs w:val="false"/>
          <w:i w:val="false"/>
          <w:iCs w:val="false"/>
          <w:sz w:val="22"/>
          <w:szCs w:val="22"/>
        </w:rPr>
        <w:t xml:space="preserve">Notify and share information with the right internal and external stakeholders while an incident is underway.</w:t>
      </w:r>
    </w:p>
    <w:p>
      <w:pPr>
        <w:spacing w:after="160" w:line="276"/>
      </w:pPr>
      <w:r>
        <w:rPr>
          <w:rFonts w:ascii="Calibri" w:cs="Calibri" w:eastAsia="Calibri" w:hAnsi="Calibri"/>
          <w:b/>
          <w:bCs/>
          <w:i w:val="false"/>
          <w:iCs w:val="false"/>
          <w:sz w:val="22"/>
          <w:szCs w:val="22"/>
        </w:rPr>
        <w:t xml:space="preserve">RS.MI – Incident Mitigation: </w:t>
      </w:r>
      <w:r>
        <w:rPr>
          <w:rFonts w:ascii="Calibri" w:cs="Calibri" w:eastAsia="Calibri" w:hAnsi="Calibri"/>
          <w:b w:val="false"/>
          <w:bCs w:val="false"/>
          <w:i w:val="false"/>
          <w:iCs w:val="false"/>
          <w:sz w:val="22"/>
          <w:szCs w:val="22"/>
        </w:rPr>
        <w:t xml:space="preserve">Contain and eradicate incidents to stop them from spreading or recurring.</w:t>
      </w:r>
    </w:p>
    <w:p>
      <w:pPr>
        <w:pStyle w:val="Heading3"/>
        <w:spacing w:after="120" w:before="240"/>
      </w:pPr>
      <w:r>
        <w:t xml:space="preserve">RECOVER (RC)</w:t>
      </w:r>
    </w:p>
    <w:p>
      <w:pPr>
        <w:spacing w:after="160" w:line="276"/>
      </w:pPr>
      <w:r>
        <w:rPr>
          <w:rFonts w:ascii="Calibri" w:cs="Calibri" w:eastAsia="Calibri" w:hAnsi="Calibri"/>
          <w:b/>
          <w:bCs/>
          <w:i w:val="false"/>
          <w:iCs w:val="false"/>
          <w:sz w:val="22"/>
          <w:szCs w:val="22"/>
        </w:rPr>
        <w:t xml:space="preserve">RC.RP – Incident Recovery Plan Execution: </w:t>
      </w:r>
      <w:r>
        <w:rPr>
          <w:rFonts w:ascii="Calibri" w:cs="Calibri" w:eastAsia="Calibri" w:hAnsi="Calibri"/>
          <w:b w:val="false"/>
          <w:bCs w:val="false"/>
          <w:i w:val="false"/>
          <w:iCs w:val="false"/>
          <w:sz w:val="22"/>
          <w:szCs w:val="22"/>
        </w:rPr>
        <w:t xml:space="preserve">Execute recovery actions, verify the integrity of what's restored, and formally declare and document the end of incident recovery.</w:t>
      </w:r>
    </w:p>
    <w:p>
      <w:pPr>
        <w:spacing w:after="160" w:line="276"/>
      </w:pPr>
      <w:r>
        <w:rPr>
          <w:rFonts w:ascii="Calibri" w:cs="Calibri" w:eastAsia="Calibri" w:hAnsi="Calibri"/>
          <w:b/>
          <w:bCs/>
          <w:i w:val="false"/>
          <w:iCs w:val="false"/>
          <w:sz w:val="22"/>
          <w:szCs w:val="22"/>
        </w:rPr>
        <w:t xml:space="preserve">RC.CO – Incident Recovery Communication: </w:t>
      </w:r>
      <w:r>
        <w:rPr>
          <w:rFonts w:ascii="Calibri" w:cs="Calibri" w:eastAsia="Calibri" w:hAnsi="Calibri"/>
          <w:b w:val="false"/>
          <w:bCs w:val="false"/>
          <w:i w:val="false"/>
          <w:iCs w:val="false"/>
          <w:sz w:val="22"/>
          <w:szCs w:val="22"/>
        </w:rPr>
        <w:t xml:space="preserve">Keep internal stakeholders -- and, where appropriate, the public -- informed as recovery progresses.</w:t>
      </w:r>
    </w:p>
    <w:p>
      <w:pPr>
        <w:pStyle w:val="Heading2"/>
        <w:spacing w:after="150" w:before="300"/>
      </w:pPr>
      <w:r>
        <w:t xml:space="preserve">2.3 Implementation Tiers</w:t>
      </w:r>
    </w:p>
    <w:p>
      <w:pPr>
        <w:spacing w:after="160" w:line="276"/>
      </w:pPr>
      <w:r>
        <w:rPr>
          <w:rFonts w:ascii="Calibri" w:cs="Calibri" w:eastAsia="Calibri" w:hAnsi="Calibri"/>
          <w:sz w:val="22"/>
          <w:szCs w:val="22"/>
        </w:rPr>
        <w:t xml:space="preserve">CSF 2.0 defines four official Implementation Tiers. They describe the rigor, consistency and organization-wide maturity of an organization's cybersecurity risk governance – they are not a per-subcategory score, and they are not meant to be averaged, added up, or otherwise turned into a number.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7280"/>
      </w:tblGrid>
      <w:tr>
        <w:trPr>
          <w:cantSplit/>
          <w:tblHeader/>
        </w:trPr>
        <w:tc>
          <w:tcPr>
            <w:tcW w:type="dxa" w:w="11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Tier</w:t>
            </w:r>
          </w:p>
        </w:tc>
        <w:tc>
          <w:tcPr>
            <w:tcW w:type="dxa" w:w="17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Name</w:t>
            </w:r>
          </w:p>
        </w:tc>
        <w:tc>
          <w:tcPr>
            <w:tcW w:type="dxa" w:w="72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rPr>
          <w:cantSplit/>
        </w:trPr>
        <w:tc>
          <w:tcPr>
            <w:tcW w:type="dxa" w:w="1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Tier 1</w:t>
            </w:r>
          </w:p>
        </w:tc>
        <w:tc>
          <w:tcPr>
            <w:tcW w:type="dxa" w:w="1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Partial</w:t>
            </w:r>
          </w:p>
        </w:tc>
        <w:tc>
          <w:tcPr>
            <w:tcW w:type="dxa" w:w="72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Ad hoc, reactive risk management; limited organizational awareness; irregular, case-by-case implementation.</w:t>
            </w:r>
          </w:p>
        </w:tc>
      </w:tr>
      <w:tr>
        <w:trPr>
          <w:cantSplit/>
        </w:trPr>
        <w:tc>
          <w:tcPr>
            <w:tcW w:type="dxa" w:w="1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Tier 2</w:t>
            </w:r>
          </w:p>
        </w:tc>
        <w:tc>
          <w:tcPr>
            <w:tcW w:type="dxa" w:w="1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Risk Informed</w:t>
            </w:r>
          </w:p>
        </w:tc>
        <w:tc>
          <w:tcPr>
            <w:tcW w:type="dxa" w:w="72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Risk management approved by management but not yet organization-wide policy; prioritization directly informed by risk objectives but no org-wide approach yet.</w:t>
            </w:r>
          </w:p>
        </w:tc>
      </w:tr>
      <w:tr>
        <w:trPr>
          <w:cantSplit/>
        </w:trPr>
        <w:tc>
          <w:tcPr>
            <w:tcW w:type="dxa" w:w="1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Tier 3</w:t>
            </w:r>
          </w:p>
        </w:tc>
        <w:tc>
          <w:tcPr>
            <w:tcW w:type="dxa" w:w="1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Repeatable</w:t>
            </w:r>
          </w:p>
        </w:tc>
        <w:tc>
          <w:tcPr>
            <w:tcW w:type="dxa" w:w="72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Formally approved and expressed as policy; organization-wide approach; consistent methods for responding to risk changes; personnel have needed knowledge/skills.</w:t>
            </w:r>
          </w:p>
        </w:tc>
      </w:tr>
      <w:tr>
        <w:trPr>
          <w:cantSplit/>
        </w:trPr>
        <w:tc>
          <w:tcPr>
            <w:tcW w:type="dxa" w:w="1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Tier 4</w:t>
            </w:r>
          </w:p>
        </w:tc>
        <w:tc>
          <w:tcPr>
            <w:tcW w:type="dxa" w:w="1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Adaptive</w:t>
            </w:r>
          </w:p>
        </w:tc>
        <w:tc>
          <w:tcPr>
            <w:tcW w:type="dxa" w:w="72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Adapts based on lessons learned and predictive indicators; continuous improvement; risk-informed policies are part of organizational culture; timely response to emerging threats.</w:t>
            </w:r>
          </w:p>
        </w:tc>
      </w:tr>
    </w:tbl>
    <w:p>
      <w:pPr>
        <w:spacing w:after="120"/>
      </w:pPr>
    </w:p>
    <w:tbl>
      <w:tblPr>
        <w:tblW w:type="dxa" w:w="10080"/>
        <w:tblBorders>
          <w:top w:val="single" w:color="C00000" w:sz="6"/>
          <w:left w:val="single" w:color="C00000" w:sz="6"/>
          <w:bottom w:val="single" w:color="C00000" w:sz="6"/>
          <w:right w:val="single" w:color="C00000" w:sz="6"/>
          <w:insideH w:val="single" w:color="auto" w:sz="4"/>
          <w:insideV w:val="single" w:color="auto" w:sz="4"/>
        </w:tblBorders>
      </w:tblPr>
      <w:tblGrid>
        <w:gridCol w:w="10080"/>
      </w:tblGrid>
      <w:tr>
        <w:trPr>
          <w:cantSplit/>
        </w:trPr>
        <w:tc>
          <w:tcPr>
            <w:tcW w:type="dxa" w:w="10080"/>
            <w:shd w:fill="FCE4E4" w:val="clear"/>
            <w:tcMar>
              <w:top w:type="dxa" w:w="160"/>
              <w:left w:type="dxa" w:w="180"/>
              <w:bottom w:type="dxa" w:w="160"/>
              <w:right w:type="dxa" w:w="180"/>
            </w:tcMar>
          </w:tcPr>
          <w:p>
            <w:pPr>
              <w:spacing w:after="100"/>
            </w:pPr>
            <w:r>
              <w:rPr>
                <w:rFonts w:ascii="Calibri" w:cs="Calibri" w:eastAsia="Calibri" w:hAnsi="Calibri"/>
                <w:b/>
                <w:bCs/>
                <w:color w:val="C00000"/>
                <w:sz w:val="24"/>
                <w:szCs w:val="24"/>
              </w:rPr>
              <w:t xml:space="preserve">A distinction that matters</w:t>
            </w:r>
          </w:p>
          <w:p>
            <w:pPr>
              <w:spacing w:line="276"/>
            </w:pPr>
            <w:r>
              <w:rPr>
                <w:rFonts w:ascii="Calibri" w:cs="Calibri" w:eastAsia="Calibri" w:hAnsi="Calibri"/>
                <w:b/>
                <w:bCs/>
                <w:sz w:val="22"/>
                <w:szCs w:val="22"/>
              </w:rPr>
              <w:t xml:space="preserve">The 4 Tiers above are NIST-official and describe governance-process rigor organization-wide. The 0-4 or 1-5 per-subcategory numeric maturity scale you will use throughout this toolkit (and that compliance platforms such as Vanta or Drata use) is a widely-adopted but UNOFFICIAL convention – NIST does not define a numeric per-subcategory scale. Say this plainly in any report you produce, so a reader never assumes a “3 out of 4” subcategory score is itself an official NIST rating.</w:t>
            </w:r>
          </w:p>
        </w:tc>
      </w:tr>
    </w:tbl>
    <w:p>
      <w:pPr>
        <w:pStyle w:val="Heading2"/>
        <w:spacing w:after="150" w:before="300"/>
      </w:pPr>
      <w:r>
        <w:t xml:space="preserve">2.4 Organizational Profiles: Current, Target, and Community</w:t>
      </w:r>
    </w:p>
    <w:p>
      <w:pPr>
        <w:spacing w:after="160" w:line="276"/>
      </w:pPr>
      <w:r>
        <w:rPr>
          <w:rFonts w:ascii="Calibri" w:cs="Calibri" w:eastAsia="Calibri" w:hAnsi="Calibri"/>
          <w:sz w:val="22"/>
          <w:szCs w:val="22"/>
        </w:rPr>
        <w:t xml:space="preserve">A Profile describes how an organization's cybersecurity activities align with the CSF Core outcomes, either as they stand today or as a goal.</w:t>
      </w:r>
    </w:p>
    <w:p>
      <w:pPr>
        <w:pStyle w:val="ListParagraph"/>
        <w:numPr>
          <w:ilvl w:val="0"/>
          <w:numId w:val="2"/>
        </w:numPr>
        <w:spacing w:after="100"/>
      </w:pPr>
      <w:r>
        <w:rPr>
          <w:rFonts w:ascii="Calibri" w:cs="Calibri" w:eastAsia="Calibri" w:hAnsi="Calibri"/>
          <w:sz w:val="22"/>
          <w:szCs w:val="22"/>
        </w:rPr>
        <w:t xml:space="preserve">Current Profile – the outcomes the organization is presently achieving (or attempting to achieve), and how. This is what Template 2 captures.</w:t>
      </w:r>
    </w:p>
    <w:p>
      <w:pPr>
        <w:pStyle w:val="ListParagraph"/>
        <w:numPr>
          <w:ilvl w:val="0"/>
          <w:numId w:val="2"/>
        </w:numPr>
        <w:spacing w:after="100"/>
      </w:pPr>
      <w:r>
        <w:rPr>
          <w:rFonts w:ascii="Calibri" w:cs="Calibri" w:eastAsia="Calibri" w:hAnsi="Calibri"/>
          <w:sz w:val="22"/>
          <w:szCs w:val="22"/>
        </w:rPr>
        <w:t xml:space="preserve">Target Profile – the desired outcomes the organization has selected, informed by its risk appetite, threat intelligence, and regulatory or business requirements. This is what Template 3 captures.</w:t>
      </w:r>
    </w:p>
    <w:p>
      <w:pPr>
        <w:pStyle w:val="ListParagraph"/>
        <w:numPr>
          <w:ilvl w:val="0"/>
          <w:numId w:val="2"/>
        </w:numPr>
        <w:spacing w:after="100"/>
      </w:pPr>
      <w:r>
        <w:rPr>
          <w:rFonts w:ascii="Calibri" w:cs="Calibri" w:eastAsia="Calibri" w:hAnsi="Calibri"/>
          <w:sz w:val="22"/>
          <w:szCs w:val="22"/>
        </w:rPr>
        <w:t xml:space="preserve">Community Profile – a distinct concept: a baseline set of CSF outcomes published for an entire sector, technology, or shared use case (for example, a manufacturing-sector profile or a healthcare-sector profile). A Community Profile is not any one organization's Current or Target Profile – it is a shared starting point an organization can adapt into its own Target Profile.</w:t>
      </w:r>
    </w:p>
    <w:p>
      <w:pPr>
        <w:spacing w:after="160" w:line="276"/>
      </w:pPr>
      <w:r>
        <w:rPr>
          <w:rFonts w:ascii="Calibri" w:cs="Calibri" w:eastAsia="Calibri" w:hAnsi="Calibri"/>
          <w:sz w:val="22"/>
          <w:szCs w:val="22"/>
        </w:rPr>
        <w:t xml:space="preserve">NIST's own primary-source template for building and comparing profiles is SP 1301, “NIST Cybersecurity Framework 2.0: Quick-Start Guide for Creating and Using Organizational Profiles.” It presents a Current-vs-Target side-by-side comparison per Category/Subcategory – the same structural idea behind Template 4 (Gap Analysis &amp; Heat Map) in the companion workbook.</w:t>
      </w:r>
    </w:p>
    <w:p>
      <w:pPr>
        <w:pStyle w:val="Heading2"/>
        <w:spacing w:after="150" w:before="300"/>
      </w:pPr>
      <w:r>
        <w:t xml:space="preserve">2.5 A Worked Mini-Example</w:t>
      </w:r>
    </w:p>
    <w:p>
      <w:pPr>
        <w:spacing w:after="160" w:line="276"/>
      </w:pPr>
      <w:r>
        <w:rPr>
          <w:rFonts w:ascii="Calibri" w:cs="Calibri" w:eastAsia="Calibri" w:hAnsi="Calibri"/>
          <w:sz w:val="22"/>
          <w:szCs w:val="22"/>
        </w:rPr>
        <w:t xml:space="preserve">A 60-person logistics company self-assesses GV.RM (Risk Management Strategy). Its Current Profile shows GV.RM-01 and GV.RM-02 partially met (risk objectives exist informally, but risk appetite has never been written down) – average current score 2 out of 4. Its Target Profile, driven by a new cyber-insurance requirement, sets GV.RM at 3 out of 4 and an overall organizational Target Tier of “Tier 3 – Repeatable” within 12 months. The gap analysis flags GV.RM as a Medium-High priority, and the remediation roadmap assigns “draft and get board sign-off on a written risk appetite statement” to the CISO with a 90-day target date.</w:t>
      </w:r>
    </w:p>
    <w:p>
      <w:pPr>
        <w:pStyle w:val="Heading2"/>
        <w:spacing w:after="150" w:before="300"/>
      </w:pPr>
      <w:r>
        <w:t xml:space="preserve">2.6 No Certification: What This Really Means</w:t>
      </w:r>
    </w:p>
    <w:tbl>
      <w:tblPr>
        <w:tblW w:type="dxa" w:w="10080"/>
        <w:tblBorders>
          <w:top w:val="single" w:color="C00000" w:sz="6"/>
          <w:left w:val="single" w:color="C00000" w:sz="6"/>
          <w:bottom w:val="single" w:color="C00000" w:sz="6"/>
          <w:right w:val="single" w:color="C00000" w:sz="6"/>
          <w:insideH w:val="single" w:color="auto" w:sz="4"/>
          <w:insideV w:val="single" w:color="auto" w:sz="4"/>
        </w:tblBorders>
      </w:tblPr>
      <w:tblGrid>
        <w:gridCol w:w="10080"/>
      </w:tblGrid>
      <w:tr>
        <w:trPr>
          <w:cantSplit/>
        </w:trPr>
        <w:tc>
          <w:tcPr>
            <w:tcW w:type="dxa" w:w="10080"/>
            <w:shd w:fill="FCE4E4" w:val="clear"/>
            <w:tcMar>
              <w:top w:type="dxa" w:w="160"/>
              <w:left w:type="dxa" w:w="180"/>
              <w:bottom w:type="dxa" w:w="160"/>
              <w:right w:type="dxa" w:w="180"/>
            </w:tcMar>
          </w:tcPr>
          <w:p>
            <w:pPr>
              <w:spacing w:after="100"/>
            </w:pPr>
            <w:r>
              <w:rPr>
                <w:rFonts w:ascii="Calibri" w:cs="Calibri" w:eastAsia="Calibri" w:hAnsi="Calibri"/>
                <w:b/>
                <w:bCs/>
                <w:color w:val="C00000"/>
                <w:sz w:val="24"/>
                <w:szCs w:val="24"/>
              </w:rPr>
              <w:t xml:space="preserve">State this to every stakeholder, every time</w:t>
            </w:r>
          </w:p>
          <w:p>
            <w:pPr>
              <w:spacing w:line="276"/>
            </w:pPr>
            <w:r>
              <w:rPr>
                <w:rFonts w:ascii="Calibri" w:cs="Calibri" w:eastAsia="Calibri" w:hAnsi="Calibri"/>
                <w:b/>
                <w:bCs/>
                <w:sz w:val="22"/>
                <w:szCs w:val="22"/>
              </w:rPr>
              <w:t xml:space="preserve">NIST CSF has no certification. NIST issues nothing and certifies nothing. Any vendor advertising “NIST CSF Certified” status is referring to a private scheme built on CSF-mapped controls (e.g., SCF/Cyber AB-accredited programs), or is conflating CSF with a genuinely separate certifiable framework like HITRUST (which merely references CSF as one of many harmonized sources, alongside ISO 27001, HIPAA, and PCI-DSS). What you can legitimately obtain is a third-party or self-conducted assessment report against Current and Target Profiles.</w:t>
            </w:r>
          </w:p>
        </w:tc>
      </w:tr>
    </w:tbl>
    <w:p>
      <w:pPr>
        <w:spacing w:after="160" w:line="276"/>
      </w:pPr>
      <w:r>
        <w:rPr>
          <w:rFonts w:ascii="Calibri" w:cs="Calibri" w:eastAsia="Calibri" w:hAnsi="Calibri"/>
          <w:sz w:val="22"/>
          <w:szCs w:val="22"/>
        </w:rPr>
        <w:t xml:space="preserve">Concretely, this means:</w:t>
      </w:r>
    </w:p>
    <w:p>
      <w:pPr>
        <w:pStyle w:val="ListParagraph"/>
        <w:numPr>
          <w:ilvl w:val="0"/>
          <w:numId w:val="2"/>
        </w:numPr>
        <w:spacing w:after="100"/>
      </w:pPr>
      <w:r>
        <w:rPr>
          <w:rFonts w:ascii="Calibri" w:cs="Calibri" w:eastAsia="Calibri" w:hAnsi="Calibri"/>
          <w:sz w:val="22"/>
          <w:szCs w:val="22"/>
        </w:rPr>
        <w:t xml:space="preserve">There is no accreditation body for CSF assessors or assessment firms – unlike ISO/IEC 17021-1 accredited certification bodies for ISO management-system certificates.</w:t>
      </w:r>
    </w:p>
    <w:p>
      <w:pPr>
        <w:pStyle w:val="ListParagraph"/>
        <w:numPr>
          <w:ilvl w:val="0"/>
          <w:numId w:val="2"/>
        </w:numPr>
        <w:spacing w:after="100"/>
      </w:pPr>
      <w:r>
        <w:rPr>
          <w:rFonts w:ascii="Calibri" w:cs="Calibri" w:eastAsia="Calibri" w:hAnsi="Calibri"/>
          <w:sz w:val="22"/>
          <w:szCs w:val="22"/>
        </w:rPr>
        <w:t xml:space="preserve">There is no formal Stage 1 / Stage 2 audit sequence, no fixed certificate validity period, and no mandatory surveillance-audit cadence.</w:t>
      </w:r>
    </w:p>
    <w:p>
      <w:pPr>
        <w:pStyle w:val="ListParagraph"/>
        <w:numPr>
          <w:ilvl w:val="0"/>
          <w:numId w:val="2"/>
        </w:numPr>
        <w:spacing w:after="100"/>
      </w:pPr>
      <w:r>
        <w:rPr>
          <w:rFonts w:ascii="Calibri" w:cs="Calibri" w:eastAsia="Calibri" w:hAnsi="Calibri"/>
          <w:sz w:val="22"/>
          <w:szCs w:val="22"/>
        </w:rPr>
        <w:t xml:space="preserve">A CSF assessment report is a snapshot and a roadmap, not a pass/fail credential – there is no governing body to appeal a result to, and no certificate to display.</w:t>
      </w:r>
    </w:p>
    <w:p>
      <w:pPr>
        <w:pStyle w:val="ListParagraph"/>
        <w:numPr>
          <w:ilvl w:val="0"/>
          <w:numId w:val="2"/>
        </w:numPr>
        <w:spacing w:after="100"/>
      </w:pPr>
      <w:r>
        <w:rPr>
          <w:rFonts w:ascii="Calibri" w:cs="Calibri" w:eastAsia="Calibri" w:hAnsi="Calibri"/>
          <w:sz w:val="22"/>
          <w:szCs w:val="22"/>
        </w:rPr>
        <w:t xml:space="preserve">When a customer, insurer or partner asks for “NIST CSF certification,” clarify what they actually need: usually an assessment report, a completed questionnaire mapped to CSF, or evidence of a specific Target Tier – not a certificate that does not exist.</w:t>
      </w:r>
    </w:p>
    <w:p>
      <w:pPr>
        <w:pStyle w:val="ListParagraph"/>
        <w:numPr>
          <w:ilvl w:val="0"/>
          <w:numId w:val="2"/>
        </w:numPr>
        <w:spacing w:after="100"/>
      </w:pPr>
      <w:r>
        <w:rPr>
          <w:rFonts w:ascii="Calibri" w:cs="Calibri" w:eastAsia="Calibri" w:hAnsi="Calibri"/>
          <w:sz w:val="22"/>
          <w:szCs w:val="22"/>
        </w:rPr>
        <w:t xml:space="preserve">If genuine third-party certification is required contractually, that typically means a different, actually-certifiable framework (ISO/IEC 27001, HITRUST, SOC 2) is what's really being asked for, sometimes mapped back to CSF for internal reporting.</w:t>
      </w:r>
    </w:p>
    <w:p>
      <w:r>
        <w:br w:type="page"/>
      </w:r>
    </w:p>
    <w:p>
      <w:pPr>
        <w:pStyle w:val="Heading1"/>
        <w:spacing w:after="200" w:before="400"/>
      </w:pPr>
      <w:r>
        <w:t xml:space="preserve">Part Three – The Assessment Journey End to End</w:t>
      </w:r>
    </w:p>
    <w:p>
      <w:pPr>
        <w:spacing w:after="160" w:line="276"/>
      </w:pPr>
      <w:r>
        <w:rPr>
          <w:rFonts w:ascii="Calibri" w:cs="Calibri" w:eastAsia="Calibri" w:hAnsi="Calibri"/>
          <w:sz w:val="22"/>
          <w:szCs w:val="22"/>
        </w:rPr>
        <w:t xml:space="preserve">A CSF assessment engagement follows eight practical steps. Unlike an ISO-style certification audit, there is no accredited body running this process, no Stage 1/Stage 2 sequence, and no external authority setting your cadence – you and your organization (or your client) decide the scope, depth, and schedule.</w:t>
      </w:r>
    </w:p>
    <w:p>
      <w:pPr>
        <w:pStyle w:val="Heading2"/>
        <w:spacing w:after="150" w:before="300"/>
      </w:pPr>
      <w:r>
        <w:t xml:space="preserve">3.1 The Eight Steps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rPr>
          <w:cantSplit/>
          <w:tblHeader/>
        </w:trPr>
        <w:tc>
          <w:tcPr>
            <w:tcW w:type="dxa" w:w="17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Step</w:t>
            </w:r>
          </w:p>
        </w:tc>
        <w:tc>
          <w:tcPr>
            <w:tcW w:type="dxa" w:w="83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What happens</w:t>
            </w:r>
          </w:p>
        </w:tc>
      </w:tr>
      <w:tr>
        <w:trPr>
          <w:cantSplit/>
        </w:trPr>
        <w:tc>
          <w:tcPr>
            <w:tcW w:type="dxa" w:w="1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 Scoping</w:t>
            </w:r>
          </w:p>
        </w:tc>
        <w:tc>
          <w:tcPr>
            <w:tcW w:type="dxa" w:w="83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Define coverage (which business units, systems, sites) and the intended use of results (board reporting, M&amp;A diligence, cyber-insurance, vendor requirement).</w:t>
            </w:r>
          </w:p>
        </w:tc>
      </w:tr>
      <w:tr>
        <w:trPr>
          <w:cantSplit/>
        </w:trPr>
        <w:tc>
          <w:tcPr>
            <w:tcW w:type="dxa" w:w="1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 Team formation</w:t>
            </w:r>
          </w:p>
        </w:tc>
        <w:tc>
          <w:tcPr>
            <w:tcW w:type="dxa" w:w="83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Assign a lead assessor plus control owners across IT, security, legal, HR, and executive leadership – GOVERN and PR.AT categories need non-technical stakeholders, this is not security-team-only.</w:t>
            </w:r>
          </w:p>
        </w:tc>
      </w:tr>
      <w:tr>
        <w:trPr>
          <w:cantSplit/>
        </w:trPr>
        <w:tc>
          <w:tcPr>
            <w:tcW w:type="dxa" w:w="1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 Evidence collection</w:t>
            </w:r>
          </w:p>
        </w:tc>
        <w:tc>
          <w:tcPr>
            <w:tcW w:type="dxa" w:w="83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Map interview/survey questions to the 106 subcategories; ask about actual practice, not policy text; supplement with document, configuration and log review.</w:t>
            </w:r>
          </w:p>
        </w:tc>
      </w:tr>
      <w:tr>
        <w:trPr>
          <w:cantSplit/>
        </w:trPr>
        <w:tc>
          <w:tcPr>
            <w:tcW w:type="dxa" w:w="1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 Current Profile development</w:t>
            </w:r>
          </w:p>
        </w:tc>
        <w:tc>
          <w:tcPr>
            <w:tcW w:type="dxa" w:w="83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Score current practice against every in-scope subcategory, with evidence attached to each score.</w:t>
            </w:r>
          </w:p>
        </w:tc>
      </w:tr>
      <w:tr>
        <w:trPr>
          <w:cantSplit/>
        </w:trPr>
        <w:tc>
          <w:tcPr>
            <w:tcW w:type="dxa" w:w="1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5. Target Profile definition</w:t>
            </w:r>
          </w:p>
        </w:tc>
        <w:tc>
          <w:tcPr>
            <w:tcW w:type="dxa" w:w="83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Set the desired outcomes – which may target a specific Tier (e.g., “Tier 3 across GOVERN and PROTECT within 12 months”).</w:t>
            </w:r>
          </w:p>
        </w:tc>
      </w:tr>
      <w:tr>
        <w:trPr>
          <w:cantSplit/>
        </w:trPr>
        <w:tc>
          <w:tcPr>
            <w:tcW w:type="dxa" w:w="1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6. Gap analysis</w:t>
            </w:r>
          </w:p>
        </w:tc>
        <w:tc>
          <w:tcPr>
            <w:tcW w:type="dxa" w:w="83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Roll gaps up from subcategory, to category, to function, and identify the highest-priority areas.</w:t>
            </w:r>
          </w:p>
        </w:tc>
      </w:tr>
      <w:tr>
        <w:trPr>
          <w:cantSplit/>
        </w:trPr>
        <w:tc>
          <w:tcPr>
            <w:tcW w:type="dxa" w:w="1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7. Scoring</w:t>
            </w:r>
          </w:p>
        </w:tc>
        <w:tc>
          <w:tcPr>
            <w:tcW w:type="dxa" w:w="83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Apply a 0-4 or 1-5 maturity scale – explicitly labeled as an assessor-chosen convention, not a NIST-official scale.</w:t>
            </w:r>
          </w:p>
        </w:tc>
      </w:tr>
      <w:tr>
        <w:trPr>
          <w:cantSplit/>
        </w:trPr>
        <w:tc>
          <w:tcPr>
            <w:tcW w:type="dxa" w:w="1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8. Deliverable</w:t>
            </w:r>
          </w:p>
        </w:tc>
        <w:tc>
          <w:tcPr>
            <w:tcW w:type="dxa" w:w="83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Produce the Current Profile, Target Profile, gap/heat-map scorecard, a prioritized remediation roadmap with owners and timelines, and an executive summary.</w:t>
            </w:r>
          </w:p>
        </w:tc>
      </w:tr>
    </w:tbl>
    <w:p>
      <w:pPr>
        <w:pStyle w:val="Heading2"/>
        <w:spacing w:after="150" w:before="300"/>
      </w:pPr>
      <w:r>
        <w:t xml:space="preserve">3.2 Contrast With an ISO-Style Certification Audit</w:t>
      </w:r>
    </w:p>
    <w:p>
      <w:pPr>
        <w:spacing w:after="160" w:line="276"/>
      </w:pPr>
      <w:r>
        <w:rPr>
          <w:rFonts w:ascii="Calibri" w:cs="Calibri" w:eastAsia="Calibri" w:hAnsi="Calibri"/>
          <w:sz w:val="22"/>
          <w:szCs w:val="22"/>
        </w:rPr>
        <w:t xml:space="preserve">If you have ever supported (or read about) an ISO/IEC certification audit, resist the urge to force that model onto a CSF engagement:</w:t>
      </w:r>
    </w:p>
    <w:p>
      <w:pPr>
        <w:pStyle w:val="ListParagraph"/>
        <w:numPr>
          <w:ilvl w:val="0"/>
          <w:numId w:val="2"/>
        </w:numPr>
        <w:spacing w:after="100"/>
      </w:pPr>
      <w:r>
        <w:rPr>
          <w:rFonts w:ascii="Calibri" w:cs="Calibri" w:eastAsia="Calibri" w:hAnsi="Calibri"/>
          <w:sz w:val="22"/>
          <w:szCs w:val="22"/>
        </w:rPr>
        <w:t xml:space="preserve">No accredited body: any competent internal team or consultant can run a CSF assessment – there is no equivalent of an ISO/IEC 17021-1 accredited certification body to select.</w:t>
      </w:r>
    </w:p>
    <w:p>
      <w:pPr>
        <w:pStyle w:val="ListParagraph"/>
        <w:numPr>
          <w:ilvl w:val="0"/>
          <w:numId w:val="2"/>
        </w:numPr>
        <w:spacing w:after="100"/>
      </w:pPr>
      <w:r>
        <w:rPr>
          <w:rFonts w:ascii="Calibri" w:cs="Calibri" w:eastAsia="Calibri" w:hAnsi="Calibri"/>
          <w:sz w:val="22"/>
          <w:szCs w:val="22"/>
        </w:rPr>
        <w:t xml:space="preserve">No Stage 1 / Stage 2: there is no formal readiness review followed by a separate certification audit – steps 1–8 above are typically run as a single, continuous engagement.</w:t>
      </w:r>
    </w:p>
    <w:p>
      <w:pPr>
        <w:pStyle w:val="ListParagraph"/>
        <w:numPr>
          <w:ilvl w:val="0"/>
          <w:numId w:val="2"/>
        </w:numPr>
        <w:spacing w:after="100"/>
      </w:pPr>
      <w:r>
        <w:rPr>
          <w:rFonts w:ascii="Calibri" w:cs="Calibri" w:eastAsia="Calibri" w:hAnsi="Calibri"/>
          <w:sz w:val="22"/>
          <w:szCs w:val="22"/>
        </w:rPr>
        <w:t xml:space="preserve">No pass/fail nonconformities: findings are prioritized gaps (High/Medium/Low), not graded major/minor nonconformities against a fixed clause set.</w:t>
      </w:r>
    </w:p>
    <w:p>
      <w:pPr>
        <w:pStyle w:val="ListParagraph"/>
        <w:numPr>
          <w:ilvl w:val="0"/>
          <w:numId w:val="2"/>
        </w:numPr>
        <w:spacing w:after="100"/>
      </w:pPr>
      <w:r>
        <w:rPr>
          <w:rFonts w:ascii="Calibri" w:cs="Calibri" w:eastAsia="Calibri" w:hAnsi="Calibri"/>
          <w:sz w:val="22"/>
          <w:szCs w:val="22"/>
        </w:rPr>
        <w:t xml:space="preserve">You set your own cadence: reassessment timing is a business decision (see Part Five and Template 11), not a mandated 3-year certificate cycle with annual surveillance.</w:t>
      </w:r>
    </w:p>
    <w:p>
      <w:pPr>
        <w:pStyle w:val="Heading2"/>
        <w:spacing w:after="150" w:before="300"/>
      </w:pPr>
      <w:r>
        <w:t xml:space="preserve">3.3 Who's in the Room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cantSplit/>
          <w:tblHeader/>
        </w:trPr>
        <w:tc>
          <w:tcPr>
            <w:tcW w:type="dxa" w:w="28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Role</w:t>
            </w:r>
          </w:p>
        </w:tc>
        <w:tc>
          <w:tcPr>
            <w:tcW w:type="dxa" w:w="72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Responsibility</w:t>
            </w:r>
          </w:p>
        </w:tc>
      </w:tr>
      <w:tr>
        <w:trPr>
          <w:cantSplit/>
        </w:trPr>
        <w:tc>
          <w:tcPr>
            <w:tcW w:type="dxa" w:w="2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Lead assessor</w:t>
            </w:r>
          </w:p>
        </w:tc>
        <w:tc>
          <w:tcPr>
            <w:tcW w:type="dxa" w:w="72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Owns the assessment plan, leads the team, runs interviews/workshops, and signs the final report.</w:t>
            </w:r>
          </w:p>
        </w:tc>
      </w:tr>
      <w:tr>
        <w:trPr>
          <w:cantSplit/>
        </w:trPr>
        <w:tc>
          <w:tcPr>
            <w:tcW w:type="dxa" w:w="2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IT / Security control owners</w:t>
            </w:r>
          </w:p>
        </w:tc>
        <w:tc>
          <w:tcPr>
            <w:tcW w:type="dxa" w:w="72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Provide evidence for technical categories – asset management, access control, monitoring, incident response.</w:t>
            </w:r>
          </w:p>
        </w:tc>
      </w:tr>
      <w:tr>
        <w:trPr>
          <w:cantSplit/>
        </w:trPr>
        <w:tc>
          <w:tcPr>
            <w:tcW w:type="dxa" w:w="2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Legal / Compliance</w:t>
            </w:r>
          </w:p>
        </w:tc>
        <w:tc>
          <w:tcPr>
            <w:tcW w:type="dxa" w:w="72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Provide evidence for regulatory, contractual and supply-chain obligations (GV.OC-03, GV.SC).</w:t>
            </w:r>
          </w:p>
        </w:tc>
      </w:tr>
      <w:tr>
        <w:trPr>
          <w:cantSplit/>
        </w:trPr>
        <w:tc>
          <w:tcPr>
            <w:tcW w:type="dxa" w:w="2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HR</w:t>
            </w:r>
          </w:p>
        </w:tc>
        <w:tc>
          <w:tcPr>
            <w:tcW w:type="dxa" w:w="72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Provide evidence for onboarding/offboarding and workforce security practices (GV.RR-04, PR.AT).</w:t>
            </w:r>
          </w:p>
        </w:tc>
      </w:tr>
      <w:tr>
        <w:trPr>
          <w:cantSplit/>
        </w:trPr>
        <w:tc>
          <w:tcPr>
            <w:tcW w:type="dxa" w:w="2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Executive leadership / Board sponsor</w:t>
            </w:r>
          </w:p>
        </w:tc>
        <w:tc>
          <w:tcPr>
            <w:tcW w:type="dxa" w:w="72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Provide evidence of risk appetite, oversight, and strategic direction (GV.RM, GV.OV); ultimately owns the Target Profile decision.</w:t>
            </w:r>
          </w:p>
        </w:tc>
      </w:tr>
    </w:tbl>
    <w:p>
      <w:pPr>
        <w:spacing w:after="160" w:line="276"/>
      </w:pPr>
      <w:r>
        <w:rPr>
          <w:rFonts w:ascii="Calibri" w:cs="Calibri" w:eastAsia="Calibri" w:hAnsi="Calibri"/>
          <w:sz w:val="22"/>
          <w:szCs w:val="22"/>
        </w:rPr>
        <w:t xml:space="preserve">This is deliberately broader than a typical technical security review – several GOVERN and PROTECT categories cannot be meaningfully assessed by interviewing only the security team.</w:t>
      </w:r>
    </w:p>
    <w:p>
      <w:r>
        <w:br w:type="page"/>
      </w:r>
    </w:p>
    <w:p>
      <w:pPr>
        <w:pStyle w:val="Heading1"/>
        <w:spacing w:after="200" w:before="400"/>
      </w:pPr>
      <w:r>
        <w:t xml:space="preserve">Part Four – Step-by-Step Walkthroughs</w:t>
      </w:r>
    </w:p>
    <w:p>
      <w:pPr>
        <w:spacing w:after="160" w:line="276"/>
      </w:pPr>
      <w:r>
        <w:rPr>
          <w:rFonts w:ascii="Calibri" w:cs="Calibri" w:eastAsia="Calibri" w:hAnsi="Calibri"/>
          <w:sz w:val="22"/>
          <w:szCs w:val="22"/>
        </w:rPr>
        <w:t xml:space="preserve">Each walkthrough below maps to one tab in the companion workbook, “NIST_CSF_2.0_Assessment_Toolkit.xlsx.” Work through them in order the first time; on future assessments, jump straight to the tab you need.</w:t>
      </w:r>
    </w:p>
    <w:p>
      <w:pPr>
        <w:pStyle w:val="Heading2"/>
        <w:spacing w:after="150" w:before="300"/>
      </w:pPr>
      <w:r>
        <w:t xml:space="preserve">Walkthrough A: Scoping the Assessment &amp; Building the Plan</w:t>
      </w:r>
    </w:p>
    <w:tbl>
      <w:tblPr>
        <w:tblW w:type="dxa" w:w="10080"/>
        <w:tblBorders>
          <w:top w:val="single" w:color="2E5395" w:sz="4"/>
          <w:left w:val="single" w:color="2E5395" w:sz="4"/>
          <w:bottom w:val="single" w:color="2E5395" w:sz="4"/>
          <w:right w:val="single" w:color="2E5395" w:sz="4"/>
          <w:insideH w:val="single" w:color="auto" w:sz="4"/>
          <w:insideV w:val="single" w:color="auto" w:sz="4"/>
        </w:tblBorders>
      </w:tblPr>
      <w:tblGrid>
        <w:gridCol w:w="10080"/>
      </w:tblGrid>
      <w:tr>
        <w:trPr>
          <w:cantSplit/>
        </w:trPr>
        <w:tc>
          <w:tcPr>
            <w:tcW w:type="dxa" w:w="10080"/>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1 - Assessment Plan" in the NIST CSF 2.0 Assessment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Turn a vague request (“assess our cybersecurity posture”) into a concrete, resourced, scheduled engagement.</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At the very start of every assessment – self-assessment, consultant-led, or vendor-requested.</w:t>
      </w:r>
    </w:p>
    <w:p>
      <w:pPr>
        <w:pStyle w:val="Heading3"/>
        <w:spacing w:after="120" w:before="240"/>
      </w:pPr>
      <w:r>
        <w:t xml:space="preserve">Steps</w:t>
      </w:r>
    </w:p>
    <w:p>
      <w:pPr>
        <w:pStyle w:val="ListParagraph"/>
        <w:numPr>
          <w:ilvl w:val="0"/>
          <w:numId w:val="3"/>
        </w:numPr>
        <w:spacing w:after="100"/>
      </w:pPr>
      <w:r>
        <w:rPr>
          <w:rFonts w:ascii="Calibri" w:cs="Calibri" w:eastAsia="Calibri" w:hAnsi="Calibri"/>
          <w:sz w:val="22"/>
          <w:szCs w:val="22"/>
        </w:rPr>
        <w:t xml:space="preserve">Confirm the assessment type (self-assessment, consultant-led, or vendor/customer-requested) and what triggered it.</w:t>
      </w:r>
    </w:p>
    <w:p>
      <w:pPr>
        <w:pStyle w:val="ListParagraph"/>
        <w:numPr>
          <w:ilvl w:val="0"/>
          <w:numId w:val="3"/>
        </w:numPr>
        <w:spacing w:after="100"/>
      </w:pPr>
      <w:r>
        <w:rPr>
          <w:rFonts w:ascii="Calibri" w:cs="Calibri" w:eastAsia="Calibri" w:hAnsi="Calibri"/>
          <w:sz w:val="22"/>
          <w:szCs w:val="22"/>
        </w:rPr>
        <w:t xml:space="preserve">Define the intended use of results – board reporting, M&amp;A diligence, cyber-insurance renewal, or a vendor requirement – this shapes both depth and how the report will be written.</w:t>
      </w:r>
    </w:p>
    <w:p>
      <w:pPr>
        <w:pStyle w:val="ListParagraph"/>
        <w:numPr>
          <w:ilvl w:val="0"/>
          <w:numId w:val="3"/>
        </w:numPr>
        <w:spacing w:after="100"/>
      </w:pPr>
      <w:r>
        <w:rPr>
          <w:rFonts w:ascii="Calibri" w:cs="Calibri" w:eastAsia="Calibri" w:hAnsi="Calibri"/>
          <w:sz w:val="22"/>
          <w:szCs w:val="22"/>
        </w:rPr>
        <w:t xml:space="preserve">Define scope: which business units, sites, and systems are covered, and (just as important) what is explicitly out of scope.</w:t>
      </w:r>
    </w:p>
    <w:p>
      <w:pPr>
        <w:pStyle w:val="ListParagraph"/>
        <w:numPr>
          <w:ilvl w:val="0"/>
          <w:numId w:val="3"/>
        </w:numPr>
        <w:spacing w:after="100"/>
      </w:pPr>
      <w:r>
        <w:rPr>
          <w:rFonts w:ascii="Calibri" w:cs="Calibri" w:eastAsia="Calibri" w:hAnsi="Calibri"/>
          <w:sz w:val="22"/>
          <w:szCs w:val="22"/>
        </w:rPr>
        <w:t xml:space="preserve">Define assessment objectives and criteria: typically, establish a Current Profile against all 6 Functions, define a Target Profile, and produce a prioritized roadmap – criteria is NIST CSF 2.0 (CSWP 29) itself.</w:t>
      </w:r>
    </w:p>
    <w:p>
      <w:pPr>
        <w:pStyle w:val="ListParagraph"/>
        <w:numPr>
          <w:ilvl w:val="0"/>
          <w:numId w:val="3"/>
        </w:numPr>
        <w:spacing w:after="100"/>
      </w:pPr>
      <w:r>
        <w:rPr>
          <w:rFonts w:ascii="Calibri" w:cs="Calibri" w:eastAsia="Calibri" w:hAnsi="Calibri"/>
          <w:sz w:val="22"/>
          <w:szCs w:val="22"/>
        </w:rPr>
        <w:t xml:space="preserve">Assemble the team: a lead assessor plus control owners across IT, security, legal, HR, and executive leadership – do not staff this as a security-team-only exercise.</w:t>
      </w:r>
    </w:p>
    <w:p>
      <w:pPr>
        <w:pStyle w:val="ListParagraph"/>
        <w:numPr>
          <w:ilvl w:val="0"/>
          <w:numId w:val="3"/>
        </w:numPr>
        <w:spacing w:after="100"/>
      </w:pPr>
      <w:r>
        <w:rPr>
          <w:rFonts w:ascii="Calibri" w:cs="Calibri" w:eastAsia="Calibri" w:hAnsi="Calibri"/>
          <w:sz w:val="22"/>
          <w:szCs w:val="22"/>
        </w:rPr>
        <w:t xml:space="preserve">Set the schedule, and fill in Template 1's day-by-day grid, mapping functions/categories to dates and assigned assessors/interviewees.</w:t>
      </w:r>
    </w:p>
    <w:p>
      <w:pPr>
        <w:pStyle w:val="ListParagraph"/>
        <w:numPr>
          <w:ilvl w:val="0"/>
          <w:numId w:val="3"/>
        </w:numPr>
        <w:spacing w:after="100"/>
      </w:pPr>
      <w:r>
        <w:rPr>
          <w:rFonts w:ascii="Calibri" w:cs="Calibri" w:eastAsia="Calibri" w:hAnsi="Calibri"/>
          <w:sz w:val="22"/>
          <w:szCs w:val="22"/>
        </w:rPr>
        <w:t xml:space="preserve">Confirm logistics with the executive sponsor – interviewee availability, document access, and reporting expectations.</w:t>
      </w:r>
    </w:p>
    <w:p>
      <w:pPr>
        <w:pStyle w:val="Heading3"/>
        <w:spacing w:after="120" w:before="240"/>
      </w:pPr>
      <w:r>
        <w:t xml:space="preserve">Worked example</w:t>
      </w:r>
    </w:p>
    <w:p>
      <w:pPr>
        <w:spacing w:after="160" w:line="276"/>
      </w:pPr>
      <w:r>
        <w:rPr>
          <w:rFonts w:ascii="Calibri" w:cs="Calibri" w:eastAsia="Calibri" w:hAnsi="Calibri"/>
          <w:sz w:val="22"/>
          <w:szCs w:val="22"/>
        </w:rPr>
        <w:t xml:space="preserve">A 60-person logistics company requests a consultant-led assessment ahead of a cyber-insurance renewal. Scope: “Corporate IT environment supporting the Springfield, IL headquarters and the Chicago warehouse, excluding the recently-acquired Denver subsidiary pending separate scoping.” Intended use: cyber-insurance underwriting questionnaire support and board risk reporting. Objectives: Current Profile across all 6 Functions; Target Profile driven by insurer requirements; remediation roadmap.</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Vague scope (“assess our security” with no stated boundary) is the most common cause of a rushed, incomplete assessment – write the scope down and get executive sign-off before interviews begin.</w:t>
      </w:r>
    </w:p>
    <w:p>
      <w:pPr>
        <w:pStyle w:val="ListParagraph"/>
        <w:numPr>
          <w:ilvl w:val="0"/>
          <w:numId w:val="2"/>
        </w:numPr>
        <w:spacing w:after="100"/>
      </w:pPr>
      <w:r>
        <w:rPr>
          <w:rFonts w:ascii="Calibri" w:cs="Calibri" w:eastAsia="Calibri" w:hAnsi="Calibri"/>
          <w:sz w:val="22"/>
          <w:szCs w:val="22"/>
        </w:rPr>
        <w:t xml:space="preserve">Under-resourcing the plan (one assessor, three days, for an organization with a dozen business-critical systems) is the next most common failure – size the plan to the number of systems and stakeholders genuinely in scope.</w:t>
      </w:r>
    </w:p>
    <w:p>
      <w:pPr>
        <w:pStyle w:val="ListParagraph"/>
        <w:numPr>
          <w:ilvl w:val="0"/>
          <w:numId w:val="2"/>
        </w:numPr>
        <w:spacing w:after="100"/>
      </w:pPr>
      <w:r>
        <w:rPr>
          <w:rFonts w:ascii="Calibri" w:cs="Calibri" w:eastAsia="Calibri" w:hAnsi="Calibri"/>
          <w:sz w:val="22"/>
          <w:szCs w:val="22"/>
        </w:rPr>
        <w:t xml:space="preserve">Skipping non-technical stakeholders (legal, HR, executive leadership) will leave GOVERN and PR.AT essentially untested – build them into the schedule from day one.</w:t>
      </w:r>
    </w:p>
    <w:p>
      <w:pPr>
        <w:spacing w:after="200"/>
      </w:pPr>
    </w:p>
    <w:p>
      <w:pPr>
        <w:pStyle w:val="Heading2"/>
        <w:spacing w:after="150" w:before="300"/>
      </w:pPr>
      <w:r>
        <w:t xml:space="preserve">Walkthrough B: Running Stakeholder Interviews &amp; Workshops</w:t>
      </w:r>
    </w:p>
    <w:tbl>
      <w:tblPr>
        <w:tblW w:type="dxa" w:w="10080"/>
        <w:tblBorders>
          <w:top w:val="single" w:color="2E5395" w:sz="4"/>
          <w:left w:val="single" w:color="2E5395" w:sz="4"/>
          <w:bottom w:val="single" w:color="2E5395" w:sz="4"/>
          <w:right w:val="single" w:color="2E5395" w:sz="4"/>
          <w:insideH w:val="single" w:color="auto" w:sz="4"/>
          <w:insideV w:val="single" w:color="auto" w:sz="4"/>
        </w:tblBorders>
      </w:tblPr>
      <w:tblGrid>
        <w:gridCol w:w="10080"/>
      </w:tblGrid>
      <w:tr>
        <w:trPr>
          <w:cantSplit/>
        </w:trPr>
        <w:tc>
          <w:tcPr>
            <w:tcW w:type="dxa" w:w="10080"/>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7 - Interview Agenda" in the NIST CSF 2.0 Assessment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Gather first-hand evidence of actual practice – not just what a policy document claims – from every relevant part of the organization.</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Early in the engagement, and continuing alongside evidence collection throughout.</w:t>
      </w:r>
    </w:p>
    <w:p>
      <w:pPr>
        <w:pStyle w:val="Heading3"/>
        <w:spacing w:after="120" w:before="240"/>
      </w:pPr>
      <w:r>
        <w:t xml:space="preserve">Steps</w:t>
      </w:r>
    </w:p>
    <w:p>
      <w:pPr>
        <w:pStyle w:val="ListParagraph"/>
        <w:numPr>
          <w:ilvl w:val="0"/>
          <w:numId w:val="4"/>
        </w:numPr>
        <w:spacing w:after="100"/>
      </w:pPr>
      <w:r>
        <w:rPr>
          <w:rFonts w:ascii="Calibri" w:cs="Calibri" w:eastAsia="Calibri" w:hAnsi="Calibri"/>
          <w:sz w:val="22"/>
          <w:szCs w:val="22"/>
        </w:rPr>
        <w:t xml:space="preserve">Identify the right stakeholder for each Function/Category cluster using Template 7's role list as a starting point (CISO, General Counsel, HR Director, IT Operations Manager, Executive Sponsor, Data/Privacy Officer).</w:t>
      </w:r>
    </w:p>
    <w:p>
      <w:pPr>
        <w:pStyle w:val="ListParagraph"/>
        <w:numPr>
          <w:ilvl w:val="0"/>
          <w:numId w:val="4"/>
        </w:numPr>
        <w:spacing w:after="100"/>
      </w:pPr>
      <w:r>
        <w:rPr>
          <w:rFonts w:ascii="Calibri" w:cs="Calibri" w:eastAsia="Calibri" w:hAnsi="Calibri"/>
          <w:sz w:val="22"/>
          <w:szCs w:val="22"/>
        </w:rPr>
        <w:t xml:space="preserve">Prepare specific, practice-focused questions per stakeholder – ask “walk me through your last incident” rather than “do you have an incident response plan?”</w:t>
      </w:r>
    </w:p>
    <w:p>
      <w:pPr>
        <w:pStyle w:val="ListParagraph"/>
        <w:numPr>
          <w:ilvl w:val="0"/>
          <w:numId w:val="4"/>
        </w:numPr>
        <w:spacing w:after="100"/>
      </w:pPr>
      <w:r>
        <w:rPr>
          <w:rFonts w:ascii="Calibri" w:cs="Calibri" w:eastAsia="Calibri" w:hAnsi="Calibri"/>
          <w:sz w:val="22"/>
          <w:szCs w:val="22"/>
        </w:rPr>
        <w:t xml:space="preserve">Schedule sessions and record them in Template 7, noting date/time and interviewer.</w:t>
      </w:r>
    </w:p>
    <w:p>
      <w:pPr>
        <w:pStyle w:val="ListParagraph"/>
        <w:numPr>
          <w:ilvl w:val="0"/>
          <w:numId w:val="4"/>
        </w:numPr>
        <w:spacing w:after="100"/>
      </w:pPr>
      <w:r>
        <w:rPr>
          <w:rFonts w:ascii="Calibri" w:cs="Calibri" w:eastAsia="Calibri" w:hAnsi="Calibri"/>
          <w:sz w:val="22"/>
          <w:szCs w:val="22"/>
        </w:rPr>
        <w:t xml:space="preserve">During each session, probe for evidence you can independently verify (a document, a system screenshot, a log excerpt) rather than accepting a verbal assurance alone.</w:t>
      </w:r>
    </w:p>
    <w:p>
      <w:pPr>
        <w:pStyle w:val="ListParagraph"/>
        <w:numPr>
          <w:ilvl w:val="0"/>
          <w:numId w:val="4"/>
        </w:numPr>
        <w:spacing w:after="100"/>
      </w:pPr>
      <w:r>
        <w:rPr>
          <w:rFonts w:ascii="Calibri" w:cs="Calibri" w:eastAsia="Calibri" w:hAnsi="Calibri"/>
          <w:sz w:val="22"/>
          <w:szCs w:val="22"/>
        </w:rPr>
        <w:t xml:space="preserve">Log every useful piece of evidence in Template 5 (Evidence Log) immediately, cross-referenced to the relevant subcategory.</w:t>
      </w:r>
    </w:p>
    <w:p>
      <w:pPr>
        <w:pStyle w:val="ListParagraph"/>
        <w:numPr>
          <w:ilvl w:val="0"/>
          <w:numId w:val="4"/>
        </w:numPr>
        <w:spacing w:after="100"/>
      </w:pPr>
      <w:r>
        <w:rPr>
          <w:rFonts w:ascii="Calibri" w:cs="Calibri" w:eastAsia="Calibri" w:hAnsi="Calibri"/>
          <w:sz w:val="22"/>
          <w:szCs w:val="22"/>
        </w:rPr>
        <w:t xml:space="preserve">After each session, update the relevant rows in Template 2 (Current Profile) with a provisional score and notes – you will refine these as more evidence comes in.</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Interviewing only IT/security staff will systematically under-evidence GOVERN and PR.AT – make sure legal, HR and an executive sponsor are actually on the calendar, not just “available if needed.”</w:t>
      </w:r>
    </w:p>
    <w:p>
      <w:pPr>
        <w:pStyle w:val="ListParagraph"/>
        <w:numPr>
          <w:ilvl w:val="0"/>
          <w:numId w:val="2"/>
        </w:numPr>
        <w:spacing w:after="100"/>
      </w:pPr>
      <w:r>
        <w:rPr>
          <w:rFonts w:ascii="Calibri" w:cs="Calibri" w:eastAsia="Calibri" w:hAnsi="Calibri"/>
          <w:sz w:val="22"/>
          <w:szCs w:val="22"/>
        </w:rPr>
        <w:t xml:space="preserve">Asking closed, policy-worded questions (“do you have a policy for X?”) invites a reflexive “yes” – ask for a specific recent example instead.</w:t>
      </w:r>
    </w:p>
    <w:p>
      <w:pPr>
        <w:spacing w:after="200"/>
      </w:pPr>
    </w:p>
    <w:p>
      <w:pPr>
        <w:pStyle w:val="Heading2"/>
        <w:spacing w:after="150" w:before="300"/>
      </w:pPr>
      <w:r>
        <w:t xml:space="preserve">Walkthrough C: Building the Current Profile</w:t>
      </w:r>
    </w:p>
    <w:tbl>
      <w:tblPr>
        <w:tblW w:type="dxa" w:w="10080"/>
        <w:tblBorders>
          <w:top w:val="single" w:color="2E5395" w:sz="4"/>
          <w:left w:val="single" w:color="2E5395" w:sz="4"/>
          <w:bottom w:val="single" w:color="2E5395" w:sz="4"/>
          <w:right w:val="single" w:color="2E5395" w:sz="4"/>
          <w:insideH w:val="single" w:color="auto" w:sz="4"/>
          <w:insideV w:val="single" w:color="auto" w:sz="4"/>
        </w:tblBorders>
      </w:tblPr>
      <w:tblGrid>
        <w:gridCol w:w="10080"/>
      </w:tblGrid>
      <w:tr>
        <w:trPr>
          <w:cantSplit/>
        </w:trPr>
        <w:tc>
          <w:tcPr>
            <w:tcW w:type="dxa" w:w="10080"/>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2 - Current Profile" in the NIST CSF 2.0 Assessment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Score actual current practice against all 106 official CSF 2.0 subcategories, with evidence behind every score.</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Throughout the evidence-gathering phase, refined as interviews and document review proceed.</w:t>
      </w:r>
    </w:p>
    <w:p>
      <w:pPr>
        <w:pStyle w:val="Heading3"/>
        <w:spacing w:after="120" w:before="240"/>
      </w:pPr>
      <w:r>
        <w:t xml:space="preserve">Steps</w:t>
      </w:r>
    </w:p>
    <w:p>
      <w:pPr>
        <w:pStyle w:val="ListParagraph"/>
        <w:numPr>
          <w:ilvl w:val="0"/>
          <w:numId w:val="5"/>
        </w:numPr>
        <w:spacing w:after="100"/>
      </w:pPr>
      <w:r>
        <w:rPr>
          <w:rFonts w:ascii="Calibri" w:cs="Calibri" w:eastAsia="Calibri" w:hAnsi="Calibri"/>
          <w:sz w:val="22"/>
          <w:szCs w:val="22"/>
        </w:rPr>
        <w:t xml:space="preserve">Work down Template 2's 106 rows – every official subcategory code and exact NIST wording is pre-filled; do not renumber or reorder the intentional gaps (e.g., no ID.AM-06).</w:t>
      </w:r>
    </w:p>
    <w:p>
      <w:pPr>
        <w:pStyle w:val="ListParagraph"/>
        <w:numPr>
          <w:ilvl w:val="0"/>
          <w:numId w:val="5"/>
        </w:numPr>
        <w:spacing w:after="100"/>
      </w:pPr>
      <w:r>
        <w:rPr>
          <w:rFonts w:ascii="Calibri" w:cs="Calibri" w:eastAsia="Calibri" w:hAnsi="Calibri"/>
          <w:sz w:val="22"/>
          <w:szCs w:val="22"/>
        </w:rPr>
        <w:t xml:space="preserve">For each subcategory, assign a Current Score from 0 to 4 based on the evidence gathered – remember this 0-4 scale is an assessor convention, not an official NIST scale (see Section 2.3).</w:t>
      </w:r>
    </w:p>
    <w:p>
      <w:pPr>
        <w:pStyle w:val="ListParagraph"/>
        <w:numPr>
          <w:ilvl w:val="0"/>
          <w:numId w:val="5"/>
        </w:numPr>
        <w:spacing w:after="100"/>
      </w:pPr>
      <w:r>
        <w:rPr>
          <w:rFonts w:ascii="Calibri" w:cs="Calibri" w:eastAsia="Calibri" w:hAnsi="Calibri"/>
          <w:sz w:val="22"/>
          <w:szCs w:val="22"/>
        </w:rPr>
        <w:t xml:space="preserve">Record concrete evidence and notes for every score – “confirmed via interview” alone is not defensible; name the document, system, or person and date.</w:t>
      </w:r>
    </w:p>
    <w:p>
      <w:pPr>
        <w:pStyle w:val="ListParagraph"/>
        <w:numPr>
          <w:ilvl w:val="0"/>
          <w:numId w:val="5"/>
        </w:numPr>
        <w:spacing w:after="100"/>
      </w:pPr>
      <w:r>
        <w:rPr>
          <w:rFonts w:ascii="Calibri" w:cs="Calibri" w:eastAsia="Calibri" w:hAnsi="Calibri"/>
          <w:sz w:val="22"/>
          <w:szCs w:val="22"/>
        </w:rPr>
        <w:t xml:space="preserve">Where a subcategory clearly does not apply to the organization's environment (rare, but possible – e.g., RC.CO-04 public communications for an organization with no public-facing service), note that explicitly rather than leaving it silently blank.</w:t>
      </w:r>
    </w:p>
    <w:p>
      <w:pPr>
        <w:pStyle w:val="ListParagraph"/>
        <w:numPr>
          <w:ilvl w:val="0"/>
          <w:numId w:val="5"/>
        </w:numPr>
        <w:spacing w:after="100"/>
      </w:pPr>
      <w:r>
        <w:rPr>
          <w:rFonts w:ascii="Calibri" w:cs="Calibri" w:eastAsia="Calibri" w:hAnsi="Calibri"/>
          <w:sz w:val="22"/>
          <w:szCs w:val="22"/>
        </w:rPr>
        <w:t xml:space="preserve">Record the assessor for each row so follow-up questions can be routed correctly.</w:t>
      </w:r>
    </w:p>
    <w:p>
      <w:pPr>
        <w:pStyle w:val="ListParagraph"/>
        <w:numPr>
          <w:ilvl w:val="0"/>
          <w:numId w:val="5"/>
        </w:numPr>
        <w:spacing w:after="100"/>
      </w:pPr>
      <w:r>
        <w:rPr>
          <w:rFonts w:ascii="Calibri" w:cs="Calibri" w:eastAsia="Calibri" w:hAnsi="Calibri"/>
          <w:sz w:val="22"/>
          <w:szCs w:val="22"/>
        </w:rPr>
        <w:t xml:space="preserve">Once complete, this sheet feeds Template 4's Current-Avg-Score rollups automatically via formula – do not overwrite the Category/Function labels, since the rollup formulas match on them exactly.</w:t>
      </w:r>
    </w:p>
    <w:p>
      <w:pPr>
        <w:pStyle w:val="Heading3"/>
        <w:spacing w:after="120" w:before="240"/>
      </w:pPr>
      <w:r>
        <w:t xml:space="preserve">Worked example</w:t>
      </w:r>
    </w:p>
    <w:p>
      <w:pPr>
        <w:spacing w:after="160" w:line="276"/>
      </w:pPr>
      <w:r>
        <w:rPr>
          <w:rFonts w:ascii="Calibri" w:cs="Calibri" w:eastAsia="Calibri" w:hAnsi="Calibri"/>
          <w:sz w:val="22"/>
          <w:szCs w:val="22"/>
        </w:rPr>
        <w:t xml:space="preserve">GV.OC-01 (“The organizational mission is understood and informs cybersecurity risk management”): scored 2. Evidence – mission statement exists and is referenced in the security policy header, but the CISO could not point to a documented link between mission-critical services and cybersecurity prioritization decisions. Notes: revisit after reviewing the (promised but not yet located) business impact analysis.</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Scoring from the policy document alone, without corroborating evidence of actual practice, is the single most common way a Current Profile ends up overstated.</w:t>
      </w:r>
    </w:p>
    <w:p>
      <w:pPr>
        <w:pStyle w:val="ListParagraph"/>
        <w:numPr>
          <w:ilvl w:val="0"/>
          <w:numId w:val="2"/>
        </w:numPr>
        <w:spacing w:after="100"/>
      </w:pPr>
      <w:r>
        <w:rPr>
          <w:rFonts w:ascii="Calibri" w:cs="Calibri" w:eastAsia="Calibri" w:hAnsi="Calibri"/>
          <w:sz w:val="22"/>
          <w:szCs w:val="22"/>
        </w:rPr>
        <w:t xml:space="preserve">Leaving Evidence/Notes blank makes the score impossible to defend later – and impossible for a future reassessment to compare against.</w:t>
      </w:r>
    </w:p>
    <w:p>
      <w:pPr>
        <w:spacing w:after="200"/>
      </w:pPr>
    </w:p>
    <w:p>
      <w:pPr>
        <w:pStyle w:val="Heading2"/>
        <w:spacing w:after="150" w:before="300"/>
      </w:pPr>
      <w:r>
        <w:t xml:space="preserve">Walkthrough D: Logging Evidence As You Go</w:t>
      </w:r>
    </w:p>
    <w:tbl>
      <w:tblPr>
        <w:tblW w:type="dxa" w:w="10080"/>
        <w:tblBorders>
          <w:top w:val="single" w:color="2E5395" w:sz="4"/>
          <w:left w:val="single" w:color="2E5395" w:sz="4"/>
          <w:bottom w:val="single" w:color="2E5395" w:sz="4"/>
          <w:right w:val="single" w:color="2E5395" w:sz="4"/>
          <w:insideH w:val="single" w:color="auto" w:sz="4"/>
          <w:insideV w:val="single" w:color="auto" w:sz="4"/>
        </w:tblBorders>
      </w:tblPr>
      <w:tblGrid>
        <w:gridCol w:w="10080"/>
      </w:tblGrid>
      <w:tr>
        <w:trPr>
          <w:cantSplit/>
        </w:trPr>
        <w:tc>
          <w:tcPr>
            <w:tcW w:type="dxa" w:w="10080"/>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5 - Evidence Log" in the NIST CSF 2.0 Assessment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Keep a single, chronological, defensible record of everything you examined.</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Continuously, throughout the entire assessment – not reconstructed afterward from memory.</w:t>
      </w:r>
    </w:p>
    <w:p>
      <w:pPr>
        <w:pStyle w:val="Heading3"/>
        <w:spacing w:after="120" w:before="240"/>
      </w:pPr>
      <w:r>
        <w:t xml:space="preserve">Steps</w:t>
      </w:r>
    </w:p>
    <w:p>
      <w:pPr>
        <w:pStyle w:val="ListParagraph"/>
        <w:numPr>
          <w:ilvl w:val="0"/>
          <w:numId w:val="6"/>
        </w:numPr>
        <w:spacing w:after="100"/>
      </w:pPr>
      <w:r>
        <w:rPr>
          <w:rFonts w:ascii="Calibri" w:cs="Calibri" w:eastAsia="Calibri" w:hAnsi="Calibri"/>
          <w:sz w:val="22"/>
          <w:szCs w:val="22"/>
        </w:rPr>
        <w:t xml:space="preserve">Every time you review a document, interview someone, or observe a system/configuration, add one row to Template 5 immediately.</w:t>
      </w:r>
    </w:p>
    <w:p>
      <w:pPr>
        <w:pStyle w:val="ListParagraph"/>
        <w:numPr>
          <w:ilvl w:val="0"/>
          <w:numId w:val="6"/>
        </w:numPr>
        <w:spacing w:after="100"/>
      </w:pPr>
      <w:r>
        <w:rPr>
          <w:rFonts w:ascii="Calibri" w:cs="Calibri" w:eastAsia="Calibri" w:hAnsi="Calibri"/>
          <w:sz w:val="22"/>
          <w:szCs w:val="22"/>
        </w:rPr>
        <w:t xml:space="preserve">Record a unique Evidence ID, date/time, source (person interviewed or document reference with version/date), the subcategory or function it relates to, and a specific description of what you saw.</w:t>
      </w:r>
    </w:p>
    <w:p>
      <w:pPr>
        <w:pStyle w:val="ListParagraph"/>
        <w:numPr>
          <w:ilvl w:val="0"/>
          <w:numId w:val="6"/>
        </w:numPr>
        <w:spacing w:after="100"/>
      </w:pPr>
      <w:r>
        <w:rPr>
          <w:rFonts w:ascii="Calibri" w:cs="Calibri" w:eastAsia="Calibri" w:hAnsi="Calibri"/>
          <w:sz w:val="22"/>
          <w:szCs w:val="22"/>
        </w:rPr>
        <w:t xml:space="preserve">Tag each row with a status: Supports Current Score / Contradicts Current Score / Needs Follow-up.</w:t>
      </w:r>
    </w:p>
    <w:p>
      <w:pPr>
        <w:pStyle w:val="ListParagraph"/>
        <w:numPr>
          <w:ilvl w:val="0"/>
          <w:numId w:val="6"/>
        </w:numPr>
        <w:spacing w:after="100"/>
      </w:pPr>
      <w:r>
        <w:rPr>
          <w:rFonts w:ascii="Calibri" w:cs="Calibri" w:eastAsia="Calibri" w:hAnsi="Calibri"/>
          <w:sz w:val="22"/>
          <w:szCs w:val="22"/>
        </w:rPr>
        <w:t xml:space="preserve">Cross-reference Evidence IDs from Templates 2 and 6 back into this log so any score or finding can be traced to its exact source.</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Reconstructing evidence notes at the end of the day from memory is how assessments lose credibility – log in real time, even briefly, then expand at the next break.</w:t>
      </w:r>
    </w:p>
    <w:p>
      <w:pPr>
        <w:spacing w:after="200"/>
      </w:pPr>
    </w:p>
    <w:p>
      <w:pPr>
        <w:pStyle w:val="Heading2"/>
        <w:spacing w:after="150" w:before="300"/>
      </w:pPr>
      <w:r>
        <w:t xml:space="preserve">Walkthrough E: Defining the Target Profile &amp; Selecting a Tier</w:t>
      </w:r>
    </w:p>
    <w:tbl>
      <w:tblPr>
        <w:tblW w:type="dxa" w:w="10080"/>
        <w:tblBorders>
          <w:top w:val="single" w:color="2E5395" w:sz="4"/>
          <w:left w:val="single" w:color="2E5395" w:sz="4"/>
          <w:bottom w:val="single" w:color="2E5395" w:sz="4"/>
          <w:right w:val="single" w:color="2E5395" w:sz="4"/>
          <w:insideH w:val="single" w:color="auto" w:sz="4"/>
          <w:insideV w:val="single" w:color="auto" w:sz="4"/>
        </w:tblBorders>
      </w:tblPr>
      <w:tblGrid>
        <w:gridCol w:w="10080"/>
      </w:tblGrid>
      <w:tr>
        <w:trPr>
          <w:cantSplit/>
        </w:trPr>
        <w:tc>
          <w:tcPr>
            <w:tcW w:type="dxa" w:w="10080"/>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3 - Target Profile" in the NIST CSF 2.0 Assessment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Translate risk appetite, threat intelligence and business drivers into a concrete, defensible Target Profile.</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After the Current Profile is substantially complete, informed by its findings.</w:t>
      </w:r>
    </w:p>
    <w:p>
      <w:pPr>
        <w:pStyle w:val="Heading3"/>
        <w:spacing w:after="120" w:before="240"/>
      </w:pPr>
      <w:r>
        <w:t xml:space="preserve">Steps</w:t>
      </w:r>
    </w:p>
    <w:p>
      <w:pPr>
        <w:pStyle w:val="ListParagraph"/>
        <w:numPr>
          <w:ilvl w:val="0"/>
          <w:numId w:val="7"/>
        </w:numPr>
        <w:spacing w:after="100"/>
      </w:pPr>
      <w:r>
        <w:rPr>
          <w:rFonts w:ascii="Calibri" w:cs="Calibri" w:eastAsia="Calibri" w:hAnsi="Calibri"/>
          <w:sz w:val="22"/>
          <w:szCs w:val="22"/>
        </w:rPr>
        <w:t xml:space="preserve">Review the 4 official Implementation Tiers with the executive sponsor, and select an overall organizational Target Tier and timeframe (Section A).</w:t>
      </w:r>
    </w:p>
    <w:p>
      <w:pPr>
        <w:pStyle w:val="ListParagraph"/>
        <w:numPr>
          <w:ilvl w:val="0"/>
          <w:numId w:val="7"/>
        </w:numPr>
        <w:spacing w:after="100"/>
      </w:pPr>
      <w:r>
        <w:rPr>
          <w:rFonts w:ascii="Calibri" w:cs="Calibri" w:eastAsia="Calibri" w:hAnsi="Calibri"/>
          <w:sz w:val="22"/>
          <w:szCs w:val="22"/>
        </w:rPr>
        <w:t xml:space="preserve">Where different Functions warrant different urgency – for example, GOVERN driven by a new board reporting requirement – set a per-Function target Tier in Section B rather than a single blanket target.</w:t>
      </w:r>
    </w:p>
    <w:p>
      <w:pPr>
        <w:pStyle w:val="ListParagraph"/>
        <w:numPr>
          <w:ilvl w:val="0"/>
          <w:numId w:val="7"/>
        </w:numPr>
        <w:spacing w:after="100"/>
      </w:pPr>
      <w:r>
        <w:rPr>
          <w:rFonts w:ascii="Calibri" w:cs="Calibri" w:eastAsia="Calibri" w:hAnsi="Calibri"/>
          <w:sz w:val="22"/>
          <w:szCs w:val="22"/>
        </w:rPr>
        <w:t xml:space="preserve">For each of the 22 Categories, set a Target Score (0-4) in Section C, informed by risk appetite, known threats, and any regulatory/contractual/customer requirements driving the assessment.</w:t>
      </w:r>
    </w:p>
    <w:p>
      <w:pPr>
        <w:pStyle w:val="ListParagraph"/>
        <w:numPr>
          <w:ilvl w:val="0"/>
          <w:numId w:val="7"/>
        </w:numPr>
        <w:spacing w:after="100"/>
      </w:pPr>
      <w:r>
        <w:rPr>
          <w:rFonts w:ascii="Calibri" w:cs="Calibri" w:eastAsia="Calibri" w:hAnsi="Calibri"/>
          <w:sz w:val="22"/>
          <w:szCs w:val="22"/>
        </w:rPr>
        <w:t xml:space="preserve">Document the rationale for each target – “why this Tier, why this timeframe” – so the roadmap in Template 9 can be prioritized against a defensible “why.”</w:t>
      </w:r>
    </w:p>
    <w:p>
      <w:pPr>
        <w:pStyle w:val="ListParagraph"/>
        <w:numPr>
          <w:ilvl w:val="0"/>
          <w:numId w:val="7"/>
        </w:numPr>
        <w:spacing w:after="100"/>
      </w:pPr>
      <w:r>
        <w:rPr>
          <w:rFonts w:ascii="Calibri" w:cs="Calibri" w:eastAsia="Calibri" w:hAnsi="Calibri"/>
          <w:sz w:val="22"/>
          <w:szCs w:val="22"/>
        </w:rPr>
        <w:t xml:space="preserve">Get executive sign-off on the Target Profile before finalizing the gap analysis – it represents a resourcing commitment, not just an assessor's opinion.</w:t>
      </w:r>
    </w:p>
    <w:p>
      <w:pPr>
        <w:pStyle w:val="Heading3"/>
        <w:spacing w:after="120" w:before="240"/>
      </w:pPr>
      <w:r>
        <w:t xml:space="preserve">Worked example</w:t>
      </w:r>
    </w:p>
    <w:p>
      <w:pPr>
        <w:spacing w:after="160" w:line="276"/>
      </w:pPr>
      <w:r>
        <w:rPr>
          <w:rFonts w:ascii="Calibri" w:cs="Calibri" w:eastAsia="Calibri" w:hAnsi="Calibri"/>
          <w:sz w:val="22"/>
          <w:szCs w:val="22"/>
        </w:rPr>
        <w:t xml:space="preserve">Driven by a new cyber-insurance underwriting requirement, the organization sets an overall Target Tier of “Tier 3 – Repeatable” within 12 months. GOVERN is specifically targeted at Tier 3 within 6 months (Section B), because the insurer's questionnaire focuses heavily on governance evidence, and GV.RM's category-level Target Score is set to 3 (Section C).</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Setting every category's target to the maximum score “to be safe” produces an unrealistic, unfunded roadmap – target scores should reflect genuine risk-based priority, not aspiration alone.</w:t>
      </w:r>
    </w:p>
    <w:p>
      <w:pPr>
        <w:pStyle w:val="ListParagraph"/>
        <w:numPr>
          <w:ilvl w:val="0"/>
          <w:numId w:val="2"/>
        </w:numPr>
        <w:spacing w:after="100"/>
      </w:pPr>
      <w:r>
        <w:rPr>
          <w:rFonts w:ascii="Calibri" w:cs="Calibri" w:eastAsia="Calibri" w:hAnsi="Calibri"/>
          <w:sz w:val="22"/>
          <w:szCs w:val="22"/>
        </w:rPr>
        <w:t xml:space="preserve">Skipping executive sign-off on the Target Profile is a common cause of remediation roadmaps that stall – the target represents a resourcing decision, not just an assessment finding.</w:t>
      </w:r>
    </w:p>
    <w:p>
      <w:pPr>
        <w:spacing w:after="200"/>
      </w:pPr>
    </w:p>
    <w:p>
      <w:pPr>
        <w:pStyle w:val="Heading2"/>
        <w:spacing w:after="150" w:before="300"/>
      </w:pPr>
      <w:r>
        <w:t xml:space="preserve">Walkthrough F: Running the Gap Analysis &amp; Heat Map</w:t>
      </w:r>
    </w:p>
    <w:tbl>
      <w:tblPr>
        <w:tblW w:type="dxa" w:w="10080"/>
        <w:tblBorders>
          <w:top w:val="single" w:color="2E5395" w:sz="4"/>
          <w:left w:val="single" w:color="2E5395" w:sz="4"/>
          <w:bottom w:val="single" w:color="2E5395" w:sz="4"/>
          <w:right w:val="single" w:color="2E5395" w:sz="4"/>
          <w:insideH w:val="single" w:color="auto" w:sz="4"/>
          <w:insideV w:val="single" w:color="auto" w:sz="4"/>
        </w:tblBorders>
      </w:tblPr>
      <w:tblGrid>
        <w:gridCol w:w="10080"/>
      </w:tblGrid>
      <w:tr>
        <w:trPr>
          <w:cantSplit/>
        </w:trPr>
        <w:tc>
          <w:tcPr>
            <w:tcW w:type="dxa" w:w="10080"/>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4 - Gap Analysis" in the NIST CSF 2.0 Assessment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Turn 106 individual subcategory scores into a prioritized, digestible picture of where the biggest gaps are.</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Once the Current Profile (Template 2) and Target Profile (Template 3) are both substantially complete.</w:t>
      </w:r>
    </w:p>
    <w:p>
      <w:pPr>
        <w:pStyle w:val="Heading3"/>
        <w:spacing w:after="120" w:before="240"/>
      </w:pPr>
      <w:r>
        <w:t xml:space="preserve">Steps</w:t>
      </w:r>
    </w:p>
    <w:p>
      <w:pPr>
        <w:pStyle w:val="ListParagraph"/>
        <w:numPr>
          <w:ilvl w:val="0"/>
          <w:numId w:val="8"/>
        </w:numPr>
        <w:spacing w:after="100"/>
      </w:pPr>
      <w:r>
        <w:rPr>
          <w:rFonts w:ascii="Calibri" w:cs="Calibri" w:eastAsia="Calibri" w:hAnsi="Calibri"/>
          <w:sz w:val="22"/>
          <w:szCs w:val="22"/>
        </w:rPr>
        <w:t xml:space="preserve">Open Template 4 – the Category-level rollup automatically averages Template 2's Current Scores by category and pulls in Template 3's Target Scores; verify a sample of rows by hand the first time you use it.</w:t>
      </w:r>
    </w:p>
    <w:p>
      <w:pPr>
        <w:pStyle w:val="ListParagraph"/>
        <w:numPr>
          <w:ilvl w:val="0"/>
          <w:numId w:val="8"/>
        </w:numPr>
        <w:spacing w:after="100"/>
      </w:pPr>
      <w:r>
        <w:rPr>
          <w:rFonts w:ascii="Calibri" w:cs="Calibri" w:eastAsia="Calibri" w:hAnsi="Calibri"/>
          <w:sz w:val="22"/>
          <w:szCs w:val="22"/>
        </w:rPr>
        <w:t xml:space="preserve">Review the Gap column (Target minus Current) and the color-scale heat map – larger gaps shade toward red.</w:t>
      </w:r>
    </w:p>
    <w:p>
      <w:pPr>
        <w:pStyle w:val="ListParagraph"/>
        <w:numPr>
          <w:ilvl w:val="0"/>
          <w:numId w:val="8"/>
        </w:numPr>
        <w:spacing w:after="100"/>
      </w:pPr>
      <w:r>
        <w:rPr>
          <w:rFonts w:ascii="Calibri" w:cs="Calibri" w:eastAsia="Calibri" w:hAnsi="Calibri"/>
          <w:sz w:val="22"/>
          <w:szCs w:val="22"/>
        </w:rPr>
        <w:t xml:space="preserve">Assign a Priority (High/Medium/Low) per category, factoring in both gap size and business risk – a small gap in a high-risk category can outrank a large gap in a low-risk one.</w:t>
      </w:r>
    </w:p>
    <w:p>
      <w:pPr>
        <w:pStyle w:val="ListParagraph"/>
        <w:numPr>
          <w:ilvl w:val="0"/>
          <w:numId w:val="8"/>
        </w:numPr>
        <w:spacing w:after="100"/>
      </w:pPr>
      <w:r>
        <w:rPr>
          <w:rFonts w:ascii="Calibri" w:cs="Calibri" w:eastAsia="Calibri" w:hAnsi="Calibri"/>
          <w:sz w:val="22"/>
          <w:szCs w:val="22"/>
        </w:rPr>
        <w:t xml:space="preserve">Review the Function-level rollup for an executive-friendly summary – useful for the executive summary in Template 8.</w:t>
      </w:r>
    </w:p>
    <w:p>
      <w:pPr>
        <w:pStyle w:val="ListParagraph"/>
        <w:numPr>
          <w:ilvl w:val="0"/>
          <w:numId w:val="8"/>
        </w:numPr>
        <w:spacing w:after="100"/>
      </w:pPr>
      <w:r>
        <w:rPr>
          <w:rFonts w:ascii="Calibri" w:cs="Calibri" w:eastAsia="Calibri" w:hAnsi="Calibri"/>
          <w:sz w:val="22"/>
          <w:szCs w:val="22"/>
        </w:rPr>
        <w:t xml:space="preserve">Use this prioritized list to drive Template 6 (Findings) and Template 9 (Remediation Roadmap).</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Treating every red cell on the heat map as equally urgent defeats the purpose of prioritization – combine the gap score with business context before finalizing priority.</w:t>
      </w:r>
    </w:p>
    <w:p>
      <w:pPr>
        <w:pStyle w:val="ListParagraph"/>
        <w:numPr>
          <w:ilvl w:val="0"/>
          <w:numId w:val="2"/>
        </w:numPr>
        <w:spacing w:after="100"/>
      </w:pPr>
      <w:r>
        <w:rPr>
          <w:rFonts w:ascii="Calibri" w:cs="Calibri" w:eastAsia="Calibri" w:hAnsi="Calibri"/>
          <w:sz w:val="22"/>
          <w:szCs w:val="22"/>
        </w:rPr>
        <w:t xml:space="preserve">If a category shows a 0 current average with no evidence rows filled in on Template 2, that's an unassessed category, not necessarily a true zero – check Template 2 before reporting it as a finding.</w:t>
      </w:r>
    </w:p>
    <w:p>
      <w:pPr>
        <w:spacing w:after="200"/>
      </w:pPr>
    </w:p>
    <w:p>
      <w:pPr>
        <w:pStyle w:val="Heading2"/>
        <w:spacing w:after="150" w:before="300"/>
      </w:pPr>
      <w:r>
        <w:t xml:space="preserve">Walkthrough G: Writing Findings and Setting Priority</w:t>
      </w:r>
    </w:p>
    <w:tbl>
      <w:tblPr>
        <w:tblW w:type="dxa" w:w="10080"/>
        <w:tblBorders>
          <w:top w:val="single" w:color="2E5395" w:sz="4"/>
          <w:left w:val="single" w:color="2E5395" w:sz="4"/>
          <w:bottom w:val="single" w:color="2E5395" w:sz="4"/>
          <w:right w:val="single" w:color="2E5395" w:sz="4"/>
          <w:insideH w:val="single" w:color="auto" w:sz="4"/>
          <w:insideV w:val="single" w:color="auto" w:sz="4"/>
        </w:tblBorders>
      </w:tblPr>
      <w:tblGrid>
        <w:gridCol w:w="10080"/>
      </w:tblGrid>
      <w:tr>
        <w:trPr>
          <w:cantSplit/>
        </w:trPr>
        <w:tc>
          <w:tcPr>
            <w:tcW w:type="dxa" w:w="10080"/>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6 - Findings Tracker" in the NIST CSF 2.0 Assessment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Turn a gap you observed into a clear, actionable, evidence-backed finding.</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As soon as you identify a meaningful gap between current and target practice.</w:t>
      </w:r>
    </w:p>
    <w:p>
      <w:pPr>
        <w:pStyle w:val="Heading3"/>
        <w:spacing w:after="120" w:before="240"/>
      </w:pPr>
      <w:r>
        <w:t xml:space="preserve">Steps</w:t>
      </w:r>
    </w:p>
    <w:p>
      <w:pPr>
        <w:pStyle w:val="ListParagraph"/>
        <w:numPr>
          <w:ilvl w:val="0"/>
          <w:numId w:val="9"/>
        </w:numPr>
        <w:spacing w:after="100"/>
      </w:pPr>
      <w:r>
        <w:rPr>
          <w:rFonts w:ascii="Calibri" w:cs="Calibri" w:eastAsia="Calibri" w:hAnsi="Calibri"/>
          <w:sz w:val="22"/>
          <w:szCs w:val="22"/>
        </w:rPr>
        <w:t xml:space="preserve">Describe the gap specifically: what outcome (subcategory) is not being met, and what you observed instead – avoid vague language like “needs improvement.”</w:t>
      </w:r>
    </w:p>
    <w:p>
      <w:pPr>
        <w:pStyle w:val="ListParagraph"/>
        <w:numPr>
          <w:ilvl w:val="0"/>
          <w:numId w:val="9"/>
        </w:numPr>
        <w:spacing w:after="100"/>
      </w:pPr>
      <w:r>
        <w:rPr>
          <w:rFonts w:ascii="Calibri" w:cs="Calibri" w:eastAsia="Calibri" w:hAnsi="Calibri"/>
          <w:sz w:val="22"/>
          <w:szCs w:val="22"/>
        </w:rPr>
        <w:t xml:space="preserve">Attach the supporting evidence (cross-reference Evidence IDs from Template 5).</w:t>
      </w:r>
    </w:p>
    <w:p>
      <w:pPr>
        <w:pStyle w:val="ListParagraph"/>
        <w:numPr>
          <w:ilvl w:val="0"/>
          <w:numId w:val="9"/>
        </w:numPr>
        <w:spacing w:after="100"/>
      </w:pPr>
      <w:r>
        <w:rPr>
          <w:rFonts w:ascii="Calibri" w:cs="Calibri" w:eastAsia="Calibri" w:hAnsi="Calibri"/>
          <w:sz w:val="22"/>
          <w:szCs w:val="22"/>
        </w:rPr>
        <w:t xml:space="preserve">Assign a Priority of High, Medium, or Low – based on business risk and gap size, not on how easy the fix is. Priority is deliberately High/Medium/Low, not the ISO major/minor nonconformity scale, because this is a gap assessment, not a certification audit.</w:t>
      </w:r>
    </w:p>
    <w:p>
      <w:pPr>
        <w:pStyle w:val="ListParagraph"/>
        <w:numPr>
          <w:ilvl w:val="0"/>
          <w:numId w:val="9"/>
        </w:numPr>
        <w:spacing w:after="100"/>
      </w:pPr>
      <w:r>
        <w:rPr>
          <w:rFonts w:ascii="Calibri" w:cs="Calibri" w:eastAsia="Calibri" w:hAnsi="Calibri"/>
          <w:sz w:val="22"/>
          <w:szCs w:val="22"/>
        </w:rPr>
        <w:t xml:space="preserve">Write a concrete recommendation – specific enough that an owner could act on it without further clarification.</w:t>
      </w:r>
    </w:p>
    <w:p>
      <w:pPr>
        <w:pStyle w:val="ListParagraph"/>
        <w:numPr>
          <w:ilvl w:val="0"/>
          <w:numId w:val="9"/>
        </w:numPr>
        <w:spacing w:after="100"/>
      </w:pPr>
      <w:r>
        <w:rPr>
          <w:rFonts w:ascii="Calibri" w:cs="Calibri" w:eastAsia="Calibri" w:hAnsi="Calibri"/>
          <w:sz w:val="22"/>
          <w:szCs w:val="22"/>
        </w:rPr>
        <w:t xml:space="preserve">Assign an owner and a target date, and set the status.</w:t>
      </w:r>
    </w:p>
    <w:p>
      <w:pPr>
        <w:pStyle w:val="ListParagraph"/>
        <w:numPr>
          <w:ilvl w:val="0"/>
          <w:numId w:val="9"/>
        </w:numPr>
        <w:spacing w:after="100"/>
      </w:pPr>
      <w:r>
        <w:rPr>
          <w:rFonts w:ascii="Calibri" w:cs="Calibri" w:eastAsia="Calibri" w:hAnsi="Calibri"/>
          <w:sz w:val="22"/>
          <w:szCs w:val="22"/>
        </w:rPr>
        <w:t xml:space="preserve">Carry High-priority findings into Template 9 (Remediation Roadmap) and, where they represent an ongoing risk rather than a one-time fix, into Template 10 (Risk Register).</w:t>
      </w:r>
    </w:p>
    <w:p>
      <w:pPr>
        <w:pStyle w:val="Heading3"/>
        <w:spacing w:after="120" w:before="240"/>
      </w:pPr>
      <w:r>
        <w:t xml:space="preserve">Worked example</w:t>
      </w:r>
    </w:p>
    <w:p>
      <w:pPr>
        <w:spacing w:after="160" w:line="276"/>
      </w:pPr>
      <w:r>
        <w:rPr>
          <w:rFonts w:ascii="Calibri" w:cs="Calibri" w:eastAsia="Calibri" w:hAnsi="Calibri"/>
          <w:sz w:val="22"/>
          <w:szCs w:val="22"/>
        </w:rPr>
        <w:t xml:space="preserve">Finding: “No formal process exists for receiving or triaging external vulnerability disclosures (ID.RA-08). Interview with the IT Manager confirmed there is no disclosure inbox, published policy, or intake log (Evidence EV-014).” Priority: High – the organization has no channel to learn about vulnerabilities researchers or customers might report. Recommendation: stand up a security@ disclosure mailbox with a documented SLA and publish a basic disclosure policy.</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Writing findings as personal opinions (“I think their patching is weak”) instead of evidence-anchored statements makes them indefensible and hard to act on.</w:t>
      </w:r>
    </w:p>
    <w:p>
      <w:pPr>
        <w:pStyle w:val="ListParagraph"/>
        <w:numPr>
          <w:ilvl w:val="0"/>
          <w:numId w:val="2"/>
        </w:numPr>
        <w:spacing w:after="100"/>
      </w:pPr>
      <w:r>
        <w:rPr>
          <w:rFonts w:ascii="Calibri" w:cs="Calibri" w:eastAsia="Calibri" w:hAnsi="Calibri"/>
          <w:sz w:val="22"/>
          <w:szCs w:val="22"/>
        </w:rPr>
        <w:t xml:space="preserve">Grading everything High priority to “be thorough” dilutes the roadmap and makes true priorities harder to see – reserve High for genuine business risk.</w:t>
      </w:r>
    </w:p>
    <w:p>
      <w:pPr>
        <w:spacing w:after="200"/>
      </w:pPr>
    </w:p>
    <w:p>
      <w:pPr>
        <w:pStyle w:val="Heading2"/>
        <w:spacing w:after="150" w:before="300"/>
      </w:pPr>
      <w:r>
        <w:t xml:space="preserve">Walkthrough H: Building the Remediation Roadmap</w:t>
      </w:r>
    </w:p>
    <w:tbl>
      <w:tblPr>
        <w:tblW w:type="dxa" w:w="10080"/>
        <w:tblBorders>
          <w:top w:val="single" w:color="2E5395" w:sz="4"/>
          <w:left w:val="single" w:color="2E5395" w:sz="4"/>
          <w:bottom w:val="single" w:color="2E5395" w:sz="4"/>
          <w:right w:val="single" w:color="2E5395" w:sz="4"/>
          <w:insideH w:val="single" w:color="auto" w:sz="4"/>
          <w:insideV w:val="single" w:color="auto" w:sz="4"/>
        </w:tblBorders>
      </w:tblPr>
      <w:tblGrid>
        <w:gridCol w:w="10080"/>
      </w:tblGrid>
      <w:tr>
        <w:trPr>
          <w:cantSplit/>
        </w:trPr>
        <w:tc>
          <w:tcPr>
            <w:tcW w:type="dxa" w:w="10080"/>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9 - Remediation Plan" in the NIST CSF 2.0 Assessment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Convert prioritized findings into a funded, owned, time-bound plan – the deliverable that actually closes gaps.</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After findings are documented in Template 6, typically alongside report drafting.</w:t>
      </w:r>
    </w:p>
    <w:p>
      <w:pPr>
        <w:pStyle w:val="Heading3"/>
        <w:spacing w:after="120" w:before="240"/>
      </w:pPr>
      <w:r>
        <w:t xml:space="preserve">Steps</w:t>
      </w:r>
    </w:p>
    <w:p>
      <w:pPr>
        <w:pStyle w:val="ListParagraph"/>
        <w:numPr>
          <w:ilvl w:val="0"/>
          <w:numId w:val="10"/>
        </w:numPr>
        <w:spacing w:after="100"/>
      </w:pPr>
      <w:r>
        <w:rPr>
          <w:rFonts w:ascii="Calibri" w:cs="Calibri" w:eastAsia="Calibri" w:hAnsi="Calibri"/>
          <w:sz w:val="22"/>
          <w:szCs w:val="22"/>
        </w:rPr>
        <w:t xml:space="preserve">Pull each finding from Template 6 into Template 9, preserving its Priority.</w:t>
      </w:r>
    </w:p>
    <w:p>
      <w:pPr>
        <w:pStyle w:val="ListParagraph"/>
        <w:numPr>
          <w:ilvl w:val="0"/>
          <w:numId w:val="10"/>
        </w:numPr>
        <w:spacing w:after="100"/>
      </w:pPr>
      <w:r>
        <w:rPr>
          <w:rFonts w:ascii="Calibri" w:cs="Calibri" w:eastAsia="Calibri" w:hAnsi="Calibri"/>
          <w:sz w:val="22"/>
          <w:szCs w:val="22"/>
        </w:rPr>
        <w:t xml:space="preserve">Write specific, achievable recommended actions – break large gaps into smaller, sequenced actions where useful.</w:t>
      </w:r>
    </w:p>
    <w:p>
      <w:pPr>
        <w:pStyle w:val="ListParagraph"/>
        <w:numPr>
          <w:ilvl w:val="0"/>
          <w:numId w:val="10"/>
        </w:numPr>
        <w:spacing w:after="100"/>
      </w:pPr>
      <w:r>
        <w:rPr>
          <w:rFonts w:ascii="Calibri" w:cs="Calibri" w:eastAsia="Calibri" w:hAnsi="Calibri"/>
          <w:sz w:val="22"/>
          <w:szCs w:val="22"/>
        </w:rPr>
        <w:t xml:space="preserve">Define success criteria/evidence of completion up front – “how will we know this is actually done?” – not just “policy updated.”</w:t>
      </w:r>
    </w:p>
    <w:p>
      <w:pPr>
        <w:pStyle w:val="ListParagraph"/>
        <w:numPr>
          <w:ilvl w:val="0"/>
          <w:numId w:val="10"/>
        </w:numPr>
        <w:spacing w:after="100"/>
      </w:pPr>
      <w:r>
        <w:rPr>
          <w:rFonts w:ascii="Calibri" w:cs="Calibri" w:eastAsia="Calibri" w:hAnsi="Calibri"/>
          <w:sz w:val="22"/>
          <w:szCs w:val="22"/>
        </w:rPr>
        <w:t xml:space="preserve">Assign a named owner (not a team) and realistic target start/completion dates.</w:t>
      </w:r>
    </w:p>
    <w:p>
      <w:pPr>
        <w:pStyle w:val="ListParagraph"/>
        <w:numPr>
          <w:ilvl w:val="0"/>
          <w:numId w:val="10"/>
        </w:numPr>
        <w:spacing w:after="100"/>
      </w:pPr>
      <w:r>
        <w:rPr>
          <w:rFonts w:ascii="Calibri" w:cs="Calibri" w:eastAsia="Calibri" w:hAnsi="Calibri"/>
          <w:sz w:val="22"/>
          <w:szCs w:val="22"/>
        </w:rPr>
        <w:t xml:space="preserve">Track status through to Verified Complete – require evidence of the fix working, not just a status update.</w:t>
      </w:r>
    </w:p>
    <w:p>
      <w:pPr>
        <w:pStyle w:val="ListParagraph"/>
        <w:numPr>
          <w:ilvl w:val="0"/>
          <w:numId w:val="10"/>
        </w:numPr>
        <w:spacing w:after="100"/>
      </w:pPr>
      <w:r>
        <w:rPr>
          <w:rFonts w:ascii="Calibri" w:cs="Calibri" w:eastAsia="Calibri" w:hAnsi="Calibri"/>
          <w:sz w:val="22"/>
          <w:szCs w:val="22"/>
        </w:rPr>
        <w:t xml:space="preserve">Review the roadmap with the executive sponsor and revisit it at least quarterly, or per your organization's own reassessment cadence (Template 11).</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Assigning actions to a team or department instead of a named individual is the most common reason roadmap items stall with no visible owner.</w:t>
      </w:r>
    </w:p>
    <w:p>
      <w:pPr>
        <w:pStyle w:val="ListParagraph"/>
        <w:numPr>
          <w:ilvl w:val="0"/>
          <w:numId w:val="2"/>
        </w:numPr>
        <w:spacing w:after="100"/>
      </w:pPr>
      <w:r>
        <w:rPr>
          <w:rFonts w:ascii="Calibri" w:cs="Calibri" w:eastAsia="Calibri" w:hAnsi="Calibri"/>
          <w:sz w:val="22"/>
          <w:szCs w:val="22"/>
        </w:rPr>
        <w:t xml:space="preserve">Marking an item “complete” based on a policy update alone, without evidence the control is actually operating, just recreates the same gap the next assessment cycle finds.</w:t>
      </w:r>
    </w:p>
    <w:p>
      <w:pPr>
        <w:spacing w:after="200"/>
      </w:pPr>
    </w:p>
    <w:p>
      <w:pPr>
        <w:pStyle w:val="Heading2"/>
        <w:spacing w:after="150" w:before="300"/>
      </w:pPr>
      <w:r>
        <w:t xml:space="preserve">Walkthrough I: Maintaining a Cybersecurity Risk Register</w:t>
      </w:r>
    </w:p>
    <w:tbl>
      <w:tblPr>
        <w:tblW w:type="dxa" w:w="10080"/>
        <w:tblBorders>
          <w:top w:val="single" w:color="2E5395" w:sz="4"/>
          <w:left w:val="single" w:color="2E5395" w:sz="4"/>
          <w:bottom w:val="single" w:color="2E5395" w:sz="4"/>
          <w:right w:val="single" w:color="2E5395" w:sz="4"/>
          <w:insideH w:val="single" w:color="auto" w:sz="4"/>
          <w:insideV w:val="single" w:color="auto" w:sz="4"/>
        </w:tblBorders>
      </w:tblPr>
      <w:tblGrid>
        <w:gridCol w:w="10080"/>
      </w:tblGrid>
      <w:tr>
        <w:trPr>
          <w:cantSplit/>
        </w:trPr>
        <w:tc>
          <w:tcPr>
            <w:tcW w:type="dxa" w:w="10080"/>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10 - Risk Register" in the NIST CSF 2.0 Assessment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Give yourself – and future assessors – a living record of the organization's cybersecurity risk landscape, distinct from the point-in-time findings list.</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Updated at every assessment, and reviewed between assessments as new risks emerge.</w:t>
      </w:r>
    </w:p>
    <w:p>
      <w:pPr>
        <w:pStyle w:val="Heading3"/>
        <w:spacing w:after="120" w:before="240"/>
      </w:pPr>
      <w:r>
        <w:t xml:space="preserve">Steps</w:t>
      </w:r>
    </w:p>
    <w:p>
      <w:pPr>
        <w:pStyle w:val="ListParagraph"/>
        <w:numPr>
          <w:ilvl w:val="0"/>
          <w:numId w:val="11"/>
        </w:numPr>
        <w:spacing w:after="100"/>
      </w:pPr>
      <w:r>
        <w:rPr>
          <w:rFonts w:ascii="Calibri" w:cs="Calibri" w:eastAsia="Calibri" w:hAnsi="Calibri"/>
          <w:sz w:val="22"/>
          <w:szCs w:val="22"/>
        </w:rPr>
        <w:t xml:space="preserve">Log risks that are ongoing or accepted rather than fully remediated – not every finding belongs here, but every meaningful residual risk should.</w:t>
      </w:r>
    </w:p>
    <w:p>
      <w:pPr>
        <w:pStyle w:val="ListParagraph"/>
        <w:numPr>
          <w:ilvl w:val="0"/>
          <w:numId w:val="11"/>
        </w:numPr>
        <w:spacing w:after="100"/>
      </w:pPr>
      <w:r>
        <w:rPr>
          <w:rFonts w:ascii="Calibri" w:cs="Calibri" w:eastAsia="Calibri" w:hAnsi="Calibri"/>
          <w:sz w:val="22"/>
          <w:szCs w:val="22"/>
        </w:rPr>
        <w:t xml:space="preserve">Map each risk to the relevant CSF function/subcategory and a risk category, and rate Likelihood and Impact (1-5 each); the Risk Rating column calculates automatically.</w:t>
      </w:r>
    </w:p>
    <w:p>
      <w:pPr>
        <w:pStyle w:val="ListParagraph"/>
        <w:numPr>
          <w:ilvl w:val="0"/>
          <w:numId w:val="11"/>
        </w:numPr>
        <w:spacing w:after="100"/>
      </w:pPr>
      <w:r>
        <w:rPr>
          <w:rFonts w:ascii="Calibri" w:cs="Calibri" w:eastAsia="Calibri" w:hAnsi="Calibri"/>
          <w:sz w:val="22"/>
          <w:szCs w:val="22"/>
        </w:rPr>
        <w:t xml:space="preserve">Record existing controls and the resulting residual rating – this shows the effect of what's already in place, not just the raw risk.</w:t>
      </w:r>
    </w:p>
    <w:p>
      <w:pPr>
        <w:pStyle w:val="ListParagraph"/>
        <w:numPr>
          <w:ilvl w:val="0"/>
          <w:numId w:val="11"/>
        </w:numPr>
        <w:spacing w:after="100"/>
      </w:pPr>
      <w:r>
        <w:rPr>
          <w:rFonts w:ascii="Calibri" w:cs="Calibri" w:eastAsia="Calibri" w:hAnsi="Calibri"/>
          <w:sz w:val="22"/>
          <w:szCs w:val="22"/>
        </w:rPr>
        <w:t xml:space="preserve">Assign an owner and review date, and revisit the register at least as often as your reassessment cadence.</w:t>
      </w:r>
    </w:p>
    <w:p>
      <w:pPr>
        <w:pStyle w:val="ListParagraph"/>
        <w:numPr>
          <w:ilvl w:val="0"/>
          <w:numId w:val="11"/>
        </w:numPr>
        <w:spacing w:after="100"/>
      </w:pPr>
      <w:r>
        <w:rPr>
          <w:rFonts w:ascii="Calibri" w:cs="Calibri" w:eastAsia="Calibri" w:hAnsi="Calibri"/>
          <w:sz w:val="22"/>
          <w:szCs w:val="22"/>
        </w:rPr>
        <w:t xml:space="preserve">Use this register at the scoping stage of the next assessment (Template 1) to prioritize sampling toward the highest-residual-risk areas.</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Treating this as a duplicate of the Findings Tracker (Template 6) defeats its purpose – Template 6 is point-in-time findings from one assessment; this register is the ongoing risk picture across assessments.</w:t>
      </w:r>
    </w:p>
    <w:p>
      <w:pPr>
        <w:spacing w:after="200"/>
      </w:pPr>
    </w:p>
    <w:p>
      <w:pPr>
        <w:pStyle w:val="Heading2"/>
        <w:spacing w:after="150" w:before="300"/>
      </w:pPr>
      <w:r>
        <w:t xml:space="preserve">Walkthrough J: Writing the Assessment Report</w:t>
      </w:r>
    </w:p>
    <w:tbl>
      <w:tblPr>
        <w:tblW w:type="dxa" w:w="10080"/>
        <w:tblBorders>
          <w:top w:val="single" w:color="2E5395" w:sz="4"/>
          <w:left w:val="single" w:color="2E5395" w:sz="4"/>
          <w:bottom w:val="single" w:color="2E5395" w:sz="4"/>
          <w:right w:val="single" w:color="2E5395" w:sz="4"/>
          <w:insideH w:val="single" w:color="auto" w:sz="4"/>
          <w:insideV w:val="single" w:color="auto" w:sz="4"/>
        </w:tblBorders>
      </w:tblPr>
      <w:tblGrid>
        <w:gridCol w:w="10080"/>
      </w:tblGrid>
      <w:tr>
        <w:trPr>
          <w:cantSplit/>
        </w:trPr>
        <w:tc>
          <w:tcPr>
            <w:tcW w:type="dxa" w:w="10080"/>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8 - Report Summary" in the NIST CSF 2.0 Assessment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Produce a single, clear record of the assessment – a gap/maturity report, not a certification recommendation.</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Once the Current Profile, Target Profile, gap analysis and findings are complete.</w:t>
      </w:r>
    </w:p>
    <w:p>
      <w:pPr>
        <w:pStyle w:val="Heading3"/>
        <w:spacing w:after="120" w:before="240"/>
      </w:pPr>
      <w:r>
        <w:t xml:space="preserve">Steps</w:t>
      </w:r>
    </w:p>
    <w:p>
      <w:pPr>
        <w:pStyle w:val="ListParagraph"/>
        <w:numPr>
          <w:ilvl w:val="0"/>
          <w:numId w:val="12"/>
        </w:numPr>
        <w:spacing w:after="100"/>
      </w:pPr>
      <w:r>
        <w:rPr>
          <w:rFonts w:ascii="Calibri" w:cs="Calibri" w:eastAsia="Calibri" w:hAnsi="Calibri"/>
          <w:sz w:val="22"/>
          <w:szCs w:val="22"/>
        </w:rPr>
        <w:t xml:space="preserve">Complete the header fields in Template 8: organization, scope, assessment type, dates, and team.</w:t>
      </w:r>
    </w:p>
    <w:p>
      <w:pPr>
        <w:pStyle w:val="ListParagraph"/>
        <w:numPr>
          <w:ilvl w:val="0"/>
          <w:numId w:val="12"/>
        </w:numPr>
        <w:spacing w:after="100"/>
      </w:pPr>
      <w:r>
        <w:rPr>
          <w:rFonts w:ascii="Calibri" w:cs="Calibri" w:eastAsia="Calibri" w:hAnsi="Calibri"/>
          <w:sz w:val="22"/>
          <w:szCs w:val="22"/>
        </w:rPr>
        <w:t xml:space="preserve">State the overall Current Tier assessment and overall Target Tier plainly – and restate, in the executive summary, that these Tiers are the official NIST scale, while any subcategory-level numeric scores used elsewhere in the report are an assessor convention.</w:t>
      </w:r>
    </w:p>
    <w:p>
      <w:pPr>
        <w:pStyle w:val="ListParagraph"/>
        <w:numPr>
          <w:ilvl w:val="0"/>
          <w:numId w:val="12"/>
        </w:numPr>
        <w:spacing w:after="100"/>
      </w:pPr>
      <w:r>
        <w:rPr>
          <w:rFonts w:ascii="Calibri" w:cs="Calibri" w:eastAsia="Calibri" w:hAnsi="Calibri"/>
          <w:sz w:val="22"/>
          <w:szCs w:val="22"/>
        </w:rPr>
        <w:t xml:space="preserve">Write an executive summary in plain business language: what was assessed, the overall posture, and the handful of gaps that matter most.</w:t>
      </w:r>
    </w:p>
    <w:p>
      <w:pPr>
        <w:pStyle w:val="ListParagraph"/>
        <w:numPr>
          <w:ilvl w:val="0"/>
          <w:numId w:val="12"/>
        </w:numPr>
        <w:spacing w:after="100"/>
      </w:pPr>
      <w:r>
        <w:rPr>
          <w:rFonts w:ascii="Calibri" w:cs="Calibri" w:eastAsia="Calibri" w:hAnsi="Calibri"/>
          <w:sz w:val="22"/>
          <w:szCs w:val="22"/>
        </w:rPr>
        <w:t xml:space="preserve">List the top gaps (pulling from Template 4's prioritized list) and summarize the recommendation – phrased as suggested next steps and a proposed roadmap, never as a “certification recommendation,” since no certification exists to recommend.</w:t>
      </w:r>
    </w:p>
    <w:p>
      <w:pPr>
        <w:pStyle w:val="ListParagraph"/>
        <w:numPr>
          <w:ilvl w:val="0"/>
          <w:numId w:val="12"/>
        </w:numPr>
        <w:spacing w:after="100"/>
      </w:pPr>
      <w:r>
        <w:rPr>
          <w:rFonts w:ascii="Calibri" w:cs="Calibri" w:eastAsia="Calibri" w:hAnsi="Calibri"/>
          <w:sz w:val="22"/>
          <w:szCs w:val="22"/>
        </w:rPr>
        <w:t xml:space="preserve">Attach or reference the completed Templates 2–6 as supporting working papers.</w:t>
      </w:r>
    </w:p>
    <w:p>
      <w:pPr>
        <w:pStyle w:val="ListParagraph"/>
        <w:numPr>
          <w:ilvl w:val="0"/>
          <w:numId w:val="12"/>
        </w:numPr>
        <w:spacing w:after="100"/>
      </w:pPr>
      <w:r>
        <w:rPr>
          <w:rFonts w:ascii="Calibri" w:cs="Calibri" w:eastAsia="Calibri" w:hAnsi="Calibri"/>
          <w:sz w:val="22"/>
          <w:szCs w:val="22"/>
        </w:rPr>
        <w:t xml:space="preserve">Have the lead assessor sign and date the report; route it to whoever commissioned the assessment (executive sponsor, engagement manager, or the requesting customer/insurer).</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Writing an executive summary as a list of every finding, rather than a synthesized narrative, buries the handful of things leadership actually needs to act on.</w:t>
      </w:r>
    </w:p>
    <w:p>
      <w:pPr>
        <w:pStyle w:val="ListParagraph"/>
        <w:numPr>
          <w:ilvl w:val="0"/>
          <w:numId w:val="2"/>
        </w:numPr>
        <w:spacing w:after="100"/>
      </w:pPr>
      <w:r>
        <w:rPr>
          <w:rFonts w:ascii="Calibri" w:cs="Calibri" w:eastAsia="Calibri" w:hAnsi="Calibri"/>
          <w:sz w:val="22"/>
          <w:szCs w:val="22"/>
        </w:rPr>
        <w:t xml:space="preserve">Never describe the outcome as a “certification recommendation” or “pass/fail” – it invites exactly the confusion Section 2.6 warns about.</w:t>
      </w:r>
    </w:p>
    <w:p>
      <w:pPr>
        <w:spacing w:after="200"/>
      </w:pPr>
    </w:p>
    <w:p>
      <w:pPr>
        <w:pStyle w:val="Heading2"/>
        <w:spacing w:after="150" w:before="300"/>
      </w:pPr>
      <w:r>
        <w:t xml:space="preserve">Walkthrough K: Planning Your Reassessment Cadence</w:t>
      </w:r>
    </w:p>
    <w:tbl>
      <w:tblPr>
        <w:tblW w:type="dxa" w:w="10080"/>
        <w:tblBorders>
          <w:top w:val="single" w:color="2E5395" w:sz="4"/>
          <w:left w:val="single" w:color="2E5395" w:sz="4"/>
          <w:bottom w:val="single" w:color="2E5395" w:sz="4"/>
          <w:right w:val="single" w:color="2E5395" w:sz="4"/>
          <w:insideH w:val="single" w:color="auto" w:sz="4"/>
          <w:insideV w:val="single" w:color="auto" w:sz="4"/>
        </w:tblBorders>
      </w:tblPr>
      <w:tblGrid>
        <w:gridCol w:w="10080"/>
      </w:tblGrid>
      <w:tr>
        <w:trPr>
          <w:cantSplit/>
        </w:trPr>
        <w:tc>
          <w:tcPr>
            <w:tcW w:type="dxa" w:w="10080"/>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11 - Reassessment" in the NIST CSF 2.0 Assessment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Set a reassessment schedule that fits your organization's own risk profile – there is no external body to impose one.</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Immediately after the first assessment concludes, and reviewed after every subsequent cycle.</w:t>
      </w:r>
    </w:p>
    <w:p>
      <w:pPr>
        <w:pStyle w:val="Heading3"/>
        <w:spacing w:after="120" w:before="240"/>
      </w:pPr>
      <w:r>
        <w:t xml:space="preserve">Steps</w:t>
      </w:r>
    </w:p>
    <w:p>
      <w:pPr>
        <w:pStyle w:val="ListParagraph"/>
        <w:numPr>
          <w:ilvl w:val="0"/>
          <w:numId w:val="13"/>
        </w:numPr>
        <w:spacing w:after="100"/>
      </w:pPr>
      <w:r>
        <w:rPr>
          <w:rFonts w:ascii="Calibri" w:cs="Calibri" w:eastAsia="Calibri" w:hAnsi="Calibri"/>
          <w:sz w:val="22"/>
          <w:szCs w:val="22"/>
        </w:rPr>
        <w:t xml:space="preserve">Decide an overall cadence – annual full-scope reassessment is the most common default, though some organizations run lighter interim checks on high-priority functions more often.</w:t>
      </w:r>
    </w:p>
    <w:p>
      <w:pPr>
        <w:pStyle w:val="ListParagraph"/>
        <w:numPr>
          <w:ilvl w:val="0"/>
          <w:numId w:val="13"/>
        </w:numPr>
        <w:spacing w:after="100"/>
      </w:pPr>
      <w:r>
        <w:rPr>
          <w:rFonts w:ascii="Calibri" w:cs="Calibri" w:eastAsia="Calibri" w:hAnsi="Calibri"/>
          <w:sz w:val="22"/>
          <w:szCs w:val="22"/>
        </w:rPr>
        <w:t xml:space="preserve">List explicit trigger events that should prompt an earlier reassessment regardless of cadence: a major incident, new regulation, M&amp;A activity, a cyber-insurance renewal, or a significant infrastructure change.</w:t>
      </w:r>
    </w:p>
    <w:p>
      <w:pPr>
        <w:pStyle w:val="ListParagraph"/>
        <w:numPr>
          <w:ilvl w:val="0"/>
          <w:numId w:val="13"/>
        </w:numPr>
        <w:spacing w:after="100"/>
      </w:pPr>
      <w:r>
        <w:rPr>
          <w:rFonts w:ascii="Calibri" w:cs="Calibri" w:eastAsia="Calibri" w:hAnsi="Calibri"/>
          <w:sz w:val="22"/>
          <w:szCs w:val="22"/>
        </w:rPr>
        <w:t xml:space="preserve">Record a review frequency, last-reviewed date, and next-due date per Function (or Category, for higher-risk areas) in Template 11.</w:t>
      </w:r>
    </w:p>
    <w:p>
      <w:pPr>
        <w:pStyle w:val="ListParagraph"/>
        <w:numPr>
          <w:ilvl w:val="0"/>
          <w:numId w:val="13"/>
        </w:numPr>
        <w:spacing w:after="100"/>
      </w:pPr>
      <w:r>
        <w:rPr>
          <w:rFonts w:ascii="Calibri" w:cs="Calibri" w:eastAsia="Calibri" w:hAnsi="Calibri"/>
          <w:sz w:val="22"/>
          <w:szCs w:val="22"/>
        </w:rPr>
        <w:t xml:space="preserve">At each reassessment, compare the new Current Profile against the prior one to show trend, not just a fresh snapshot – this is often the most compelling part of a report for leadership.</w:t>
      </w:r>
    </w:p>
    <w:p>
      <w:pPr>
        <w:pStyle w:val="ListParagraph"/>
        <w:numPr>
          <w:ilvl w:val="0"/>
          <w:numId w:val="13"/>
        </w:numPr>
        <w:spacing w:after="100"/>
      </w:pPr>
      <w:r>
        <w:rPr>
          <w:rFonts w:ascii="Calibri" w:cs="Calibri" w:eastAsia="Calibri" w:hAnsi="Calibri"/>
          <w:sz w:val="22"/>
          <w:szCs w:val="22"/>
        </w:rPr>
        <w:t xml:space="preserve">Update the cadence itself if priorities shift – this is a living decision, not a one-time setting.</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Defaulting to a fixed 3-year cycle out of habit from ISO-style certification misses the point – CSF has no mandated cycle, and annual (or more frequent, for fast-changing environments) is usually more appropriate.</w:t>
      </w:r>
    </w:p>
    <w:p>
      <w:pPr>
        <w:pStyle w:val="ListParagraph"/>
        <w:numPr>
          <w:ilvl w:val="0"/>
          <w:numId w:val="2"/>
        </w:numPr>
        <w:spacing w:after="100"/>
      </w:pPr>
      <w:r>
        <w:rPr>
          <w:rFonts w:ascii="Calibri" w:cs="Calibri" w:eastAsia="Calibri" w:hAnsi="Calibri"/>
          <w:sz w:val="22"/>
          <w:szCs w:val="22"/>
        </w:rPr>
        <w:t xml:space="preserve">Setting a cadence but never actually tracking last-reviewed/next-due dates against it means the cadence exists on paper only – Template 11 exists specifically to make this trackable.</w:t>
      </w:r>
    </w:p>
    <w:p>
      <w:pPr>
        <w:spacing w:after="200"/>
      </w:pPr>
    </w:p>
    <w:p>
      <w:r>
        <w:br w:type="page"/>
      </w:r>
    </w:p>
    <w:p>
      <w:pPr>
        <w:pStyle w:val="Heading1"/>
        <w:spacing w:after="200" w:before="400"/>
      </w:pPr>
      <w:r>
        <w:t xml:space="preserve">Part Five – Reusing the Toolkit for Future Reassessments</w:t>
      </w:r>
    </w:p>
    <w:p>
      <w:pPr>
        <w:pStyle w:val="Heading2"/>
        <w:spacing w:after="150" w:before="300"/>
      </w:pPr>
      <w:r>
        <w:t xml:space="preserve">5.1 Treat the Toolkit as a Living System, Not a One-Off Form</w:t>
      </w:r>
    </w:p>
    <w:p>
      <w:pPr>
        <w:pStyle w:val="ListParagraph"/>
        <w:numPr>
          <w:ilvl w:val="0"/>
          <w:numId w:val="2"/>
        </w:numPr>
        <w:spacing w:after="100"/>
      </w:pPr>
      <w:r>
        <w:rPr>
          <w:rFonts w:ascii="Calibri" w:cs="Calibri" w:eastAsia="Calibri" w:hAnsi="Calibri"/>
          <w:sz w:val="22"/>
          <w:szCs w:val="22"/>
        </w:rPr>
        <w:t xml:space="preserve">Version-control the workbook (e.g., filename or tab date-stamped per assessment cycle) so you can compare Current Profiles year over year and show genuine trend.</w:t>
      </w:r>
    </w:p>
    <w:p>
      <w:pPr>
        <w:pStyle w:val="ListParagraph"/>
        <w:numPr>
          <w:ilvl w:val="0"/>
          <w:numId w:val="2"/>
        </w:numPr>
        <w:spacing w:after="100"/>
      </w:pPr>
      <w:r>
        <w:rPr>
          <w:rFonts w:ascii="Calibri" w:cs="Calibri" w:eastAsia="Calibri" w:hAnsi="Calibri"/>
          <w:sz w:val="22"/>
          <w:szCs w:val="22"/>
        </w:rPr>
        <w:t xml:space="preserve">Carry forward open items from Template 9 into the next assessment's Template 1 scope – never start a new assessment blind to unresolved history.</w:t>
      </w:r>
    </w:p>
    <w:p>
      <w:pPr>
        <w:pStyle w:val="ListParagraph"/>
        <w:numPr>
          <w:ilvl w:val="0"/>
          <w:numId w:val="2"/>
        </w:numPr>
        <w:spacing w:after="100"/>
      </w:pPr>
      <w:r>
        <w:rPr>
          <w:rFonts w:ascii="Calibri" w:cs="Calibri" w:eastAsia="Calibri" w:hAnsi="Calibri"/>
          <w:sz w:val="22"/>
          <w:szCs w:val="22"/>
        </w:rPr>
        <w:t xml:space="preserve">Recalibrate sample depth each cycle using Template 10's risk register – higher-residual-risk areas justify deeper sampling next time.</w:t>
      </w:r>
    </w:p>
    <w:p>
      <w:pPr>
        <w:pStyle w:val="ListParagraph"/>
        <w:numPr>
          <w:ilvl w:val="0"/>
          <w:numId w:val="2"/>
        </w:numPr>
        <w:spacing w:after="100"/>
      </w:pPr>
      <w:r>
        <w:rPr>
          <w:rFonts w:ascii="Calibri" w:cs="Calibri" w:eastAsia="Calibri" w:hAnsi="Calibri"/>
          <w:sz w:val="22"/>
          <w:szCs w:val="22"/>
        </w:rPr>
        <w:t xml:space="preserve">Revisit Template 3's Target Profile at least once a year – risk appetite, threats, and regulatory requirements all shift, and a stale target undermines the whole gap analysis.</w:t>
      </w:r>
    </w:p>
    <w:p>
      <w:pPr>
        <w:pStyle w:val="ListParagraph"/>
        <w:numPr>
          <w:ilvl w:val="0"/>
          <w:numId w:val="2"/>
        </w:numPr>
        <w:spacing w:after="100"/>
      </w:pPr>
      <w:r>
        <w:rPr>
          <w:rFonts w:ascii="Calibri" w:cs="Calibri" w:eastAsia="Calibri" w:hAnsi="Calibri"/>
          <w:sz w:val="22"/>
          <w:szCs w:val="22"/>
        </w:rPr>
        <w:t xml:space="preserve">If the organization ever needs a genuinely certifiable framework (ISO/IEC 27001, HITRUST, SOC 2) for a specific contractual or customer requirement, treat that as a separate, additional engagement. It is not a replacement for CSF assessment work, which remains valuable as an internal governance and risk-communication tool either way.</w:t>
      </w:r>
    </w:p>
    <w:p>
      <w:pPr>
        <w:pStyle w:val="Heading2"/>
        <w:spacing w:after="150" w:before="300"/>
      </w:pPr>
      <w:r>
        <w:t xml:space="preserve">5.2 Growing From Beginner to Confident Assessor</w:t>
      </w:r>
    </w:p>
    <w:p>
      <w:pPr>
        <w:pStyle w:val="ListParagraph"/>
        <w:numPr>
          <w:ilvl w:val="0"/>
          <w:numId w:val="2"/>
        </w:numPr>
        <w:spacing w:after="100"/>
      </w:pPr>
      <w:r>
        <w:rPr>
          <w:rFonts w:ascii="Calibri" w:cs="Calibri" w:eastAsia="Calibri" w:hAnsi="Calibri"/>
          <w:sz w:val="22"/>
          <w:szCs w:val="22"/>
        </w:rPr>
        <w:t xml:space="preserve">Shadow an experienced assessor on your first one or two engagements before leading one yourself.</w:t>
      </w:r>
    </w:p>
    <w:p>
      <w:pPr>
        <w:pStyle w:val="ListParagraph"/>
        <w:numPr>
          <w:ilvl w:val="0"/>
          <w:numId w:val="2"/>
        </w:numPr>
        <w:spacing w:after="100"/>
      </w:pPr>
      <w:r>
        <w:rPr>
          <w:rFonts w:ascii="Calibri" w:cs="Calibri" w:eastAsia="Calibri" w:hAnsi="Calibri"/>
          <w:sz w:val="22"/>
          <w:szCs w:val="22"/>
        </w:rPr>
        <w:t xml:space="preserve">After each assessment, do a short personal retrospective: which interview questions produced the most useful evidence? Which scores were hardest to justify, and why?</w:t>
      </w:r>
    </w:p>
    <w:p>
      <w:pPr>
        <w:pStyle w:val="ListParagraph"/>
        <w:numPr>
          <w:ilvl w:val="0"/>
          <w:numId w:val="2"/>
        </w:numPr>
        <w:spacing w:after="100"/>
      </w:pPr>
      <w:r>
        <w:rPr>
          <w:rFonts w:ascii="Calibri" w:cs="Calibri" w:eastAsia="Calibri" w:hAnsi="Calibri"/>
          <w:sz w:val="22"/>
          <w:szCs w:val="22"/>
        </w:rPr>
        <w:t xml:space="preserve">Keep building your own bank of strong finding statements and recommendation language – nothing improves report-writing faster than reviewing real examples.</w:t>
      </w:r>
    </w:p>
    <w:p>
      <w:pPr>
        <w:pStyle w:val="ListParagraph"/>
        <w:numPr>
          <w:ilvl w:val="0"/>
          <w:numId w:val="2"/>
        </w:numPr>
        <w:spacing w:after="100"/>
      </w:pPr>
      <w:r>
        <w:rPr>
          <w:rFonts w:ascii="Calibri" w:cs="Calibri" w:eastAsia="Calibri" w:hAnsi="Calibri"/>
          <w:sz w:val="22"/>
          <w:szCs w:val="22"/>
        </w:rPr>
        <w:t xml:space="preserve">Stay current: NIST periodically updates CSF reference materials and Informative References – revisit official NIST guidance (nist.gov/cyberframework) periodically, and re-verify subcategory wording against the primary source rather than your own notes from a prior cycle.</w:t>
      </w:r>
    </w:p>
    <w:p>
      <w:r>
        <w:br w:type="page"/>
      </w:r>
    </w:p>
    <w:p>
      <w:pPr>
        <w:pStyle w:val="Heading1"/>
        <w:spacing w:after="200" w:before="400"/>
      </w:pPr>
      <w:r>
        <w:t xml:space="preserve">Glossary</w:t>
      </w:r>
    </w:p>
    <w:p>
      <w:pPr>
        <w:spacing w:after="160" w:line="276"/>
      </w:pPr>
      <w:r>
        <w:rPr>
          <w:rFonts w:ascii="Calibri" w:cs="Calibri" w:eastAsia="Calibri" w:hAnsi="Calibri"/>
          <w:b/>
          <w:bCs/>
          <w:i w:val="false"/>
          <w:iCs w:val="false"/>
          <w:sz w:val="22"/>
          <w:szCs w:val="22"/>
        </w:rPr>
        <w:t xml:space="preserve">Function: </w:t>
      </w:r>
      <w:r>
        <w:rPr>
          <w:rFonts w:ascii="Calibri" w:cs="Calibri" w:eastAsia="Calibri" w:hAnsi="Calibri"/>
          <w:b w:val="false"/>
          <w:bCs w:val="false"/>
          <w:i w:val="false"/>
          <w:iCs w:val="false"/>
          <w:sz w:val="22"/>
          <w:szCs w:val="22"/>
        </w:rPr>
        <w:t xml:space="preserve">One of six top-level groupings of cybersecurity outcomes in the CSF Core: GOVERN, IDENTIFY, PROTECT, DETECT, RESPOND, RECOVER.</w:t>
      </w:r>
    </w:p>
    <w:p>
      <w:pPr>
        <w:spacing w:after="160" w:line="276"/>
      </w:pPr>
      <w:r>
        <w:rPr>
          <w:rFonts w:ascii="Calibri" w:cs="Calibri" w:eastAsia="Calibri" w:hAnsi="Calibri"/>
          <w:b/>
          <w:bCs/>
          <w:i w:val="false"/>
          <w:iCs w:val="false"/>
          <w:sz w:val="22"/>
          <w:szCs w:val="22"/>
        </w:rPr>
        <w:t xml:space="preserve">Category: </w:t>
      </w:r>
      <w:r>
        <w:rPr>
          <w:rFonts w:ascii="Calibri" w:cs="Calibri" w:eastAsia="Calibri" w:hAnsi="Calibri"/>
          <w:b w:val="false"/>
          <w:bCs w:val="false"/>
          <w:i w:val="false"/>
          <w:iCs w:val="false"/>
          <w:sz w:val="22"/>
          <w:szCs w:val="22"/>
        </w:rPr>
        <w:t xml:space="preserve">A subdivision of a Function into a related group of cybersecurity outcomes (e.g., GV.RM – Risk Management Strategy). CSF 2.0 has 22 categories.</w:t>
      </w:r>
    </w:p>
    <w:p>
      <w:pPr>
        <w:spacing w:after="160" w:line="276"/>
      </w:pPr>
      <w:r>
        <w:rPr>
          <w:rFonts w:ascii="Calibri" w:cs="Calibri" w:eastAsia="Calibri" w:hAnsi="Calibri"/>
          <w:b/>
          <w:bCs/>
          <w:i w:val="false"/>
          <w:iCs w:val="false"/>
          <w:sz w:val="22"/>
          <w:szCs w:val="22"/>
        </w:rPr>
        <w:t xml:space="preserve">Subcategory: </w:t>
      </w:r>
      <w:r>
        <w:rPr>
          <w:rFonts w:ascii="Calibri" w:cs="Calibri" w:eastAsia="Calibri" w:hAnsi="Calibri"/>
          <w:b w:val="false"/>
          <w:bCs w:val="false"/>
          <w:i w:val="false"/>
          <w:iCs w:val="false"/>
          <w:sz w:val="22"/>
          <w:szCs w:val="22"/>
        </w:rPr>
        <w:t xml:space="preserve">A specific, granular outcome statement within a Category (e.g., GV.RM-01). CSF 2.0 has 106 subcategories, with intentional numbering gaps preserved from the 1.1-to-2.0 transition.</w:t>
      </w:r>
    </w:p>
    <w:p>
      <w:pPr>
        <w:spacing w:after="160" w:line="276"/>
      </w:pPr>
      <w:r>
        <w:rPr>
          <w:rFonts w:ascii="Calibri" w:cs="Calibri" w:eastAsia="Calibri" w:hAnsi="Calibri"/>
          <w:b/>
          <w:bCs/>
          <w:i w:val="false"/>
          <w:iCs w:val="false"/>
          <w:sz w:val="22"/>
          <w:szCs w:val="22"/>
        </w:rPr>
        <w:t xml:space="preserve">Core: </w:t>
      </w:r>
      <w:r>
        <w:rPr>
          <w:rFonts w:ascii="Calibri" w:cs="Calibri" w:eastAsia="Calibri" w:hAnsi="Calibri"/>
          <w:b w:val="false"/>
          <w:bCs w:val="false"/>
          <w:i w:val="false"/>
          <w:iCs w:val="false"/>
          <w:sz w:val="22"/>
          <w:szCs w:val="22"/>
        </w:rPr>
        <w:t xml:space="preserve">The complete set of Functions, Categories and Subcategories – the framework's description of “what” cybersecurity outcomes an organization should consider.</w:t>
      </w:r>
    </w:p>
    <w:p>
      <w:pPr>
        <w:spacing w:after="160" w:line="276"/>
      </w:pPr>
      <w:r>
        <w:rPr>
          <w:rFonts w:ascii="Calibri" w:cs="Calibri" w:eastAsia="Calibri" w:hAnsi="Calibri"/>
          <w:b/>
          <w:bCs/>
          <w:i w:val="false"/>
          <w:iCs w:val="false"/>
          <w:sz w:val="22"/>
          <w:szCs w:val="22"/>
        </w:rPr>
        <w:t xml:space="preserve">Informative References: </w:t>
      </w:r>
      <w:r>
        <w:rPr>
          <w:rFonts w:ascii="Calibri" w:cs="Calibri" w:eastAsia="Calibri" w:hAnsi="Calibri"/>
          <w:b w:val="false"/>
          <w:bCs w:val="false"/>
          <w:i w:val="false"/>
          <w:iCs w:val="false"/>
          <w:sz w:val="22"/>
          <w:szCs w:val="22"/>
        </w:rPr>
        <w:t xml:space="preserve">Pointers from a CSF Subcategory to specific sections of other standards, guidelines or frameworks (e.g., NIST SP 800-53) that describe detailed methods for achieving that outcome.</w:t>
      </w:r>
    </w:p>
    <w:p>
      <w:pPr>
        <w:spacing w:after="160" w:line="276"/>
      </w:pPr>
      <w:r>
        <w:rPr>
          <w:rFonts w:ascii="Calibri" w:cs="Calibri" w:eastAsia="Calibri" w:hAnsi="Calibri"/>
          <w:b/>
          <w:bCs/>
          <w:i w:val="false"/>
          <w:iCs w:val="false"/>
          <w:sz w:val="22"/>
          <w:szCs w:val="22"/>
        </w:rPr>
        <w:t xml:space="preserve">Implementation Tier: </w:t>
      </w:r>
      <w:r>
        <w:rPr>
          <w:rFonts w:ascii="Calibri" w:cs="Calibri" w:eastAsia="Calibri" w:hAnsi="Calibri"/>
          <w:b w:val="false"/>
          <w:bCs w:val="false"/>
          <w:i w:val="false"/>
          <w:iCs w:val="false"/>
          <w:sz w:val="22"/>
          <w:szCs w:val="22"/>
        </w:rPr>
        <w:t xml:space="preserve">One of four official, qualitative levels – Partial, Risk Informed, Repeatable, Adaptive – describing the rigor and consistency of an organization's cybersecurity risk governance overall. Not a per-subcategory numeric score.</w:t>
      </w:r>
    </w:p>
    <w:p>
      <w:pPr>
        <w:spacing w:after="160" w:line="276"/>
      </w:pPr>
      <w:r>
        <w:rPr>
          <w:rFonts w:ascii="Calibri" w:cs="Calibri" w:eastAsia="Calibri" w:hAnsi="Calibri"/>
          <w:b/>
          <w:bCs/>
          <w:i w:val="false"/>
          <w:iCs w:val="false"/>
          <w:sz w:val="22"/>
          <w:szCs w:val="22"/>
        </w:rPr>
        <w:t xml:space="preserve">Organizational Profile: </w:t>
      </w:r>
      <w:r>
        <w:rPr>
          <w:rFonts w:ascii="Calibri" w:cs="Calibri" w:eastAsia="Calibri" w:hAnsi="Calibri"/>
          <w:b w:val="false"/>
          <w:bCs w:val="false"/>
          <w:i w:val="false"/>
          <w:iCs w:val="false"/>
          <w:sz w:val="22"/>
          <w:szCs w:val="22"/>
        </w:rPr>
        <w:t xml:space="preserve">A description of how an organization's cybersecurity activities align with the CSF Core outcomes, at a point in time (current) or as a goal (target).</w:t>
      </w:r>
    </w:p>
    <w:p>
      <w:pPr>
        <w:spacing w:after="160" w:line="276"/>
      </w:pPr>
      <w:r>
        <w:rPr>
          <w:rFonts w:ascii="Calibri" w:cs="Calibri" w:eastAsia="Calibri" w:hAnsi="Calibri"/>
          <w:b/>
          <w:bCs/>
          <w:i w:val="false"/>
          <w:iCs w:val="false"/>
          <w:sz w:val="22"/>
          <w:szCs w:val="22"/>
        </w:rPr>
        <w:t xml:space="preserve">Current Profile: </w:t>
      </w:r>
      <w:r>
        <w:rPr>
          <w:rFonts w:ascii="Calibri" w:cs="Calibri" w:eastAsia="Calibri" w:hAnsi="Calibri"/>
          <w:b w:val="false"/>
          <w:bCs w:val="false"/>
          <w:i w:val="false"/>
          <w:iCs w:val="false"/>
          <w:sz w:val="22"/>
          <w:szCs w:val="22"/>
        </w:rPr>
        <w:t xml:space="preserve">The cybersecurity outcomes an organization is presently achieving (or attempting to achieve), and how.</w:t>
      </w:r>
    </w:p>
    <w:p>
      <w:pPr>
        <w:spacing w:after="160" w:line="276"/>
      </w:pPr>
      <w:r>
        <w:rPr>
          <w:rFonts w:ascii="Calibri" w:cs="Calibri" w:eastAsia="Calibri" w:hAnsi="Calibri"/>
          <w:b/>
          <w:bCs/>
          <w:i w:val="false"/>
          <w:iCs w:val="false"/>
          <w:sz w:val="22"/>
          <w:szCs w:val="22"/>
        </w:rPr>
        <w:t xml:space="preserve">Target Profile: </w:t>
      </w:r>
      <w:r>
        <w:rPr>
          <w:rFonts w:ascii="Calibri" w:cs="Calibri" w:eastAsia="Calibri" w:hAnsi="Calibri"/>
          <w:b w:val="false"/>
          <w:bCs w:val="false"/>
          <w:i w:val="false"/>
          <w:iCs w:val="false"/>
          <w:sz w:val="22"/>
          <w:szCs w:val="22"/>
        </w:rPr>
        <w:t xml:space="preserve">The desired cybersecurity outcomes an organization has selected, informed by risk appetite, threat intelligence, and regulatory or business requirements.</w:t>
      </w:r>
    </w:p>
    <w:p>
      <w:pPr>
        <w:spacing w:after="160" w:line="276"/>
      </w:pPr>
      <w:r>
        <w:rPr>
          <w:rFonts w:ascii="Calibri" w:cs="Calibri" w:eastAsia="Calibri" w:hAnsi="Calibri"/>
          <w:b/>
          <w:bCs/>
          <w:i w:val="false"/>
          <w:iCs w:val="false"/>
          <w:sz w:val="22"/>
          <w:szCs w:val="22"/>
        </w:rPr>
        <w:t xml:space="preserve">Community Profile: </w:t>
      </w:r>
      <w:r>
        <w:rPr>
          <w:rFonts w:ascii="Calibri" w:cs="Calibri" w:eastAsia="Calibri" w:hAnsi="Calibri"/>
          <w:b w:val="false"/>
          <w:bCs w:val="false"/>
          <w:i w:val="false"/>
          <w:iCs w:val="false"/>
          <w:sz w:val="22"/>
          <w:szCs w:val="22"/>
        </w:rPr>
        <w:t xml:space="preserve">A baseline set of CSF outcomes developed for a sector, technology, or shared use case (e.g., manufacturing, small business) and published for others to use as a starting point – distinct from any single organization's own Current or Target Profile.</w:t>
      </w:r>
    </w:p>
    <w:p>
      <w:pPr>
        <w:spacing w:after="160" w:line="276"/>
      </w:pPr>
      <w:r>
        <w:rPr>
          <w:rFonts w:ascii="Calibri" w:cs="Calibri" w:eastAsia="Calibri" w:hAnsi="Calibri"/>
          <w:b/>
          <w:bCs/>
          <w:i w:val="false"/>
          <w:iCs w:val="false"/>
          <w:sz w:val="22"/>
          <w:szCs w:val="22"/>
        </w:rPr>
        <w:t xml:space="preserve">Gap Assessment: </w:t>
      </w:r>
      <w:r>
        <w:rPr>
          <w:rFonts w:ascii="Calibri" w:cs="Calibri" w:eastAsia="Calibri" w:hAnsi="Calibri"/>
          <w:b w:val="false"/>
          <w:bCs w:val="false"/>
          <w:i w:val="false"/>
          <w:iCs w:val="false"/>
          <w:sz w:val="22"/>
          <w:szCs w:val="22"/>
        </w:rPr>
        <w:t xml:space="preserve">An evaluation that compares a Current Profile to a Target Profile (or to the full Core) to identify where desired outcomes are not yet being met.</w:t>
      </w:r>
    </w:p>
    <w:p>
      <w:pPr>
        <w:spacing w:after="160" w:line="276"/>
      </w:pPr>
      <w:r>
        <w:rPr>
          <w:rFonts w:ascii="Calibri" w:cs="Calibri" w:eastAsia="Calibri" w:hAnsi="Calibri"/>
          <w:b/>
          <w:bCs/>
          <w:i w:val="false"/>
          <w:iCs w:val="false"/>
          <w:sz w:val="22"/>
          <w:szCs w:val="22"/>
        </w:rPr>
        <w:t xml:space="preserve">Maturity Assessment: </w:t>
      </w:r>
      <w:r>
        <w:rPr>
          <w:rFonts w:ascii="Calibri" w:cs="Calibri" w:eastAsia="Calibri" w:hAnsi="Calibri"/>
          <w:b w:val="false"/>
          <w:bCs w:val="false"/>
          <w:i w:val="false"/>
          <w:iCs w:val="false"/>
          <w:sz w:val="22"/>
          <w:szCs w:val="22"/>
        </w:rPr>
        <w:t xml:space="preserve">An assessment that also rates how robustly and consistently each outcome is achieved, typically using an assessor- or vendor-defined numeric scale (commonly 0-4 or 1-5) that is not itself part of the official NIST framework.</w:t>
      </w:r>
    </w:p>
    <w:p>
      <w:pPr>
        <w:spacing w:after="160" w:line="276"/>
      </w:pPr>
      <w:r>
        <w:rPr>
          <w:rFonts w:ascii="Calibri" w:cs="Calibri" w:eastAsia="Calibri" w:hAnsi="Calibri"/>
          <w:b/>
          <w:bCs/>
          <w:i w:val="false"/>
          <w:iCs w:val="false"/>
          <w:sz w:val="22"/>
          <w:szCs w:val="22"/>
        </w:rPr>
        <w:t xml:space="preserve">Evidence: </w:t>
      </w:r>
      <w:r>
        <w:rPr>
          <w:rFonts w:ascii="Calibri" w:cs="Calibri" w:eastAsia="Calibri" w:hAnsi="Calibri"/>
          <w:b w:val="false"/>
          <w:bCs w:val="false"/>
          <w:i w:val="false"/>
          <w:iCs w:val="false"/>
          <w:sz w:val="22"/>
          <w:szCs w:val="22"/>
        </w:rPr>
        <w:t xml:space="preserve">Verifiable information – documents, records, system configurations, log excerpts, or interview statements corroborated by other evidence – that supports a conclusion about whether an outcome is being achieved.</w:t>
      </w:r>
    </w:p>
    <w:p>
      <w:pPr>
        <w:spacing w:after="160" w:line="276"/>
      </w:pPr>
      <w:r>
        <w:rPr>
          <w:rFonts w:ascii="Calibri" w:cs="Calibri" w:eastAsia="Calibri" w:hAnsi="Calibri"/>
          <w:b/>
          <w:bCs/>
          <w:i w:val="false"/>
          <w:iCs w:val="false"/>
          <w:sz w:val="22"/>
          <w:szCs w:val="22"/>
        </w:rPr>
        <w:t xml:space="preserve">Finding: </w:t>
      </w:r>
      <w:r>
        <w:rPr>
          <w:rFonts w:ascii="Calibri" w:cs="Calibri" w:eastAsia="Calibri" w:hAnsi="Calibri"/>
          <w:b w:val="false"/>
          <w:bCs w:val="false"/>
          <w:i w:val="false"/>
          <w:iCs w:val="false"/>
          <w:sz w:val="22"/>
          <w:szCs w:val="22"/>
        </w:rPr>
        <w:t xml:space="preserve">A documented gap between current practice and the Target Profile (or leading practice), together with the evidence that supports it.</w:t>
      </w:r>
    </w:p>
    <w:p>
      <w:pPr>
        <w:spacing w:after="160" w:line="276"/>
      </w:pPr>
      <w:r>
        <w:rPr>
          <w:rFonts w:ascii="Calibri" w:cs="Calibri" w:eastAsia="Calibri" w:hAnsi="Calibri"/>
          <w:b/>
          <w:bCs/>
          <w:i w:val="false"/>
          <w:iCs w:val="false"/>
          <w:sz w:val="22"/>
          <w:szCs w:val="22"/>
        </w:rPr>
        <w:t xml:space="preserve">Control Owner: </w:t>
      </w:r>
      <w:r>
        <w:rPr>
          <w:rFonts w:ascii="Calibri" w:cs="Calibri" w:eastAsia="Calibri" w:hAnsi="Calibri"/>
          <w:b w:val="false"/>
          <w:bCs w:val="false"/>
          <w:i w:val="false"/>
          <w:iCs w:val="false"/>
          <w:sz w:val="22"/>
          <w:szCs w:val="22"/>
        </w:rPr>
        <w:t xml:space="preserve">The person or team responsible for a specific process or control being assessed (e.g., the IT manager responsible for hardware asset inventories).</w:t>
      </w:r>
    </w:p>
    <w:p>
      <w:pPr>
        <w:spacing w:after="160" w:line="276"/>
      </w:pPr>
      <w:r>
        <w:rPr>
          <w:rFonts w:ascii="Calibri" w:cs="Calibri" w:eastAsia="Calibri" w:hAnsi="Calibri"/>
          <w:b/>
          <w:bCs/>
          <w:i w:val="false"/>
          <w:iCs w:val="false"/>
          <w:sz w:val="22"/>
          <w:szCs w:val="22"/>
        </w:rPr>
        <w:t xml:space="preserve">Heat Map: </w:t>
      </w:r>
      <w:r>
        <w:rPr>
          <w:rFonts w:ascii="Calibri" w:cs="Calibri" w:eastAsia="Calibri" w:hAnsi="Calibri"/>
          <w:b w:val="false"/>
          <w:bCs w:val="false"/>
          <w:i w:val="false"/>
          <w:iCs w:val="false"/>
          <w:sz w:val="22"/>
          <w:szCs w:val="22"/>
        </w:rPr>
        <w:t xml:space="preserve">A visual, often color-coded summary showing gap size or risk level across Functions and Categories, used to prioritize remediation effort.</w:t>
      </w:r>
    </w:p>
    <w:p>
      <w:pPr>
        <w:spacing w:after="160" w:line="276"/>
      </w:pPr>
      <w:r>
        <w:rPr>
          <w:rFonts w:ascii="Calibri" w:cs="Calibri" w:eastAsia="Calibri" w:hAnsi="Calibri"/>
          <w:b/>
          <w:bCs/>
          <w:i w:val="false"/>
          <w:iCs w:val="false"/>
          <w:sz w:val="22"/>
          <w:szCs w:val="22"/>
        </w:rPr>
        <w:t xml:space="preserve">Remediation Roadmap: </w:t>
      </w:r>
      <w:r>
        <w:rPr>
          <w:rFonts w:ascii="Calibri" w:cs="Calibri" w:eastAsia="Calibri" w:hAnsi="Calibri"/>
          <w:b w:val="false"/>
          <w:bCs w:val="false"/>
          <w:i w:val="false"/>
          <w:iCs w:val="false"/>
          <w:sz w:val="22"/>
          <w:szCs w:val="22"/>
        </w:rPr>
        <w:t xml:space="preserve">A prioritized, owned, time-bound plan of actions to close the gaps identified during an assessment.</w:t>
      </w:r>
    </w:p>
    <w:p>
      <w:r>
        <w:br w:type="page"/>
      </w:r>
    </w:p>
    <w:p>
      <w:pPr>
        <w:pStyle w:val="Heading1"/>
        <w:spacing w:after="200" w:before="400"/>
      </w:pPr>
      <w:r>
        <w:t xml:space="preserve">Appendix A: Full Function / Category / Subcategory Quick Reference</w:t>
      </w:r>
    </w:p>
    <w:p>
      <w:pPr>
        <w:spacing w:after="160" w:line="276"/>
      </w:pPr>
      <w:r>
        <w:rPr>
          <w:rFonts w:ascii="Calibri" w:cs="Calibri" w:eastAsia="Calibri" w:hAnsi="Calibri"/>
          <w:sz w:val="22"/>
          <w:szCs w:val="22"/>
        </w:rPr>
        <w:t xml:space="preserve">Exact NIST wording and exact codes from CSWP 29, “The NIST Cybersecurity Framework 2.0,” Appendix A. Numbering gaps (e.g., no ID.AM-06) are intentional and preserved as published.</w:t>
      </w:r>
    </w:p>
    <w:p>
      <w:pPr>
        <w:pStyle w:val="Heading2"/>
        <w:spacing w:after="150" w:before="300"/>
      </w:pPr>
      <w:r>
        <w:t xml:space="preserve">GOVERN (GV)</w:t>
      </w:r>
    </w:p>
    <w:p>
      <w:pPr>
        <w:pStyle w:val="Heading3"/>
        <w:spacing w:after="120" w:before="240"/>
      </w:pPr>
      <w:r>
        <w:t xml:space="preserve">GV.OC – Organizational Context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Code</w:t>
            </w:r>
          </w:p>
        </w:tc>
        <w:tc>
          <w:tcPr>
            <w:tcW w:type="dxa" w:w="86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Subcategory (verbatim)</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GV.OC-01</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organizational mission is understood and informs cybersecurity risk management</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GV.OC-02</w:t>
            </w:r>
          </w:p>
        </w:tc>
        <w:tc>
          <w:tcPr>
            <w:tcW w:type="dxa" w:w="8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Internal and external stakeholders are understood, and their needs and expectations regarding cybersecurity risk management are understood and considered</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GV.OC-03</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Legal, regulatory, and contractual requirements regarding cybersecurity — including privacy and civil liberties obligations — are understood and managed</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GV.OC-04</w:t>
            </w:r>
          </w:p>
        </w:tc>
        <w:tc>
          <w:tcPr>
            <w:tcW w:type="dxa" w:w="8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Critical objectives, capabilities, and services that external stakeholders depend on or expect from the organization are understood and communicated</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GV.OC-05</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Outcomes, capabilities, and services that the organization depends on are understood and communicated</w:t>
            </w:r>
          </w:p>
        </w:tc>
      </w:tr>
    </w:tbl>
    <w:p>
      <w:pPr>
        <w:spacing w:after="160"/>
      </w:pPr>
    </w:p>
    <w:p>
      <w:pPr>
        <w:pStyle w:val="Heading3"/>
        <w:spacing w:after="120" w:before="240"/>
      </w:pPr>
      <w:r>
        <w:t xml:space="preserve">GV.RM – Risk Management Strategy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Code</w:t>
            </w:r>
          </w:p>
        </w:tc>
        <w:tc>
          <w:tcPr>
            <w:tcW w:type="dxa" w:w="86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Subcategory (verbatim)</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GV.RM-01</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Risk management objectives are established and agreed to by organizational stakeholders</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GV.RM-02</w:t>
            </w:r>
          </w:p>
        </w:tc>
        <w:tc>
          <w:tcPr>
            <w:tcW w:type="dxa" w:w="8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Risk appetite and risk tolerance statements are established, communicated, and maintained</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GV.RM-03</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Cybersecurity risk management activities and outcomes are included in enterprise risk management processes</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GV.RM-04</w:t>
            </w:r>
          </w:p>
        </w:tc>
        <w:tc>
          <w:tcPr>
            <w:tcW w:type="dxa" w:w="8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Strategic direction that describes appropriate risk response options is established and communicated</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GV.RM-05</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Lines of communication across the organization are established for cybersecurity risks, including risks from suppliers and other third parties</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GV.RM-06</w:t>
            </w:r>
          </w:p>
        </w:tc>
        <w:tc>
          <w:tcPr>
            <w:tcW w:type="dxa" w:w="8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 standardized method for calculating, documenting, categorizing, and prioritizing cybersecurity risks is established and communicated</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GV.RM-07</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Strategic opportunities (i.e., positive risks) are characterized and are included in organizational cybersecurity risk discussions</w:t>
            </w:r>
          </w:p>
        </w:tc>
      </w:tr>
    </w:tbl>
    <w:p>
      <w:pPr>
        <w:spacing w:after="160"/>
      </w:pPr>
    </w:p>
    <w:p>
      <w:pPr>
        <w:pStyle w:val="Heading3"/>
        <w:spacing w:after="120" w:before="240"/>
      </w:pPr>
      <w:r>
        <w:t xml:space="preserve">GV.RR – Roles, Responsibilities, and Authorities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Code</w:t>
            </w:r>
          </w:p>
        </w:tc>
        <w:tc>
          <w:tcPr>
            <w:tcW w:type="dxa" w:w="86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Subcategory (verbatim)</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GV.RR-01</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Organizational leadership is responsible and accountable for cybersecurity risk and fosters a culture that is risk-aware, ethical, and continually improving</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GV.RR-02</w:t>
            </w:r>
          </w:p>
        </w:tc>
        <w:tc>
          <w:tcPr>
            <w:tcW w:type="dxa" w:w="8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Roles, responsibilities, and authorities related to cybersecurity risk management are established, communicated, understood, and enforced</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GV.RR-03</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Adequate resources are allocated commensurate with the cybersecurity risk strategy, roles, responsibilities, and policies</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GV.RR-04</w:t>
            </w:r>
          </w:p>
        </w:tc>
        <w:tc>
          <w:tcPr>
            <w:tcW w:type="dxa" w:w="8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Cybersecurity is included in human resources practices</w:t>
            </w:r>
          </w:p>
        </w:tc>
      </w:tr>
    </w:tbl>
    <w:p>
      <w:pPr>
        <w:spacing w:after="160"/>
      </w:pPr>
    </w:p>
    <w:p>
      <w:pPr>
        <w:pStyle w:val="Heading3"/>
        <w:spacing w:after="120" w:before="240"/>
      </w:pPr>
      <w:r>
        <w:t xml:space="preserve">GV.PO – Policy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Code</w:t>
            </w:r>
          </w:p>
        </w:tc>
        <w:tc>
          <w:tcPr>
            <w:tcW w:type="dxa" w:w="86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Subcategory (verbatim)</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GV.PO-01</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Policy for managing cybersecurity risks is established based on organizational context, cybersecurity strategy, and priorities and is communicated and enforced</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GV.PO-02</w:t>
            </w:r>
          </w:p>
        </w:tc>
        <w:tc>
          <w:tcPr>
            <w:tcW w:type="dxa" w:w="8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Policy for managing cybersecurity risks is reviewed, updated, communicated, and enforced to reflect changes in requirements, threats, technology, and organizational mission</w:t>
            </w:r>
          </w:p>
        </w:tc>
      </w:tr>
    </w:tbl>
    <w:p>
      <w:pPr>
        <w:spacing w:after="160"/>
      </w:pPr>
    </w:p>
    <w:p>
      <w:pPr>
        <w:pStyle w:val="Heading3"/>
        <w:spacing w:after="120" w:before="240"/>
      </w:pPr>
      <w:r>
        <w:t xml:space="preserve">GV.OV – Oversight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Code</w:t>
            </w:r>
          </w:p>
        </w:tc>
        <w:tc>
          <w:tcPr>
            <w:tcW w:type="dxa" w:w="86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Subcategory (verbatim)</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GV.OV-01</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Cybersecurity risk management strategy outcomes are reviewed to inform and adjust strategy and direction</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GV.OV-02</w:t>
            </w:r>
          </w:p>
        </w:tc>
        <w:tc>
          <w:tcPr>
            <w:tcW w:type="dxa" w:w="8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cybersecurity risk management strategy is reviewed and adjusted to ensure coverage of organizational requirements and risks</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GV.OV-03</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Organizational cybersecurity risk management performance is evaluated and reviewed for adjustments needed</w:t>
            </w:r>
          </w:p>
        </w:tc>
      </w:tr>
    </w:tbl>
    <w:p>
      <w:pPr>
        <w:spacing w:after="160"/>
      </w:pPr>
    </w:p>
    <w:p>
      <w:pPr>
        <w:pStyle w:val="Heading3"/>
        <w:spacing w:after="120" w:before="240"/>
      </w:pPr>
      <w:r>
        <w:t xml:space="preserve">GV.SC – Cybersecurity Supply Chain Risk Management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Code</w:t>
            </w:r>
          </w:p>
        </w:tc>
        <w:tc>
          <w:tcPr>
            <w:tcW w:type="dxa" w:w="86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Subcategory (verbatim)</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GV.SC-01</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 cybersecurity supply chain risk management program, strategy, objectives, policies, and processes are established and agreed to by organizational stakeholders</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GV.SC-02</w:t>
            </w:r>
          </w:p>
        </w:tc>
        <w:tc>
          <w:tcPr>
            <w:tcW w:type="dxa" w:w="8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Cybersecurity roles and responsibilities for suppliers, customers, and partners are established, communicated, and coordinated internally and externally</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GV.SC-03</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Cybersecurity supply chain risk management is integrated into cybersecurity and enterprise risk management, risk assessment, and improvement processes</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GV.SC-04</w:t>
            </w:r>
          </w:p>
        </w:tc>
        <w:tc>
          <w:tcPr>
            <w:tcW w:type="dxa" w:w="8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Suppliers are known and prioritized by criticality</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GV.SC-05</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Requirements to address cybersecurity risks in supply chains are established, prioritized, and integrated into contracts and other types of agreements with suppliers and other relevant third parties</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GV.SC-06</w:t>
            </w:r>
          </w:p>
        </w:tc>
        <w:tc>
          <w:tcPr>
            <w:tcW w:type="dxa" w:w="8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Planning and due diligence are performed to reduce risks before entering into formal supplier or other third-party relationships</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GV.SC-07</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risks posed by a supplier, their products and services, and other third parties are understood, recorded, prioritized, assessed, responded to, and monitored over the course of the relationship</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GV.SC-08</w:t>
            </w:r>
          </w:p>
        </w:tc>
        <w:tc>
          <w:tcPr>
            <w:tcW w:type="dxa" w:w="8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Relevant suppliers and other third parties are included in incident planning, response, and recovery activities</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GV.SC-09</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Supply chain security practices are integrated into cybersecurity and enterprise risk management programs, and their performance is monitored throughout the technology product and service life cycle</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GV.SC-10</w:t>
            </w:r>
          </w:p>
        </w:tc>
        <w:tc>
          <w:tcPr>
            <w:tcW w:type="dxa" w:w="8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Cybersecurity supply chain risk management plans include provisions for activities that occur after the conclusion of a partnership or service agreement</w:t>
            </w:r>
          </w:p>
        </w:tc>
      </w:tr>
    </w:tbl>
    <w:p>
      <w:pPr>
        <w:spacing w:after="160"/>
      </w:pPr>
    </w:p>
    <w:p>
      <w:pPr>
        <w:pStyle w:val="Heading2"/>
        <w:spacing w:after="150" w:before="300"/>
      </w:pPr>
      <w:r>
        <w:t xml:space="preserve">IDENTIFY (ID)</w:t>
      </w:r>
    </w:p>
    <w:p>
      <w:pPr>
        <w:pStyle w:val="Heading3"/>
        <w:spacing w:after="120" w:before="240"/>
      </w:pPr>
      <w:r>
        <w:t xml:space="preserve">ID.AM – Asset Management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Code</w:t>
            </w:r>
          </w:p>
        </w:tc>
        <w:tc>
          <w:tcPr>
            <w:tcW w:type="dxa" w:w="86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Subcategory (verbatim)</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ID.AM-01</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Inventories of hardware managed by the organization are maintained</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ID.AM-02</w:t>
            </w:r>
          </w:p>
        </w:tc>
        <w:tc>
          <w:tcPr>
            <w:tcW w:type="dxa" w:w="8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Inventories of software, services, and systems managed by the organization are maintained</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ID.AM-03</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Representations of the organization's authorized network communication and internal and external network data flows are maintained</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ID.AM-04</w:t>
            </w:r>
          </w:p>
        </w:tc>
        <w:tc>
          <w:tcPr>
            <w:tcW w:type="dxa" w:w="8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Inventories of services provided by suppliers are maintained</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ID.AM-05</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Assets are prioritized based on classification, criticality, resources, and impact on the mission</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ID.AM-07</w:t>
            </w:r>
          </w:p>
        </w:tc>
        <w:tc>
          <w:tcPr>
            <w:tcW w:type="dxa" w:w="8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Inventories of data and corresponding metadata for designated data types are maintained</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ID.AM-08</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Systems, hardware, software, services, and data are managed throughout their life cycles</w:t>
            </w:r>
          </w:p>
        </w:tc>
      </w:tr>
    </w:tbl>
    <w:p>
      <w:pPr>
        <w:spacing w:after="160"/>
      </w:pPr>
    </w:p>
    <w:p>
      <w:pPr>
        <w:pStyle w:val="Heading3"/>
        <w:spacing w:after="120" w:before="240"/>
      </w:pPr>
      <w:r>
        <w:t xml:space="preserve">ID.RA – Risk Assessment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Code</w:t>
            </w:r>
          </w:p>
        </w:tc>
        <w:tc>
          <w:tcPr>
            <w:tcW w:type="dxa" w:w="86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Subcategory (verbatim)</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ID.RA-01</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Vulnerabilities in assets are identified, validated, and recorded</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ID.RA-02</w:t>
            </w:r>
          </w:p>
        </w:tc>
        <w:tc>
          <w:tcPr>
            <w:tcW w:type="dxa" w:w="8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Cyber threat intelligence is received from information sharing forums and sources</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ID.RA-03</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Internal and external threats to the organization are identified and recorded</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ID.RA-04</w:t>
            </w:r>
          </w:p>
        </w:tc>
        <w:tc>
          <w:tcPr>
            <w:tcW w:type="dxa" w:w="8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Potential impacts and likelihoods of threats exploiting vulnerabilities are identified and recorded</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ID.RA-05</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Threats, vulnerabilities, likelihoods, and impacts are used to understand inherent risk and inform risk response prioritization</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ID.RA-06</w:t>
            </w:r>
          </w:p>
        </w:tc>
        <w:tc>
          <w:tcPr>
            <w:tcW w:type="dxa" w:w="8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Risk responses are chosen, prioritized, planned, tracked, and communicated</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ID.RA-07</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Changes and exceptions are managed, assessed for risk impact, recorded, and tracked</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ID.RA-08</w:t>
            </w:r>
          </w:p>
        </w:tc>
        <w:tc>
          <w:tcPr>
            <w:tcW w:type="dxa" w:w="8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Processes for receiving, analyzing, and responding to vulnerability disclosures are established</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ID.RA-09</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authenticity and integrity of hardware and software are assessed prior to acquisition and use</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ID.RA-10</w:t>
            </w:r>
          </w:p>
        </w:tc>
        <w:tc>
          <w:tcPr>
            <w:tcW w:type="dxa" w:w="8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Critical suppliers are assessed prior to acquisition</w:t>
            </w:r>
          </w:p>
        </w:tc>
      </w:tr>
    </w:tbl>
    <w:p>
      <w:pPr>
        <w:spacing w:after="160"/>
      </w:pPr>
    </w:p>
    <w:p>
      <w:pPr>
        <w:pStyle w:val="Heading3"/>
        <w:spacing w:after="120" w:before="240"/>
      </w:pPr>
      <w:r>
        <w:t xml:space="preserve">ID.IM – Improvement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Code</w:t>
            </w:r>
          </w:p>
        </w:tc>
        <w:tc>
          <w:tcPr>
            <w:tcW w:type="dxa" w:w="86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Subcategory (verbatim)</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ID.IM-01</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Improvements are identified from evaluations</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ID.IM-02</w:t>
            </w:r>
          </w:p>
        </w:tc>
        <w:tc>
          <w:tcPr>
            <w:tcW w:type="dxa" w:w="8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Improvements are identified from security tests and exercises, including those done in coordination with suppliers and relevant third parties</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ID.IM-03</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Improvements are identified from execution of operational processes, procedures, and activities</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ID.IM-04</w:t>
            </w:r>
          </w:p>
        </w:tc>
        <w:tc>
          <w:tcPr>
            <w:tcW w:type="dxa" w:w="8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Incident response plans and other cybersecurity plans that affect operations are established, communicated, maintained, and improved</w:t>
            </w:r>
          </w:p>
        </w:tc>
      </w:tr>
    </w:tbl>
    <w:p>
      <w:pPr>
        <w:spacing w:after="160"/>
      </w:pPr>
    </w:p>
    <w:p>
      <w:pPr>
        <w:pStyle w:val="Heading2"/>
        <w:spacing w:after="150" w:before="300"/>
      </w:pPr>
      <w:r>
        <w:t xml:space="preserve">PROTECT (PR)</w:t>
      </w:r>
    </w:p>
    <w:p>
      <w:pPr>
        <w:pStyle w:val="Heading3"/>
        <w:spacing w:after="120" w:before="240"/>
      </w:pPr>
      <w:r>
        <w:t xml:space="preserve">PR.AA – Identity Management, Authentication, and Access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Code</w:t>
            </w:r>
          </w:p>
        </w:tc>
        <w:tc>
          <w:tcPr>
            <w:tcW w:type="dxa" w:w="86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Subcategory (verbatim)</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PR.AA-01</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Identities and credentials for authorized users, services, and hardware are managed by the organization</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PR.AA-02</w:t>
            </w:r>
          </w:p>
        </w:tc>
        <w:tc>
          <w:tcPr>
            <w:tcW w:type="dxa" w:w="8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Identities are proofed and bound to credentials based on the context of interactions</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PR.AA-03</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Users, services, and hardware are authenticated</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PR.AA-04</w:t>
            </w:r>
          </w:p>
        </w:tc>
        <w:tc>
          <w:tcPr>
            <w:tcW w:type="dxa" w:w="8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Identity assertions are protected, conveyed, and verified</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PR.AA-05</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Access permissions, entitlements, and authorizations are defined in a policy, managed, enforced, and reviewed, and incorporate the principles of least privilege and separation of duties</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PR.AA-06</w:t>
            </w:r>
          </w:p>
        </w:tc>
        <w:tc>
          <w:tcPr>
            <w:tcW w:type="dxa" w:w="8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Physical access to assets is managed, monitored, and enforced commensurate with risk</w:t>
            </w:r>
          </w:p>
        </w:tc>
      </w:tr>
    </w:tbl>
    <w:p>
      <w:pPr>
        <w:spacing w:after="160"/>
      </w:pPr>
    </w:p>
    <w:p>
      <w:pPr>
        <w:pStyle w:val="Heading3"/>
        <w:spacing w:after="120" w:before="240"/>
      </w:pPr>
      <w:r>
        <w:t xml:space="preserve">PR.AT – Awareness and Training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Code</w:t>
            </w:r>
          </w:p>
        </w:tc>
        <w:tc>
          <w:tcPr>
            <w:tcW w:type="dxa" w:w="86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Subcategory (verbatim)</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PR.AT-01</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Personnel are provided with awareness and training so that they possess the knowledge and skills to perform general tasks with cybersecurity risks in mind</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PR.AT-02</w:t>
            </w:r>
          </w:p>
        </w:tc>
        <w:tc>
          <w:tcPr>
            <w:tcW w:type="dxa" w:w="8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Individuals in specialized roles are provided with awareness and training so that they possess the knowledge and skills to perform relevant tasks with cybersecurity risks in mind</w:t>
            </w:r>
          </w:p>
        </w:tc>
      </w:tr>
    </w:tbl>
    <w:p>
      <w:pPr>
        <w:spacing w:after="160"/>
      </w:pPr>
    </w:p>
    <w:p>
      <w:pPr>
        <w:pStyle w:val="Heading3"/>
        <w:spacing w:after="120" w:before="240"/>
      </w:pPr>
      <w:r>
        <w:t xml:space="preserve">PR.DS – Data Security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Code</w:t>
            </w:r>
          </w:p>
        </w:tc>
        <w:tc>
          <w:tcPr>
            <w:tcW w:type="dxa" w:w="86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Subcategory (verbatim)</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PR.DS-01</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confidentiality, integrity, and availability of data-at-rest are protected</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PR.DS-02</w:t>
            </w:r>
          </w:p>
        </w:tc>
        <w:tc>
          <w:tcPr>
            <w:tcW w:type="dxa" w:w="8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confidentiality, integrity, and availability of data-in-transit are protected</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PR.DS-10</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confidentiality, integrity, and availability of data-in-use are protected</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PR.DS-11</w:t>
            </w:r>
          </w:p>
        </w:tc>
        <w:tc>
          <w:tcPr>
            <w:tcW w:type="dxa" w:w="8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Backups of data are created, protected, maintained, and tested</w:t>
            </w:r>
          </w:p>
        </w:tc>
      </w:tr>
    </w:tbl>
    <w:p>
      <w:pPr>
        <w:spacing w:after="160"/>
      </w:pPr>
    </w:p>
    <w:p>
      <w:pPr>
        <w:pStyle w:val="Heading3"/>
        <w:spacing w:after="120" w:before="240"/>
      </w:pPr>
      <w:r>
        <w:t xml:space="preserve">PR.PS – Platform Security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Code</w:t>
            </w:r>
          </w:p>
        </w:tc>
        <w:tc>
          <w:tcPr>
            <w:tcW w:type="dxa" w:w="86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Subcategory (verbatim)</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PR.PS-01</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Configuration management practices are established and applied</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PR.PS-02</w:t>
            </w:r>
          </w:p>
        </w:tc>
        <w:tc>
          <w:tcPr>
            <w:tcW w:type="dxa" w:w="8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Software is maintained, replaced, and removed commensurate with risk</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PR.PS-03</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Hardware is maintained, replaced, and removed commensurate with risk</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PR.PS-04</w:t>
            </w:r>
          </w:p>
        </w:tc>
        <w:tc>
          <w:tcPr>
            <w:tcW w:type="dxa" w:w="8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Log records are generated and made available for continuous monitoring</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PR.PS-05</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Installation and execution of unauthorized software are prevented</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PR.PS-06</w:t>
            </w:r>
          </w:p>
        </w:tc>
        <w:tc>
          <w:tcPr>
            <w:tcW w:type="dxa" w:w="8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Secure software development practices are integrated, and their performance is monitored throughout the software development life cycle</w:t>
            </w:r>
          </w:p>
        </w:tc>
      </w:tr>
    </w:tbl>
    <w:p>
      <w:pPr>
        <w:spacing w:after="160"/>
      </w:pPr>
    </w:p>
    <w:p>
      <w:pPr>
        <w:pStyle w:val="Heading3"/>
        <w:spacing w:after="120" w:before="240"/>
      </w:pPr>
      <w:r>
        <w:t xml:space="preserve">PR.IR – Technology Infrastructure Resilience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Code</w:t>
            </w:r>
          </w:p>
        </w:tc>
        <w:tc>
          <w:tcPr>
            <w:tcW w:type="dxa" w:w="86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Subcategory (verbatim)</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PR.IR-01</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Networks and environments are protected from unauthorized logical access and usage</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PR.IR-02</w:t>
            </w:r>
          </w:p>
        </w:tc>
        <w:tc>
          <w:tcPr>
            <w:tcW w:type="dxa" w:w="8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organization's technology assets are protected from environmental threats</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PR.IR-03</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Mechanisms are implemented to achieve resilience requirements in normal and adverse situations</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PR.IR-04</w:t>
            </w:r>
          </w:p>
        </w:tc>
        <w:tc>
          <w:tcPr>
            <w:tcW w:type="dxa" w:w="8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Adequate resource capacity to ensure availability is maintained</w:t>
            </w:r>
          </w:p>
        </w:tc>
      </w:tr>
    </w:tbl>
    <w:p>
      <w:pPr>
        <w:spacing w:after="160"/>
      </w:pPr>
    </w:p>
    <w:p>
      <w:pPr>
        <w:pStyle w:val="Heading2"/>
        <w:spacing w:after="150" w:before="300"/>
      </w:pPr>
      <w:r>
        <w:t xml:space="preserve">DETECT (DE)</w:t>
      </w:r>
    </w:p>
    <w:p>
      <w:pPr>
        <w:pStyle w:val="Heading3"/>
        <w:spacing w:after="120" w:before="240"/>
      </w:pPr>
      <w:r>
        <w:t xml:space="preserve">DE.CM – Continuous Monitoring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Code</w:t>
            </w:r>
          </w:p>
        </w:tc>
        <w:tc>
          <w:tcPr>
            <w:tcW w:type="dxa" w:w="86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Subcategory (verbatim)</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DE.CM-01</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Networks and network services are monitored to find potentially adverse events</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DE.CM-02</w:t>
            </w:r>
          </w:p>
        </w:tc>
        <w:tc>
          <w:tcPr>
            <w:tcW w:type="dxa" w:w="8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physical environment is monitored to find potentially adverse events</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DE.CM-03</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Personnel activity and technology usage are monitored to find potentially adverse events</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DE.CM-06</w:t>
            </w:r>
          </w:p>
        </w:tc>
        <w:tc>
          <w:tcPr>
            <w:tcW w:type="dxa" w:w="8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External service provider activities and services are monitored to find potentially adverse events</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DE.CM-09</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Computing hardware and software, runtime environments, and their data are monitored to find potentially adverse events</w:t>
            </w:r>
          </w:p>
        </w:tc>
      </w:tr>
    </w:tbl>
    <w:p>
      <w:pPr>
        <w:spacing w:after="160"/>
      </w:pPr>
    </w:p>
    <w:p>
      <w:pPr>
        <w:pStyle w:val="Heading3"/>
        <w:spacing w:after="120" w:before="240"/>
      </w:pPr>
      <w:r>
        <w:t xml:space="preserve">DE.AE – Adverse Event Analysis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Code</w:t>
            </w:r>
          </w:p>
        </w:tc>
        <w:tc>
          <w:tcPr>
            <w:tcW w:type="dxa" w:w="86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Subcategory (verbatim)</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DE.AE-02</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Potentially adverse events are analyzed to better understand associated activities</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DE.AE-03</w:t>
            </w:r>
          </w:p>
        </w:tc>
        <w:tc>
          <w:tcPr>
            <w:tcW w:type="dxa" w:w="8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Information is correlated from multiple sources</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DE.AE-04</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estimated impact and scope of adverse events are understood</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DE.AE-06</w:t>
            </w:r>
          </w:p>
        </w:tc>
        <w:tc>
          <w:tcPr>
            <w:tcW w:type="dxa" w:w="8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Information on adverse events is provided to authorized staff and tools</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DE.AE-07</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Cyber threat intelligence and other contextual information are integrated into the analysis</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DE.AE-08</w:t>
            </w:r>
          </w:p>
        </w:tc>
        <w:tc>
          <w:tcPr>
            <w:tcW w:type="dxa" w:w="8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Incidents are declared when adverse events meet the defined incident criteria</w:t>
            </w:r>
          </w:p>
        </w:tc>
      </w:tr>
    </w:tbl>
    <w:p>
      <w:pPr>
        <w:spacing w:after="160"/>
      </w:pPr>
    </w:p>
    <w:p>
      <w:pPr>
        <w:pStyle w:val="Heading2"/>
        <w:spacing w:after="150" w:before="300"/>
      </w:pPr>
      <w:r>
        <w:t xml:space="preserve">RESPOND (RS)</w:t>
      </w:r>
    </w:p>
    <w:p>
      <w:pPr>
        <w:pStyle w:val="Heading3"/>
        <w:spacing w:after="120" w:before="240"/>
      </w:pPr>
      <w:r>
        <w:t xml:space="preserve">RS.MA – Incident Management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Code</w:t>
            </w:r>
          </w:p>
        </w:tc>
        <w:tc>
          <w:tcPr>
            <w:tcW w:type="dxa" w:w="86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Subcategory (verbatim)</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RS.MA-01</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incident response plan is executed in coordination with relevant third parties once an incident is declared</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RS.MA-02</w:t>
            </w:r>
          </w:p>
        </w:tc>
        <w:tc>
          <w:tcPr>
            <w:tcW w:type="dxa" w:w="8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Incident reports are triaged and validated</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RS.MA-03</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Incidents are categorized and prioritized</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RS.MA-04</w:t>
            </w:r>
          </w:p>
        </w:tc>
        <w:tc>
          <w:tcPr>
            <w:tcW w:type="dxa" w:w="8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Incidents are escalated or elevated as needed</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RS.MA-05</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criteria for initiating incident recovery are applied</w:t>
            </w:r>
          </w:p>
        </w:tc>
      </w:tr>
    </w:tbl>
    <w:p>
      <w:pPr>
        <w:spacing w:after="160"/>
      </w:pPr>
    </w:p>
    <w:p>
      <w:pPr>
        <w:pStyle w:val="Heading3"/>
        <w:spacing w:after="120" w:before="240"/>
      </w:pPr>
      <w:r>
        <w:t xml:space="preserve">RS.AN – Incident Analysis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Code</w:t>
            </w:r>
          </w:p>
        </w:tc>
        <w:tc>
          <w:tcPr>
            <w:tcW w:type="dxa" w:w="86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Subcategory (verbatim)</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RS.AN-03</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Analysis is performed to establish what has taken place during an incident and the root cause of the incident</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RS.AN-06</w:t>
            </w:r>
          </w:p>
        </w:tc>
        <w:tc>
          <w:tcPr>
            <w:tcW w:type="dxa" w:w="8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Actions performed during an investigation are recorded, and the records' integrity and provenance are preserved</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RS.AN-07</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Incident data and metadata are collected, and their integrity and provenance are preserved</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RS.AN-08</w:t>
            </w:r>
          </w:p>
        </w:tc>
        <w:tc>
          <w:tcPr>
            <w:tcW w:type="dxa" w:w="8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An incident's magnitude is estimated and validated</w:t>
            </w:r>
          </w:p>
        </w:tc>
      </w:tr>
    </w:tbl>
    <w:p>
      <w:pPr>
        <w:spacing w:after="160"/>
      </w:pPr>
    </w:p>
    <w:p>
      <w:pPr>
        <w:pStyle w:val="Heading3"/>
        <w:spacing w:after="120" w:before="240"/>
      </w:pPr>
      <w:r>
        <w:t xml:space="preserve">RS.CO – Incident Response Reporting and Communication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Code</w:t>
            </w:r>
          </w:p>
        </w:tc>
        <w:tc>
          <w:tcPr>
            <w:tcW w:type="dxa" w:w="86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Subcategory (verbatim)</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RS.CO-02</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Internal and external stakeholders are notified of incidents</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RS.CO-03</w:t>
            </w:r>
          </w:p>
        </w:tc>
        <w:tc>
          <w:tcPr>
            <w:tcW w:type="dxa" w:w="8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Information is shared with designated internal and external stakeholders</w:t>
            </w:r>
          </w:p>
        </w:tc>
      </w:tr>
    </w:tbl>
    <w:p>
      <w:pPr>
        <w:spacing w:after="160"/>
      </w:pPr>
    </w:p>
    <w:p>
      <w:pPr>
        <w:pStyle w:val="Heading3"/>
        <w:spacing w:after="120" w:before="240"/>
      </w:pPr>
      <w:r>
        <w:t xml:space="preserve">RS.MI – Incident Mitigation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Code</w:t>
            </w:r>
          </w:p>
        </w:tc>
        <w:tc>
          <w:tcPr>
            <w:tcW w:type="dxa" w:w="86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Subcategory (verbatim)</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RS.MI-01</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Incidents are contained</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RS.MI-02</w:t>
            </w:r>
          </w:p>
        </w:tc>
        <w:tc>
          <w:tcPr>
            <w:tcW w:type="dxa" w:w="8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Incidents are eradicated</w:t>
            </w:r>
          </w:p>
        </w:tc>
      </w:tr>
    </w:tbl>
    <w:p>
      <w:pPr>
        <w:spacing w:after="160"/>
      </w:pPr>
    </w:p>
    <w:p>
      <w:pPr>
        <w:pStyle w:val="Heading2"/>
        <w:spacing w:after="150" w:before="300"/>
      </w:pPr>
      <w:r>
        <w:t xml:space="preserve">RECOVER (RC)</w:t>
      </w:r>
    </w:p>
    <w:p>
      <w:pPr>
        <w:pStyle w:val="Heading3"/>
        <w:spacing w:after="120" w:before="240"/>
      </w:pPr>
      <w:r>
        <w:t xml:space="preserve">RC.RP – Incident Recovery Plan Execution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Code</w:t>
            </w:r>
          </w:p>
        </w:tc>
        <w:tc>
          <w:tcPr>
            <w:tcW w:type="dxa" w:w="86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Subcategory (verbatim)</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RC.RP-01</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recovery portion of the incident response plan is executed once initiated from the incident response process</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RC.RP-02</w:t>
            </w:r>
          </w:p>
        </w:tc>
        <w:tc>
          <w:tcPr>
            <w:tcW w:type="dxa" w:w="8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Recovery actions are selected, scoped, prioritized, and performed</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RC.RP-03</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integrity of backups and other restoration assets is verified before using them for restoration</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RC.RP-04</w:t>
            </w:r>
          </w:p>
        </w:tc>
        <w:tc>
          <w:tcPr>
            <w:tcW w:type="dxa" w:w="8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Critical mission functions and cybersecurity risk management are considered to establish post-incident operational norms</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RC.RP-05</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integrity of restored assets is verified, systems and services are restored, and normal operating status is confirmed</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RC.RP-06</w:t>
            </w:r>
          </w:p>
        </w:tc>
        <w:tc>
          <w:tcPr>
            <w:tcW w:type="dxa" w:w="8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end of incident recovery is declared based on criteria, and incident-related documentation is completed</w:t>
            </w:r>
          </w:p>
        </w:tc>
      </w:tr>
    </w:tbl>
    <w:p>
      <w:pPr>
        <w:spacing w:after="160"/>
      </w:pPr>
    </w:p>
    <w:p>
      <w:pPr>
        <w:pStyle w:val="Heading3"/>
        <w:spacing w:after="120" w:before="240"/>
      </w:pPr>
      <w:r>
        <w:t xml:space="preserve">RC.CO – Incident Recovery Communication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Code</w:t>
            </w:r>
          </w:p>
        </w:tc>
        <w:tc>
          <w:tcPr>
            <w:tcW w:type="dxa" w:w="86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Subcategory (verbatim)</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RC.CO-03</w:t>
            </w:r>
          </w:p>
        </w:tc>
        <w:tc>
          <w:tcPr>
            <w:tcW w:type="dxa" w:w="8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Recovery activities and progress in restoring operational capabilities are communicated to designated internal and external stakeholders</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RC.CO-04</w:t>
            </w:r>
          </w:p>
        </w:tc>
        <w:tc>
          <w:tcPr>
            <w:tcW w:type="dxa" w:w="8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Public updates on incident recovery are shared using approved methods and messaging</w:t>
            </w:r>
          </w:p>
        </w:tc>
      </w:tr>
    </w:tbl>
    <w:p>
      <w:pPr>
        <w:spacing w:after="160"/>
      </w:pPr>
    </w:p>
    <w:p>
      <w:r>
        <w:br w:type="page"/>
      </w:r>
    </w:p>
    <w:p>
      <w:pPr>
        <w:pStyle w:val="Heading1"/>
        <w:spacing w:after="200" w:before="400"/>
      </w:pPr>
      <w:r>
        <w:t xml:space="preserve">Sources &amp; Further Reading</w:t>
      </w:r>
    </w:p>
    <w:p>
      <w:pPr>
        <w:spacing w:after="160" w:line="276"/>
      </w:pPr>
      <w:r>
        <w:rPr>
          <w:rFonts w:ascii="Calibri" w:cs="Calibri" w:eastAsia="Calibri" w:hAnsi="Calibri"/>
          <w:sz w:val="22"/>
          <w:szCs w:val="22"/>
        </w:rPr>
        <w:t xml:space="preserve">This handbook is built on the verified primary source below for all subcategory wording and framework facts, supplemented by secondary industry guidance on running CSF assessments in practice.</w:t>
      </w:r>
    </w:p>
    <w:p>
      <w:pPr>
        <w:pStyle w:val="ListParagraph"/>
        <w:numPr>
          <w:ilvl w:val="0"/>
          <w:numId w:val="2"/>
        </w:numPr>
        <w:spacing w:after="100"/>
      </w:pPr>
      <w:r>
        <w:rPr>
          <w:rFonts w:ascii="Calibri" w:cs="Calibri" w:eastAsia="Calibri" w:hAnsi="Calibri"/>
          <w:sz w:val="22"/>
          <w:szCs w:val="22"/>
        </w:rPr>
        <w:t xml:space="preserve">NIST CSWP 29, “The NIST Cybersecurity Framework (CSF) 2.0” (primary source for all Function/Category/Subcategory structure and exact subcategory wording) – csrc.nist.gov/pubs/cswp/29</w:t>
      </w:r>
    </w:p>
    <w:p>
      <w:pPr>
        <w:pStyle w:val="ListParagraph"/>
        <w:numPr>
          <w:ilvl w:val="0"/>
          <w:numId w:val="2"/>
        </w:numPr>
        <w:spacing w:after="100"/>
      </w:pPr>
      <w:r>
        <w:rPr>
          <w:rFonts w:ascii="Calibri" w:cs="Calibri" w:eastAsia="Calibri" w:hAnsi="Calibri"/>
          <w:sz w:val="22"/>
          <w:szCs w:val="22"/>
        </w:rPr>
        <w:t xml:space="preserve">NIST – “NIST Releases Version 2.0 of Landmark Cybersecurity Framework” (Feb. 26, 2024) – nist.gov/news-events/news/2024/02/nist-releases-version-20-landmark-cybersecurity-framework</w:t>
      </w:r>
    </w:p>
    <w:p>
      <w:pPr>
        <w:pStyle w:val="ListParagraph"/>
        <w:numPr>
          <w:ilvl w:val="0"/>
          <w:numId w:val="2"/>
        </w:numPr>
        <w:spacing w:after="100"/>
      </w:pPr>
      <w:r>
        <w:rPr>
          <w:rFonts w:ascii="Calibri" w:cs="Calibri" w:eastAsia="Calibri" w:hAnsi="Calibri"/>
          <w:sz w:val="22"/>
          <w:szCs w:val="22"/>
        </w:rPr>
        <w:t xml:space="preserve">NIST SP 1301, “NIST Cybersecurity Framework 2.0: Quick-Start Guide for Creating and Using Organizational Profiles” – csrc.nist.gov/pubs/sp/1301/final</w:t>
      </w:r>
    </w:p>
    <w:p>
      <w:pPr>
        <w:pStyle w:val="ListParagraph"/>
        <w:numPr>
          <w:ilvl w:val="0"/>
          <w:numId w:val="2"/>
        </w:numPr>
        <w:spacing w:after="100"/>
      </w:pPr>
      <w:r>
        <w:rPr>
          <w:rFonts w:ascii="Calibri" w:cs="Calibri" w:eastAsia="Calibri" w:hAnsi="Calibri"/>
          <w:sz w:val="22"/>
          <w:szCs w:val="22"/>
        </w:rPr>
        <w:t xml:space="preserve">NIST – “NIST CSF 2.0 Core Withdrawn CSF 1.1 Elements” – nist.gov/document/nist-csf-20-core-withdrawn-csf-11-elements</w:t>
      </w:r>
    </w:p>
    <w:p>
      <w:pPr>
        <w:pStyle w:val="ListParagraph"/>
        <w:numPr>
          <w:ilvl w:val="0"/>
          <w:numId w:val="2"/>
        </w:numPr>
        <w:spacing w:after="100"/>
      </w:pPr>
      <w:r>
        <w:rPr>
          <w:rFonts w:ascii="Calibri" w:cs="Calibri" w:eastAsia="Calibri" w:hAnsi="Calibri"/>
          <w:sz w:val="22"/>
          <w:szCs w:val="22"/>
        </w:rPr>
        <w:t xml:space="preserve">SaltyCloud – “NIST CSF 2.0 Controls: A Complete List” – saltycloud.com/blog/nist-csf-controls</w:t>
      </w:r>
    </w:p>
    <w:p>
      <w:pPr>
        <w:pStyle w:val="ListParagraph"/>
        <w:numPr>
          <w:ilvl w:val="0"/>
          <w:numId w:val="2"/>
        </w:numPr>
        <w:spacing w:after="100"/>
      </w:pPr>
      <w:r>
        <w:rPr>
          <w:rFonts w:ascii="Calibri" w:cs="Calibri" w:eastAsia="Calibri" w:hAnsi="Calibri"/>
          <w:sz w:val="22"/>
          <w:szCs w:val="22"/>
        </w:rPr>
        <w:t xml:space="preserve">SaltyCloud – “How to Conduct a NIST CSF Assessment” – saltycloud.com/blog/nist-csf-assessment</w:t>
      </w:r>
    </w:p>
    <w:p>
      <w:pPr>
        <w:pStyle w:val="ListParagraph"/>
        <w:numPr>
          <w:ilvl w:val="0"/>
          <w:numId w:val="2"/>
        </w:numPr>
        <w:spacing w:after="100"/>
      </w:pPr>
      <w:r>
        <w:rPr>
          <w:rFonts w:ascii="Calibri" w:cs="Calibri" w:eastAsia="Calibri" w:hAnsi="Calibri"/>
          <w:sz w:val="22"/>
          <w:szCs w:val="22"/>
        </w:rPr>
        <w:t xml:space="preserve">Drata – “Understanding the NIST CSF Maturity Model” – drata.com/learn/nist/nist-csf-maturity-model</w:t>
      </w:r>
    </w:p>
    <w:p>
      <w:pPr>
        <w:pStyle w:val="ListParagraph"/>
        <w:numPr>
          <w:ilvl w:val="0"/>
          <w:numId w:val="2"/>
        </w:numPr>
        <w:spacing w:after="100"/>
      </w:pPr>
      <w:r>
        <w:rPr>
          <w:rFonts w:ascii="Calibri" w:cs="Calibri" w:eastAsia="Calibri" w:hAnsi="Calibri"/>
          <w:sz w:val="22"/>
          <w:szCs w:val="22"/>
        </w:rPr>
        <w:t xml:space="preserve">ComplianceForge – “Is There Such a Thing as NIST CSF Certification?” – complianceforge.com/scf-certifications/nist-csf-certification</w:t>
      </w:r>
    </w:p>
    <w:p>
      <w:pPr>
        <w:pStyle w:val="ListParagraph"/>
        <w:numPr>
          <w:ilvl w:val="0"/>
          <w:numId w:val="2"/>
        </w:numPr>
        <w:spacing w:after="100"/>
      </w:pPr>
      <w:r>
        <w:rPr>
          <w:rFonts w:ascii="Calibri" w:cs="Calibri" w:eastAsia="Calibri" w:hAnsi="Calibri"/>
          <w:sz w:val="22"/>
          <w:szCs w:val="22"/>
        </w:rPr>
        <w:t xml:space="preserve">HITRUST Alliance – “HITRUST vs. NIST vs. ISO 27001” – hitrustalliance.net/blog/hitrust-vs-nist-vs-iso-27001</w:t>
      </w:r>
    </w:p>
    <w:p>
      <w:pPr>
        <w:spacing w:after="120"/>
      </w:pPr>
    </w:p>
    <w:p>
      <w:pPr>
        <w:spacing w:after="160" w:line="276"/>
      </w:pPr>
      <w:r>
        <w:rPr>
          <w:rFonts w:ascii="Calibri" w:cs="Calibri" w:eastAsia="Calibri" w:hAnsi="Calibri"/>
          <w:sz w:val="22"/>
          <w:szCs w:val="22"/>
        </w:rPr>
        <w:t xml:space="preserve">All 106 subcategory outcome statements reproduced in Appendix A were verified directly against NIST CSWP 29 (Appendix A of that document) at the time this handbook was written. Always re-verify against the current primary source before relying on this handbook for a live engagement, since NIST periodically issues updates and additional Informative References.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NIST CSF 2.0 Assessment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abstractNum w:abstractNumId="8" w15:restartNumberingAfterBreak="0">
    <w:multiLevelType w:val="hybridMultilevel"/>
    <w:lvl w:ilvl="0" w15:tentative="1">
      <w:start w:val="1"/>
      <w:numFmt w:val="decimal"/>
      <w:lvlText w:val="%1."/>
      <w:lvlJc w:val="left"/>
      <w:pPr>
        <w:ind w:left="460" w:hanging="260"/>
      </w:pPr>
    </w:lvl>
  </w:abstractNum>
  <w:abstractNum w:abstractNumId="9" w15:restartNumberingAfterBreak="0">
    <w:multiLevelType w:val="hybridMultilevel"/>
    <w:lvl w:ilvl="0" w15:tentative="1">
      <w:start w:val="1"/>
      <w:numFmt w:val="decimal"/>
      <w:lvlText w:val="%1."/>
      <w:lvlJc w:val="left"/>
      <w:pPr>
        <w:ind w:left="460" w:hanging="260"/>
      </w:pPr>
    </w:lvl>
  </w:abstractNum>
  <w:abstractNum w:abstractNumId="10" w15:restartNumberingAfterBreak="0">
    <w:multiLevelType w:val="hybridMultilevel"/>
    <w:lvl w:ilvl="0" w15:tentative="1">
      <w:start w:val="1"/>
      <w:numFmt w:val="decimal"/>
      <w:lvlText w:val="%1."/>
      <w:lvlJc w:val="left"/>
      <w:pPr>
        <w:ind w:left="460" w:hanging="260"/>
      </w:pPr>
    </w:lvl>
  </w:abstractNum>
  <w:abstractNum w:abstractNumId="11" w15:restartNumberingAfterBreak="0">
    <w:multiLevelType w:val="hybridMultilevel"/>
    <w:lvl w:ilvl="0" w15:tentative="1">
      <w:start w:val="1"/>
      <w:numFmt w:val="decimal"/>
      <w:lvlText w:val="%1."/>
      <w:lvlJc w:val="left"/>
      <w:pPr>
        <w:ind w:left="460" w:hanging="260"/>
      </w:pPr>
    </w:lvl>
  </w:abstractNum>
  <w:abstractNum w:abstractNumId="12" w15:restartNumberingAfterBreak="0">
    <w:multiLevelType w:val="hybridMultilevel"/>
    <w:lvl w:ilvl="0" w15:tentative="1">
      <w:start w:val="1"/>
      <w:numFmt w:val="decimal"/>
      <w:lvlText w:val="%1."/>
      <w:lvlJc w:val="left"/>
      <w:pPr>
        <w:ind w:left="460" w:hanging="260"/>
      </w:pPr>
    </w:lvl>
  </w:abstractNum>
  <w:abstractNum w:abstractNumId="13" w15:restartNumberingAfterBreak="0">
    <w:multiLevelType w:val="hybridMultilevel"/>
    <w:lvl w:ilvl="0" w15:tentative="1">
      <w:start w:val="1"/>
      <w:numFmt w:val="decimal"/>
      <w:lvlText w:val="%1."/>
      <w:lvlJc w:val="left"/>
      <w:pPr>
        <w:ind w:left="460" w:hanging="260"/>
      </w:pPr>
    </w:lvl>
  </w:abstractNum>
  <w:abstractNum w:abstractNumId="1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3864"/>
      <w:sz w:val="34"/>
      <w:szCs w:val="34"/>
    </w:rPr>
  </w:style>
  <w:style w:type="paragraph" w:styleId="Heading2">
    <w:name w:val="Heading 2"/>
    <w:basedOn w:val="Normal"/>
    <w:next w:val="Normal"/>
    <w:qFormat/>
    <w:pPr>
      <w:spacing w:after="150" w:before="300"/>
    </w:pPr>
    <w:rPr>
      <w:rFonts w:ascii="Calibri" w:cs="Calibri" w:eastAsia="Calibri" w:hAnsi="Calibri"/>
      <w:b/>
      <w:bCs/>
      <w:color w:val="2E5395"/>
      <w:sz w:val="27"/>
      <w:szCs w:val="27"/>
    </w:rPr>
  </w:style>
  <w:style w:type="paragraph" w:styleId="Heading3">
    <w:name w:val="Heading 3"/>
    <w:basedOn w:val="Normal"/>
    <w:next w:val="Normal"/>
    <w:qFormat/>
    <w:pPr>
      <w:spacing w:after="120" w:before="240"/>
    </w:pPr>
    <w:rPr>
      <w:rFonts w:ascii="Calibri" w:cs="Calibri" w:eastAsia="Calibri" w:hAnsi="Calibri"/>
      <w:b/>
      <w:bCs/>
      <w:color w:val="595959"/>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2026-08-13T15:28:13.950Z</dcterms:created>
  <dcterms:modified xsi:type="dcterms:W3CDTF">2026-08-13T15:28:13.951Z</dcterms:modified>
</cp:coreProperties>
</file>

<file path=docProps/custom.xml><?xml version="1.0" encoding="utf-8"?>
<Properties xmlns="http://schemas.openxmlformats.org/officeDocument/2006/custom-properties" xmlns:vt="http://schemas.openxmlformats.org/officeDocument/2006/docPropsVTypes"/>
</file>