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1F3864"/>
          <w:sz w:val="52"/>
          <w:szCs w:val="52"/>
        </w:rPr>
        <w:t xml:space="preserve">NIST RISK MANAGEMENT FRAMEWORK (RMF) HANDBOOK</w:t>
      </w:r>
    </w:p>
    <w:p>
      <w:pPr>
        <w:spacing w:after="300" w:before="300"/>
        <w:jc w:val="center"/>
      </w:pPr>
      <w:r>
        <w:rPr>
          <w:rFonts w:ascii="Calibri" w:cs="Calibri" w:eastAsia="Calibri" w:hAnsi="Calibri"/>
          <w:color w:val="2E5395"/>
          <w:sz w:val="30"/>
          <w:szCs w:val="30"/>
        </w:rPr>
        <w:t xml:space="preserve">A Beginner's Step-by-Step Guide to Authorizing an Information System</w:t>
      </w:r>
    </w:p>
    <w:p>
      <w:pPr>
        <w:spacing w:before="200"/>
        <w:jc w:val="center"/>
      </w:pPr>
      <w:r>
        <w:rPr>
          <w:rFonts w:ascii="Calibri" w:cs="Calibri" w:eastAsia="Calibri" w:hAnsi="Calibri"/>
          <w:i/>
          <w:iCs/>
          <w:color w:val="595959"/>
          <w:sz w:val="24"/>
          <w:szCs w:val="24"/>
        </w:rPr>
        <w:t xml:space="preserve">For new risk &amp; security-assessment professionals supporting an Authorization to Operate (ATO) under NIST SP 800-37 Rev 2</w:t>
      </w:r>
    </w:p>
    <w:p>
      <w:pPr>
        <w:spacing w:before="800"/>
        <w:jc w:val="center"/>
      </w:pPr>
      <w:r>
        <w:rPr>
          <w:rFonts w:ascii="Calibri" w:cs="Calibri" w:eastAsia="Calibri" w:hAnsi="Calibri"/>
          <w:color w:val="595959"/>
          <w:sz w:val="22"/>
          <w:szCs w:val="22"/>
        </w:rPr>
        <w:t xml:space="preserve">Companion to: NIST RMF Authorization Toolkit.xlsx</w:t>
      </w:r>
    </w:p>
    <w:p>
      <w:pPr>
        <w:spacing w:before="4000"/>
        <w:jc w:val="center"/>
      </w:pPr>
      <w:r>
        <w:rPr>
          <w:rFonts w:ascii="Calibri" w:cs="Calibri" w:eastAsia="Calibri" w:hAnsi="Calibri"/>
          <w:color w:val="595959"/>
          <w:sz w:val="20"/>
          <w:szCs w:val="20"/>
        </w:rPr>
        <w:t xml:space="preserve">Prepared August 2026</w:t>
      </w:r>
    </w:p>
    <w:p>
      <w:r>
        <w:br w:type="page"/>
      </w:r>
    </w:p>
    <w:p>
      <w:pPr>
        <w:pStyle w:val="Heading1"/>
        <w:spacing w:after="200" w:before="400"/>
      </w:pPr>
      <w:r>
        <w:t xml:space="preserve">Table of Contents</w:t>
      </w:r>
    </w:p>
    <w:p>
      <w:pPr>
        <w:spacing w:after="200"/>
      </w:pPr>
      <w:r>
        <w:rPr>
          <w:rFonts w:ascii="Calibri" w:cs="Calibri" w:eastAsia="Calibri" w:hAnsi="Calibri"/>
          <w:i/>
          <w:iCs/>
          <w:color w:val="595959"/>
          <w:sz w:val="20"/>
          <w:szCs w:val="20"/>
        </w:rPr>
        <w:t xml:space="preserve">(In Word, right-click below and choose "Update Field" — or press Ctrl+A then F9 — to populate this table of contents with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How to Use This Handbook</w:t>
      </w:r>
    </w:p>
    <w:p>
      <w:pPr>
        <w:spacing w:after="160" w:line="276"/>
      </w:pPr>
      <w:r>
        <w:rPr>
          <w:rFonts w:ascii="Calibri" w:cs="Calibri" w:eastAsia="Calibri" w:hAnsi="Calibri"/>
          <w:sz w:val="22"/>
          <w:szCs w:val="22"/>
        </w:rPr>
        <w:t xml:space="preserve">This handbook is written for someone who is new to both risk/security-assessment work and to the NIST Risk Management Framework (RMF). It assumes no prior background in federal authorization processes and builds up from first principles to a full, repeatable process for taking a system to an Authorization to Operate (ATO) and keeping it there.</w:t>
      </w:r>
    </w:p>
    <w:p>
      <w:pPr>
        <w:spacing w:after="160" w:line="276"/>
      </w:pPr>
      <w:r>
        <w:rPr>
          <w:rFonts w:ascii="Calibri" w:cs="Calibri" w:eastAsia="Calibri" w:hAnsi="Calibri"/>
          <w:sz w:val="22"/>
          <w:szCs w:val="22"/>
        </w:rPr>
        <w:t xml:space="preserve">It is organized in five parts:</w:t>
      </w:r>
    </w:p>
    <w:p>
      <w:pPr>
        <w:pStyle w:val="ListParagraph"/>
        <w:numPr>
          <w:ilvl w:val="0"/>
          <w:numId w:val="2"/>
        </w:numPr>
        <w:spacing w:after="100"/>
      </w:pPr>
      <w:r>
        <w:rPr>
          <w:rFonts w:ascii="Calibri" w:cs="Calibri" w:eastAsia="Calibri" w:hAnsi="Calibri"/>
          <w:sz w:val="22"/>
          <w:szCs w:val="22"/>
        </w:rPr>
        <w:t xml:space="preserve">Part One – RMF fundamentals: what RMF is (and is not), key terminology, the roles involved and their non-delegable responsibilities, and the assessment/authorization cycle at a glance.</w:t>
      </w:r>
    </w:p>
    <w:p>
      <w:pPr>
        <w:pStyle w:val="ListParagraph"/>
        <w:numPr>
          <w:ilvl w:val="0"/>
          <w:numId w:val="2"/>
        </w:numPr>
        <w:spacing w:after="100"/>
      </w:pPr>
      <w:r>
        <w:rPr>
          <w:rFonts w:ascii="Calibri" w:cs="Calibri" w:eastAsia="Calibri" w:hAnsi="Calibri"/>
          <w:sz w:val="22"/>
          <w:szCs w:val="22"/>
        </w:rPr>
        <w:t xml:space="preserve">Part Two – Understanding NIST RMF: the 7 steps explained in plain language, the 20 SP 800-53 control families, the SSP/SAP/SAR/POA&amp;M artifact chain, and FIPS 199 impact categorization.</w:t>
      </w:r>
    </w:p>
    <w:p>
      <w:pPr>
        <w:pStyle w:val="ListParagraph"/>
        <w:numPr>
          <w:ilvl w:val="0"/>
          <w:numId w:val="2"/>
        </w:numPr>
        <w:spacing w:after="100"/>
      </w:pPr>
      <w:r>
        <w:rPr>
          <w:rFonts w:ascii="Calibri" w:cs="Calibri" w:eastAsia="Calibri" w:hAnsi="Calibri"/>
          <w:sz w:val="22"/>
          <w:szCs w:val="22"/>
        </w:rPr>
        <w:t xml:space="preserve">Part Three – The authorization journey end to end, from Prepare through Monitor, including reciprocity, ongoing authorization, and the FedRAMP/3PAO distinction.</w:t>
      </w:r>
    </w:p>
    <w:p>
      <w:pPr>
        <w:pStyle w:val="ListParagraph"/>
        <w:numPr>
          <w:ilvl w:val="0"/>
          <w:numId w:val="2"/>
        </w:numPr>
        <w:spacing w:after="100"/>
      </w:pPr>
      <w:r>
        <w:rPr>
          <w:rFonts w:ascii="Calibri" w:cs="Calibri" w:eastAsia="Calibri" w:hAnsi="Calibri"/>
          <w:sz w:val="22"/>
          <w:szCs w:val="22"/>
        </w:rPr>
        <w:t xml:space="preserve">Part Four – Eleven step-by-step walkthroughs, each tied to a fillable template in the companion Excel workbook, “NIST RMF Authorization Toolkit.xlsx.”</w:t>
      </w:r>
    </w:p>
    <w:p>
      <w:pPr>
        <w:pStyle w:val="ListParagraph"/>
        <w:numPr>
          <w:ilvl w:val="0"/>
          <w:numId w:val="2"/>
        </w:numPr>
        <w:spacing w:after="100"/>
      </w:pPr>
      <w:r>
        <w:rPr>
          <w:rFonts w:ascii="Calibri" w:cs="Calibri" w:eastAsia="Calibri" w:hAnsi="Calibri"/>
          <w:sz w:val="22"/>
          <w:szCs w:val="22"/>
        </w:rPr>
        <w:t xml:space="preserve">Part Five – How to reuse the toolkit for continuous monitoring and future reauthorization cycles.</w:t>
      </w:r>
    </w:p>
    <w:p>
      <w:pPr>
        <w:spacing w:after="160" w:line="276"/>
      </w:pPr>
      <w:r>
        <w:rPr>
          <w:rFonts w:ascii="Calibri" w:cs="Calibri" w:eastAsia="Calibri" w:hAnsi="Calibri"/>
          <w:sz w:val="22"/>
          <w:szCs w:val="22"/>
        </w:rPr>
        <w:t xml:space="preserve">Throughout Part Four you will see boxes like the one below — they tell you exactly which tab of the companion workbook to have open.</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Example: "Open 'Template 2 - Categorization' in the NIST RMF Authorization Toolkit workbook."</w:t>
            </w:r>
          </w:p>
        </w:tc>
      </w:tr>
    </w:tbl>
    <w:p>
      <w:pPr>
        <w:spacing w:after="120"/>
      </w:pPr>
    </w:p>
    <w:p>
      <w:pPr>
        <w:spacing w:after="160" w:line="276"/>
      </w:pPr>
      <w:r>
        <w:rPr>
          <w:rFonts w:ascii="Calibri" w:cs="Calibri" w:eastAsia="Calibri" w:hAnsi="Calibri"/>
          <w:sz w:val="22"/>
          <w:szCs w:val="22"/>
        </w:rPr>
        <w:t xml:space="preserve">This handbook is written primarily around classic agency-internal RMF, since that develops the full skill set and is the foundation everything else builds on. Part Three includes a dedicated sidebar on how FedRAMP — a related but distinct cloud-authorization program built on the same RMF/SP 800-53 foundation — changes who performs the assessment.</w:t>
      </w:r>
    </w:p>
    <w:p>
      <w:pPr>
        <w:pStyle w:val="Heading1"/>
        <w:spacing w:after="200" w:before="400"/>
      </w:pPr>
      <w:r>
        <w:t xml:space="preserve">Part One – RMF Fundamentals</w:t>
      </w:r>
    </w:p>
    <w:p>
      <w:pPr>
        <w:pStyle w:val="Heading2"/>
        <w:spacing w:after="150" w:before="300"/>
      </w:pPr>
      <w:r>
        <w:t xml:space="preserve">1.1 What RMF Actually Is (and Is Not)</w:t>
      </w:r>
    </w:p>
    <w:p>
      <w:pPr>
        <w:spacing w:after="160" w:line="276"/>
      </w:pPr>
      <w:r>
        <w:rPr>
          <w:rFonts w:ascii="Calibri" w:cs="Calibri" w:eastAsia="Calibri" w:hAnsi="Calibri"/>
          <w:sz w:val="22"/>
          <w:szCs w:val="22"/>
        </w:rPr>
        <w:t xml:space="preserve">The NIST Risk Management Framework, defined in Special Publication 800-37 Revision 2 (published December 20, 2018, and the current, active version — it supersedes Revision 1), is the formal process the US federal government uses to decide whether an information system may operate, given its risk. The end product of RMF is not a certificate and not a badge of good practice — it is a signed decision, by a specific accountable individual, to accept a specific level of risk for a specific system, for a specific period of time.</w:t>
      </w:r>
    </w:p>
    <w:p>
      <w:pPr>
        <w:spacing w:after="160" w:line="276"/>
      </w:pPr>
      <w:r>
        <w:rPr>
          <w:rFonts w:ascii="Calibri" w:cs="Calibri" w:eastAsia="Calibri" w:hAnsi="Calibri"/>
          <w:sz w:val="22"/>
          <w:szCs w:val="22"/>
        </w:rPr>
        <w:t xml:space="preserve">Before going further, it's worth being explicit about what RMF is not, because the framing shapes everything else in this handbook:</w:t>
      </w:r>
    </w:p>
    <w:p>
      <w:pPr>
        <w:pStyle w:val="ListParagraph"/>
        <w:numPr>
          <w:ilvl w:val="0"/>
          <w:numId w:val="2"/>
        </w:numPr>
        <w:spacing w:after="100"/>
      </w:pPr>
      <w:r>
        <w:rPr>
          <w:rFonts w:ascii="Calibri" w:cs="Calibri" w:eastAsia="Calibri" w:hAnsi="Calibri"/>
          <w:sz w:val="22"/>
          <w:szCs w:val="22"/>
        </w:rPr>
        <w:t xml:space="preserve">It is not a voluntary self-assessment framework. Systems within its scope (federal information systems, and contractor systems processing federal data) are legally required to go through it — it is not something an organization opts into for a badge of assurance.</w:t>
      </w:r>
    </w:p>
    <w:p>
      <w:pPr>
        <w:pStyle w:val="ListParagraph"/>
        <w:numPr>
          <w:ilvl w:val="0"/>
          <w:numId w:val="2"/>
        </w:numPr>
        <w:spacing w:after="100"/>
      </w:pPr>
      <w:r>
        <w:rPr>
          <w:rFonts w:ascii="Calibri" w:cs="Calibri" w:eastAsia="Calibri" w:hAnsi="Calibri"/>
          <w:sz w:val="22"/>
          <w:szCs w:val="22"/>
        </w:rPr>
        <w:t xml:space="preserve">It is not an ISO-style certification standard. There is no accredited external certification body issuing a portable, renewable certificate. The decision is made internally, by the organization's own Authorizing Official, and it applies to one system operating in one organization's risk context — it is not transferable in the way an ISO certificate is (though see 3.3 on reciprocity, which softens this in a different way).</w:t>
      </w:r>
    </w:p>
    <w:p>
      <w:pPr>
        <w:pStyle w:val="ListParagraph"/>
        <w:numPr>
          <w:ilvl w:val="0"/>
          <w:numId w:val="2"/>
        </w:numPr>
        <w:spacing w:after="100"/>
      </w:pPr>
      <w:r>
        <w:rPr>
          <w:rFonts w:ascii="Calibri" w:cs="Calibri" w:eastAsia="Calibri" w:hAnsi="Calibri"/>
          <w:sz w:val="22"/>
          <w:szCs w:val="22"/>
        </w:rPr>
        <w:t xml:space="preserve">It is a risk-acceptance process, not a compliance checklist. Passing every control test is necessary but not sufficient — the AO is making a genuine risk judgment call, and can authorize a system with known weaknesses (via conditions and a POA&amp;M) or deny authorization even after a technically clean assessment, if the residual risk is unacceptable in context.</w:t>
      </w:r>
    </w:p>
    <w:p>
      <w:pPr>
        <w:spacing w:after="160" w:line="276"/>
      </w:pPr>
      <w:r>
        <w:rPr>
          <w:rFonts w:ascii="Calibri" w:cs="Calibri" w:eastAsia="Calibri" w:hAnsi="Calibri"/>
          <w:sz w:val="22"/>
          <w:szCs w:val="22"/>
        </w:rPr>
        <w:t xml:space="preserve">In short: RMF exists to produce an Authorization to Operate (ATO) — a documented, accountable, time-bound decision that a named senior official is willing to accept the risk of operating a specific system.</w:t>
      </w:r>
    </w:p>
    <w:p>
      <w:pPr>
        <w:pStyle w:val="Heading2"/>
        <w:spacing w:after="150" w:before="300"/>
      </w:pPr>
      <w:r>
        <w:t xml:space="preserve">1.2 Key Terms You Need Before You Start</w:t>
      </w:r>
    </w:p>
    <w:p>
      <w:pPr>
        <w:spacing w:after="160" w:line="276"/>
      </w:pPr>
      <w:r>
        <w:rPr>
          <w:rFonts w:ascii="Calibri" w:cs="Calibri" w:eastAsia="Calibri" w:hAnsi="Calibri"/>
          <w:b/>
          <w:bCs/>
          <w:i w:val="false"/>
          <w:iCs w:val="false"/>
          <w:sz w:val="22"/>
          <w:szCs w:val="22"/>
        </w:rPr>
        <w:t xml:space="preserve">Authorization to Operate (ATO): </w:t>
      </w:r>
      <w:r>
        <w:rPr>
          <w:rFonts w:ascii="Calibri" w:cs="Calibri" w:eastAsia="Calibri" w:hAnsi="Calibri"/>
          <w:b w:val="false"/>
          <w:bCs w:val="false"/>
          <w:i w:val="false"/>
          <w:iCs w:val="false"/>
          <w:sz w:val="22"/>
          <w:szCs w:val="22"/>
        </w:rPr>
        <w:t xml:space="preserve">The formal decision by an Authorizing Official that a system's risk is acceptable and it may operate (or continue operating).</w:t>
      </w:r>
    </w:p>
    <w:p>
      <w:pPr>
        <w:spacing w:after="160" w:line="276"/>
      </w:pPr>
      <w:r>
        <w:rPr>
          <w:rFonts w:ascii="Calibri" w:cs="Calibri" w:eastAsia="Calibri" w:hAnsi="Calibri"/>
          <w:b/>
          <w:bCs/>
          <w:i w:val="false"/>
          <w:iCs w:val="false"/>
          <w:sz w:val="22"/>
          <w:szCs w:val="22"/>
        </w:rPr>
        <w:t xml:space="preserve">Authorizing Official (AO): </w:t>
      </w:r>
      <w:r>
        <w:rPr>
          <w:rFonts w:ascii="Calibri" w:cs="Calibri" w:eastAsia="Calibri" w:hAnsi="Calibri"/>
          <w:b w:val="false"/>
          <w:bCs w:val="false"/>
          <w:i w:val="false"/>
          <w:iCs w:val="false"/>
          <w:sz w:val="22"/>
          <w:szCs w:val="22"/>
        </w:rPr>
        <w:t xml:space="preserve">The senior federal official empowered to accept, on behalf of the organization, the risk of operating an information system. The ATO decision cannot be delegated to anyone else.</w:t>
      </w:r>
    </w:p>
    <w:p>
      <w:pPr>
        <w:spacing w:after="160" w:line="276"/>
      </w:pPr>
      <w:r>
        <w:rPr>
          <w:rFonts w:ascii="Calibri" w:cs="Calibri" w:eastAsia="Calibri" w:hAnsi="Calibri"/>
          <w:b/>
          <w:bCs/>
          <w:i w:val="false"/>
          <w:iCs w:val="false"/>
          <w:sz w:val="22"/>
          <w:szCs w:val="22"/>
        </w:rPr>
        <w:t xml:space="preserve">ConMon (Continuous Monitoring): </w:t>
      </w:r>
      <w:r>
        <w:rPr>
          <w:rFonts w:ascii="Calibri" w:cs="Calibri" w:eastAsia="Calibri" w:hAnsi="Calibri"/>
          <w:b w:val="false"/>
          <w:bCs w:val="false"/>
          <w:i w:val="false"/>
          <w:iCs w:val="false"/>
          <w:sz w:val="22"/>
          <w:szCs w:val="22"/>
        </w:rPr>
        <w:t xml:space="preserve">The Monitor step's ongoing tracking of system and environment changes and reassessment of control effectiveness, governed by SP 800-137. Supports 'ongoing authorization' instead of a static, point-in-time reauthorization every few years.</w:t>
      </w:r>
    </w:p>
    <w:p>
      <w:pPr>
        <w:spacing w:after="160" w:line="276"/>
      </w:pPr>
      <w:r>
        <w:rPr>
          <w:rFonts w:ascii="Calibri" w:cs="Calibri" w:eastAsia="Calibri" w:hAnsi="Calibri"/>
          <w:b/>
          <w:bCs/>
          <w:i w:val="false"/>
          <w:iCs w:val="false"/>
          <w:sz w:val="22"/>
          <w:szCs w:val="22"/>
        </w:rPr>
        <w:t xml:space="preserve">Control baseline: </w:t>
      </w:r>
      <w:r>
        <w:rPr>
          <w:rFonts w:ascii="Calibri" w:cs="Calibri" w:eastAsia="Calibri" w:hAnsi="Calibri"/>
          <w:b w:val="false"/>
          <w:bCs w:val="false"/>
          <w:i w:val="false"/>
          <w:iCs w:val="false"/>
          <w:sz w:val="22"/>
          <w:szCs w:val="22"/>
        </w:rPr>
        <w:t xml:space="preserve">A pre-selected starting set of SP 800-53 controls for a given FIPS 199 impact level (Low, Moderate, or High), defined in SP 800-53B, that the system owner then tailors to the system's actual context.</w:t>
      </w:r>
    </w:p>
    <w:p>
      <w:pPr>
        <w:spacing w:after="160" w:line="276"/>
      </w:pPr>
      <w:r>
        <w:rPr>
          <w:rFonts w:ascii="Calibri" w:cs="Calibri" w:eastAsia="Calibri" w:hAnsi="Calibri"/>
          <w:b/>
          <w:bCs/>
          <w:i w:val="false"/>
          <w:iCs w:val="false"/>
          <w:sz w:val="22"/>
          <w:szCs w:val="22"/>
        </w:rPr>
        <w:t xml:space="preserve">Control enhancement: </w:t>
      </w:r>
      <w:r>
        <w:rPr>
          <w:rFonts w:ascii="Calibri" w:cs="Calibri" w:eastAsia="Calibri" w:hAnsi="Calibri"/>
          <w:b w:val="false"/>
          <w:bCs w:val="false"/>
          <w:i w:val="false"/>
          <w:iCs w:val="false"/>
          <w:sz w:val="22"/>
          <w:szCs w:val="22"/>
        </w:rPr>
        <w:t xml:space="preserve">An addition to a base control that increases its strength or adds a related capability (e.g. AC-2(1) adds automated account management to the base AC-2 control).</w:t>
      </w:r>
    </w:p>
    <w:p>
      <w:pPr>
        <w:spacing w:after="160" w:line="276"/>
      </w:pPr>
      <w:r>
        <w:rPr>
          <w:rFonts w:ascii="Calibri" w:cs="Calibri" w:eastAsia="Calibri" w:hAnsi="Calibri"/>
          <w:b/>
          <w:bCs/>
          <w:i w:val="false"/>
          <w:iCs w:val="false"/>
          <w:sz w:val="22"/>
          <w:szCs w:val="22"/>
        </w:rPr>
        <w:t xml:space="preserve">FIPS 199: </w:t>
      </w:r>
      <w:r>
        <w:rPr>
          <w:rFonts w:ascii="Calibri" w:cs="Calibri" w:eastAsia="Calibri" w:hAnsi="Calibri"/>
          <w:b w:val="false"/>
          <w:bCs w:val="false"/>
          <w:i w:val="false"/>
          <w:iCs w:val="false"/>
          <w:sz w:val="22"/>
          <w:szCs w:val="22"/>
        </w:rPr>
        <w:t xml:space="preserve">Federal Information Processing Standard 199, which defines the method for categorizing a system's impact level (Low/Moderate/High) based on the potential adverse effect of a loss of confidentiality, integrity or availability.</w:t>
      </w:r>
    </w:p>
    <w:p>
      <w:pPr>
        <w:spacing w:after="160" w:line="276"/>
      </w:pPr>
      <w:r>
        <w:rPr>
          <w:rFonts w:ascii="Calibri" w:cs="Calibri" w:eastAsia="Calibri" w:hAnsi="Calibri"/>
          <w:b/>
          <w:bCs/>
          <w:i w:val="false"/>
          <w:iCs w:val="false"/>
          <w:sz w:val="22"/>
          <w:szCs w:val="22"/>
        </w:rPr>
        <w:t xml:space="preserve">Ongoing authorization: </w:t>
      </w:r>
      <w:r>
        <w:rPr>
          <w:rFonts w:ascii="Calibri" w:cs="Calibri" w:eastAsia="Calibri" w:hAnsi="Calibri"/>
          <w:b w:val="false"/>
          <w:bCs w:val="false"/>
          <w:i w:val="false"/>
          <w:iCs w:val="false"/>
          <w:sz w:val="22"/>
          <w:szCs w:val="22"/>
        </w:rPr>
        <w:t xml:space="preserve">An authorization approach, enabled by robust ConMon, where the AO's risk decision is continuously informed by near-real-time monitoring data rather than only being revisited at fixed reauthorization dates.</w:t>
      </w:r>
    </w:p>
    <w:p>
      <w:pPr>
        <w:spacing w:after="160" w:line="276"/>
      </w:pPr>
      <w:r>
        <w:rPr>
          <w:rFonts w:ascii="Calibri" w:cs="Calibri" w:eastAsia="Calibri" w:hAnsi="Calibri"/>
          <w:b/>
          <w:bCs/>
          <w:i w:val="false"/>
          <w:iCs w:val="false"/>
          <w:sz w:val="22"/>
          <w:szCs w:val="22"/>
        </w:rPr>
        <w:t xml:space="preserve">Plan of Action and Milestones (POA&amp;M): </w:t>
      </w:r>
      <w:r>
        <w:rPr>
          <w:rFonts w:ascii="Calibri" w:cs="Calibri" w:eastAsia="Calibri" w:hAnsi="Calibri"/>
          <w:b w:val="false"/>
          <w:bCs w:val="false"/>
          <w:i w:val="false"/>
          <w:iCs w:val="false"/>
          <w:sz w:val="22"/>
          <w:szCs w:val="22"/>
        </w:rPr>
        <w:t xml:space="preserve">The document tracking every known weakness in a system's controls, its risk rating, the planned corrective action, resources, milestones and status, from identification through verified closure.</w:t>
      </w:r>
    </w:p>
    <w:p>
      <w:pPr>
        <w:spacing w:after="160" w:line="276"/>
      </w:pPr>
      <w:r>
        <w:rPr>
          <w:rFonts w:ascii="Calibri" w:cs="Calibri" w:eastAsia="Calibri" w:hAnsi="Calibri"/>
          <w:sz w:val="22"/>
          <w:szCs w:val="22"/>
        </w:rPr>
        <w:t xml:space="preserve">(The full glossary appears at the end of this handbook.)</w:t>
      </w:r>
    </w:p>
    <w:p>
      <w:pPr>
        <w:pStyle w:val="Heading2"/>
        <w:spacing w:after="150" w:before="300"/>
      </w:pPr>
      <w:r>
        <w:t xml:space="preserve">1.3 The Roles Involved and Their Responsibilities</w:t>
      </w:r>
    </w:p>
    <w:p>
      <w:pPr>
        <w:spacing w:after="160" w:line="276"/>
      </w:pPr>
      <w:r>
        <w:rPr>
          <w:rFonts w:ascii="Calibri" w:cs="Calibri" w:eastAsia="Calibri" w:hAnsi="Calibri"/>
          <w:sz w:val="22"/>
          <w:szCs w:val="22"/>
        </w:rPr>
        <w:t xml:space="preserve">RMF assigns specific, named responsibilities to specific roles — and one of them, the authorization decision itself, can never be delegated. Get comfortable with these roles now; every walkthrough in Part Four refers back to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40"/>
        <w:gridCol w:w="7040"/>
      </w:tblGrid>
      <w:tr>
        <w:trPr>
          <w:cantSplit/>
          <w:tblHeader/>
        </w:trPr>
        <w:tc>
          <w:tcPr>
            <w:tcW w:type="dxa" w:w="304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Role</w:t>
            </w:r>
          </w:p>
        </w:tc>
        <w:tc>
          <w:tcPr>
            <w:tcW w:type="dxa" w:w="704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Responsibility</w:t>
            </w:r>
          </w:p>
        </w:tc>
      </w:tr>
      <w:tr>
        <w:trPr>
          <w:cantSplit/>
        </w:trPr>
        <w:tc>
          <w:tcPr>
            <w:tcW w:type="dxa" w:w="304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Authorizing Official (AO)</w:t>
            </w:r>
          </w:p>
        </w:tc>
        <w:tc>
          <w:tcPr>
            <w:tcW w:type="dxa" w:w="704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senior official who makes the final, non-delegable risk-acceptance / ATO decision. No one else — including an AO Designated Representative — can render this decision on the AO's behalf.</w:t>
            </w:r>
          </w:p>
        </w:tc>
      </w:tr>
      <w:tr>
        <w:trPr>
          <w:cantSplit/>
        </w:trPr>
        <w:tc>
          <w:tcPr>
            <w:tcW w:type="dxa" w:w="304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AO Designated Representative (AODR)</w:t>
            </w:r>
          </w:p>
        </w:tc>
        <w:tc>
          <w:tcPr>
            <w:tcW w:type="dxa" w:w="704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Acts on the AO's behalf for most authorization tasks (coordinating the package, resolving logistics) but may never render the risk-acceptance decision itself — that authority cannot be delegated.</w:t>
            </w:r>
          </w:p>
        </w:tc>
      </w:tr>
      <w:tr>
        <w:trPr>
          <w:cantSplit/>
        </w:trPr>
        <w:tc>
          <w:tcPr>
            <w:tcW w:type="dxa" w:w="304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System Owner</w:t>
            </w:r>
          </w:p>
        </w:tc>
        <w:tc>
          <w:tcPr>
            <w:tcW w:type="dxa" w:w="704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Current RMF term (SP 800-37 Rev 2) for the individual responsible for the procurement, development, integration, operation, maintenance and eventual disposal of the system. 'Information System Owner' is the older FIPS 200/legacy phrasing for the same role.</w:t>
            </w:r>
          </w:p>
        </w:tc>
      </w:tr>
      <w:tr>
        <w:trPr>
          <w:cantSplit/>
        </w:trPr>
        <w:tc>
          <w:tcPr>
            <w:tcW w:type="dxa" w:w="304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Control Assessor (Security Control Assessor / SCA)</w:t>
            </w:r>
          </w:p>
        </w:tc>
        <w:tc>
          <w:tcPr>
            <w:tcW w:type="dxa" w:w="704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SP 800-37 Rev 2's current, broader term, covering both security and privacy control assessment. 'Security Control Assessor' (SCA) remains the far more common practitioner title and is used as the primary term throughout this handbook. Conducts the control assessment and must be organizationally independent of the system owner to preserve objectivity.</w:t>
            </w:r>
          </w:p>
        </w:tc>
      </w:tr>
      <w:tr>
        <w:trPr>
          <w:cantSplit/>
        </w:trPr>
        <w:tc>
          <w:tcPr>
            <w:tcW w:type="dxa" w:w="304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Information System Security Officer (ISSO)</w:t>
            </w:r>
          </w:p>
        </w:tc>
        <w:tc>
          <w:tcPr>
            <w:tcW w:type="dxa" w:w="704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ubiquitous practitioner title, especially in DoD/FISMA contexts. The current formal RMF-crosswalk name is 'System Security or Privacy Officer.' Supports the system owner day to day on security matters.</w:t>
            </w:r>
          </w:p>
        </w:tc>
      </w:tr>
      <w:tr>
        <w:trPr>
          <w:cantSplit/>
        </w:trPr>
        <w:tc>
          <w:tcPr>
            <w:tcW w:type="dxa" w:w="304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Common Control Provider</w:t>
            </w:r>
          </w:p>
        </w:tc>
        <w:tc>
          <w:tcPr>
            <w:tcW w:type="dxa" w:w="704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Develops, implements, assesses and monitors controls that are inherited by multiple systems (for example, physical security controls for a shared data center), so individual system owners don't have to re-implement and re-assess the same control.</w:t>
            </w:r>
          </w:p>
        </w:tc>
      </w:tr>
    </w:tbl>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Non-delegable:  </w:t>
            </w:r>
            <w:r>
              <w:rPr>
                <w:rFonts w:ascii="Calibri" w:cs="Calibri" w:eastAsia="Calibri" w:hAnsi="Calibri"/>
                <w:sz w:val="22"/>
                <w:szCs w:val="22"/>
              </w:rPr>
              <w:t xml:space="preserve">Only the Authorizing Official can render the risk-acceptance / ATO decision. An AO Designated Representative (AODR) may handle nearly every other duty on the AO's behalf, but never that one.</w:t>
            </w:r>
          </w:p>
        </w:tc>
      </w:tr>
    </w:tbl>
    <w:p>
      <w:pPr>
        <w:pStyle w:val="Heading2"/>
        <w:spacing w:after="150" w:before="300"/>
      </w:pPr>
      <w:r>
        <w:t xml:space="preserve">1.4 The Assessment/Authorization Cycle at a Glance</w:t>
      </w:r>
    </w:p>
    <w:p>
      <w:pPr>
        <w:spacing w:after="160" w:line="276"/>
      </w:pPr>
      <w:r>
        <w:rPr>
          <w:rFonts w:ascii="Calibri" w:cs="Calibri" w:eastAsia="Calibri" w:hAnsi="Calibri"/>
          <w:sz w:val="22"/>
          <w:szCs w:val="22"/>
        </w:rPr>
        <w:t xml:space="preserve">RMF runs as 7 sequential steps, though in practice an organization cycles through Monitor continuously rather than treating authorization as a one-time event. Part Two explains each step in depth; Part Four gives you a working template for most of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Step</w:t>
            </w:r>
          </w:p>
        </w:tc>
        <w:tc>
          <w:tcPr>
            <w:tcW w:type="dxa" w:w="78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What happens</w:t>
            </w:r>
          </w:p>
        </w:tc>
      </w:tr>
      <w:tr>
        <w:trPr>
          <w:cantSplit/>
        </w:trP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Prepare</w:t>
            </w:r>
          </w:p>
        </w:tc>
        <w:tc>
          <w:tcPr>
            <w:tcW w:type="dxa" w:w="78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Set up roles, risk strategy, and a ConMon approach before anything else starts (Template 1).</w:t>
            </w:r>
          </w:p>
        </w:tc>
      </w:tr>
      <w:tr>
        <w:trPr>
          <w:cantSplit/>
        </w:trP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Categorize</w:t>
            </w:r>
          </w:p>
        </w:tc>
        <w:tc>
          <w:tcPr>
            <w:tcW w:type="dxa" w:w="78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Determine the system's FIPS 199 impact level (Template 2).</w:t>
            </w:r>
          </w:p>
        </w:tc>
      </w:tr>
      <w:tr>
        <w:trPr>
          <w:cantSplit/>
        </w:trP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Select</w:t>
            </w:r>
          </w:p>
        </w:tc>
        <w:tc>
          <w:tcPr>
            <w:tcW w:type="dxa" w:w="78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Choose and tailor the control baseline (Template 3).</w:t>
            </w:r>
          </w:p>
        </w:tc>
      </w:tr>
      <w:tr>
        <w:trPr>
          <w:cantSplit/>
        </w:trP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 Implement</w:t>
            </w:r>
          </w:p>
        </w:tc>
        <w:tc>
          <w:tcPr>
            <w:tcW w:type="dxa" w:w="78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Actually deploy the selected controls (Template 4).</w:t>
            </w:r>
          </w:p>
        </w:tc>
      </w:tr>
      <w:tr>
        <w:trPr>
          <w:cantSplit/>
        </w:trP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 Assess</w:t>
            </w:r>
          </w:p>
        </w:tc>
        <w:tc>
          <w:tcPr>
            <w:tcW w:type="dxa" w:w="78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Independently test whether the controls work (Templates 5–7, 9).</w:t>
            </w:r>
          </w:p>
        </w:tc>
      </w:tr>
      <w:tr>
        <w:trPr>
          <w:cantSplit/>
        </w:trP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 Authorize</w:t>
            </w:r>
          </w:p>
        </w:tc>
        <w:tc>
          <w:tcPr>
            <w:tcW w:type="dxa" w:w="78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AO reviews the package and renders a risk-acceptance decision (Template 10).</w:t>
            </w:r>
          </w:p>
        </w:tc>
      </w:tr>
      <w:tr>
        <w:trPr>
          <w:cantSplit/>
        </w:trP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7. Monitor</w:t>
            </w:r>
          </w:p>
        </w:tc>
        <w:tc>
          <w:tcPr>
            <w:tcW w:type="dxa" w:w="78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Track the system's risk posture on an ongoing basis (Templates 8, 11).</w:t>
            </w:r>
          </w:p>
        </w:tc>
      </w:tr>
    </w:tbl>
    <w:p>
      <w:r>
        <w:br w:type="page"/>
      </w:r>
    </w:p>
    <w:p>
      <w:pPr>
        <w:pStyle w:val="Heading1"/>
        <w:spacing w:after="200" w:before="400"/>
      </w:pPr>
      <w:r>
        <w:t xml:space="preserve">Part Two – Understanding NIST RMF</w:t>
      </w:r>
    </w:p>
    <w:p>
      <w:pPr>
        <w:pStyle w:val="Heading2"/>
        <w:spacing w:after="150" w:before="300"/>
      </w:pPr>
      <w:r>
        <w:t xml:space="preserve">2.1 The 7 RMF Steps, Explained in Plain Language</w:t>
      </w:r>
    </w:p>
    <w:p>
      <w:pPr>
        <w:spacing w:after="160" w:line="276"/>
      </w:pPr>
      <w:r>
        <w:rPr>
          <w:rFonts w:ascii="Calibri" w:cs="Calibri" w:eastAsia="Calibri" w:hAnsi="Calibri"/>
          <w:sz w:val="22"/>
          <w:szCs w:val="22"/>
        </w:rPr>
        <w:t xml:space="preserve">This is the table you will use constantly — it is the backbone of the whole handbook and the whole workbook.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200"/>
        <w:gridCol w:w="1400"/>
      </w:tblGrid>
      <w:tr>
        <w:trPr>
          <w:cantSplit/>
          <w:tblHeader/>
        </w:trPr>
        <w:tc>
          <w:tcPr>
            <w:tcW w:type="dxa" w:w="1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Step</w:t>
            </w:r>
          </w:p>
        </w:tc>
        <w:tc>
          <w:tcPr>
            <w:tcW w:type="dxa" w:w="388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Key tasks</w:t>
            </w:r>
          </w:p>
        </w:tc>
        <w:tc>
          <w:tcPr>
            <w:tcW w:type="dxa" w:w="3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Key outputs</w:t>
            </w:r>
          </w:p>
        </w:tc>
        <w:tc>
          <w:tcPr>
            <w:tcW w:type="dxa" w:w="1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Supporting pubs</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 Prepare</w:t>
            </w:r>
          </w:p>
        </w:tc>
        <w:tc>
          <w:tcPr>
            <w:tcW w:type="dxa" w:w="38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Identify risk-management roles; establish organizational risk strategy/tolerance; conduct an organization-wide risk assessment; develop a continuous monitoring (ConMon) strategy; identify common controls available for inheritance.</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Roles defined, organizational risk strategy set, common-control inventory established.</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SP 800-30, SP 800-39</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 Categorize</w:t>
            </w:r>
          </w:p>
        </w:tc>
        <w:tc>
          <w:tcPr>
            <w:tcW w:type="dxa" w:w="38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Document system characteristics; determine the adverse-impact level for loss of Confidentiality, Integrity and Availability; the Authorizing Official reviews and approves the categorization.</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System categorized Low, Moderate or High per security objective (FIPS 199).</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FIPS 199, SP 800-60 Vol I/II</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 Select</w:t>
            </w:r>
          </w:p>
        </w:tc>
        <w:tc>
          <w:tcPr>
            <w:tcW w:type="dxa" w:w="38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Select a control baseline based on the system's categorization; tailor the controls to the system's context; designate each control as system-specific, hybrid, or common; allocate controls to system components; develop a system-level continuous monitoring strategy.</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System Security (and Privacy) Plan (SSP).</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SP 800-53 (control catalog), SP 800-53B (baselines)</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 Implement</w:t>
            </w:r>
          </w:p>
        </w:tc>
        <w:tc>
          <w:tcPr>
            <w:tcW w:type="dxa" w:w="38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Implement the controls described in the SSP.</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Controls deployed; SSP updated to reflect the as-implemented state.</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SP 800-53, implementation guides</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 Assess</w:t>
            </w:r>
          </w:p>
        </w:tc>
        <w:tc>
          <w:tcPr>
            <w:tcW w:type="dxa" w:w="38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Select an assessor or assessment team; develop and get approval for a Security Assessment Plan (SAP); execute the assessment; remediate deficiencies where feasible; update supporting documentation.</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Security Assessment Plan (SAP), Security Assessment Report (SAR), and an initial Plan of Action and Milestones (POA&amp;M).</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SP 800-53A (assessment procedures)</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 Authorize</w:t>
            </w:r>
          </w:p>
        </w:tc>
        <w:tc>
          <w:tcPr>
            <w:tcW w:type="dxa" w:w="388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The Authorizing Official reviews the full authorization package (executive summary, SSP, SAR, POA&amp;M); determines whether the risk is acceptable; issues a formal decision.</w:t>
            </w:r>
          </w:p>
        </w:tc>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Authorization decision document ('ATO letter') — status (Authorized to Operate / Authorized to Use / Denial), any terms or conditions, and an authorization termination date.</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SP 800-37 Rev 2</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7. Monitor</w:t>
            </w:r>
          </w:p>
        </w:tc>
        <w:tc>
          <w:tcPr>
            <w:tcW w:type="dxa" w:w="388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Monitor the system and its environment of operation per the ConMon strategy; continue to assess control effectiveness on an ongoing basis; report the security/privacy posture to management; support ongoing authorization.</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Updated risk posture, POA&amp;M updates, and — when needed — reauthorization.</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SP 800-137</w:t>
            </w:r>
          </w:p>
        </w:tc>
      </w:tr>
    </w:tbl>
    <w:p>
      <w:pPr>
        <w:pStyle w:val="Heading2"/>
        <w:spacing w:after="150" w:before="300"/>
      </w:pPr>
      <w:r>
        <w:t xml:space="preserve">2.2 SP 800-53's 20 Control Families</w:t>
      </w:r>
    </w:p>
    <w:p>
      <w:pPr>
        <w:spacing w:after="160" w:line="276"/>
      </w:pPr>
      <w:r>
        <w:rPr>
          <w:rFonts w:ascii="Calibri" w:cs="Calibri" w:eastAsia="Calibri" w:hAnsi="Calibri"/>
          <w:sz w:val="22"/>
          <w:szCs w:val="22"/>
        </w:rPr>
        <w:t xml:space="preserve">NIST SP 800-53 (currently Revision 5, with Revision 5.2.0 published August 2025 as the current release) is the control catalog RMF's Select step draws from. It contains over 1,000 controls and control enhancements across 20 families — sources vary on the exact total (figures range from roughly 1,077 base controls plus about 1,207 enhancements, to a stated total of 1,189, to baseline-specific combined counts of 149 for Low, 287 for Moderate, and 370 for High), so this handbook deliberately avoids quoting one precise number as fact. What matters operationally is the family structure below, since it organizes both the control catalog and Templates 3, 4, 6 and 11 in the companion workbook.</w:t>
      </w:r>
    </w:p>
    <w:p>
      <w:pPr>
        <w:spacing w:after="160" w:line="276"/>
      </w:pPr>
      <w:r>
        <w:rPr>
          <w:rFonts w:ascii="Calibri" w:cs="Calibri" w:eastAsia="Calibri" w:hAnsi="Calibri"/>
          <w:sz w:val="22"/>
          <w:szCs w:val="22"/>
        </w:rPr>
        <w:t xml:space="preserve">Note the CA family name in particular: SP 800-53 Revision 5 renamed it 'Assessment, Authorization, and Monitoring' — the older Revision 4 name, 'Security Assessment and Authorization,' still appears in a lot of legacy documentation but is out of date.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8200"/>
      </w:tblGrid>
      <w:tr>
        <w:trPr>
          <w:cantSplit/>
          <w:tblHeader/>
        </w:trPr>
        <w:tc>
          <w:tcPr>
            <w:tcW w:type="dxa" w:w="1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Family</w:t>
            </w:r>
          </w:p>
        </w:tc>
        <w:tc>
          <w:tcPr>
            <w:tcW w:type="dxa" w:w="8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Family Name</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AC</w:t>
            </w:r>
          </w:p>
        </w:tc>
        <w:tc>
          <w:tcPr>
            <w:tcW w:type="dxa" w:w="8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Access Control</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AT</w:t>
            </w:r>
          </w:p>
        </w:tc>
        <w:tc>
          <w:tcPr>
            <w:tcW w:type="dxa" w:w="8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Awareness and Training</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AU</w:t>
            </w:r>
          </w:p>
        </w:tc>
        <w:tc>
          <w:tcPr>
            <w:tcW w:type="dxa" w:w="8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Audit and Accountability</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CA</w:t>
            </w:r>
          </w:p>
        </w:tc>
        <w:tc>
          <w:tcPr>
            <w:tcW w:type="dxa" w:w="8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Assessment, Authorization, and Monitoring</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CM</w:t>
            </w:r>
          </w:p>
        </w:tc>
        <w:tc>
          <w:tcPr>
            <w:tcW w:type="dxa" w:w="8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Configuration Management</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CP</w:t>
            </w:r>
          </w:p>
        </w:tc>
        <w:tc>
          <w:tcPr>
            <w:tcW w:type="dxa" w:w="8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Contingency Planning</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IA</w:t>
            </w:r>
          </w:p>
        </w:tc>
        <w:tc>
          <w:tcPr>
            <w:tcW w:type="dxa" w:w="8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Identification and Authentication</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IR</w:t>
            </w:r>
          </w:p>
        </w:tc>
        <w:tc>
          <w:tcPr>
            <w:tcW w:type="dxa" w:w="8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Incident Response</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w:t>
            </w:r>
          </w:p>
        </w:tc>
        <w:tc>
          <w:tcPr>
            <w:tcW w:type="dxa" w:w="8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Maintenance</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MP</w:t>
            </w:r>
          </w:p>
        </w:tc>
        <w:tc>
          <w:tcPr>
            <w:tcW w:type="dxa" w:w="8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Media Protection</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PE</w:t>
            </w:r>
          </w:p>
        </w:tc>
        <w:tc>
          <w:tcPr>
            <w:tcW w:type="dxa" w:w="8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Physical and Environmental Protection</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PL</w:t>
            </w:r>
          </w:p>
        </w:tc>
        <w:tc>
          <w:tcPr>
            <w:tcW w:type="dxa" w:w="8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Planning</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PM</w:t>
            </w:r>
          </w:p>
        </w:tc>
        <w:tc>
          <w:tcPr>
            <w:tcW w:type="dxa" w:w="8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Program Management</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PS</w:t>
            </w:r>
          </w:p>
        </w:tc>
        <w:tc>
          <w:tcPr>
            <w:tcW w:type="dxa" w:w="8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Personnel Security</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PT</w:t>
            </w:r>
          </w:p>
        </w:tc>
        <w:tc>
          <w:tcPr>
            <w:tcW w:type="dxa" w:w="8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PII Processing and Transparency</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RA</w:t>
            </w:r>
          </w:p>
        </w:tc>
        <w:tc>
          <w:tcPr>
            <w:tcW w:type="dxa" w:w="8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Risk Assessment</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SA</w:t>
            </w:r>
          </w:p>
        </w:tc>
        <w:tc>
          <w:tcPr>
            <w:tcW w:type="dxa" w:w="8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System and Services Acquisition</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SC</w:t>
            </w:r>
          </w:p>
        </w:tc>
        <w:tc>
          <w:tcPr>
            <w:tcW w:type="dxa" w:w="8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System and Communications Protection</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SI</w:t>
            </w:r>
          </w:p>
        </w:tc>
        <w:tc>
          <w:tcPr>
            <w:tcW w:type="dxa" w:w="8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System and Information Integrity</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SR</w:t>
            </w:r>
          </w:p>
        </w:tc>
        <w:tc>
          <w:tcPr>
            <w:tcW w:type="dxa" w:w="8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Supply Chain Risk Management</w:t>
            </w:r>
          </w:p>
        </w:tc>
      </w:tr>
    </w:tbl>
    <w:p>
      <w:pPr>
        <w:pStyle w:val="Heading2"/>
        <w:spacing w:after="150" w:before="300"/>
      </w:pPr>
      <w:r>
        <w:t xml:space="preserve">2.3 The Artifact Chain: SSP → SAP → SAR → POA&amp;M</w:t>
      </w:r>
    </w:p>
    <w:p>
      <w:pPr>
        <w:spacing w:after="160" w:line="276"/>
      </w:pPr>
      <w:r>
        <w:rPr>
          <w:rFonts w:ascii="Calibri" w:cs="Calibri" w:eastAsia="Calibri" w:hAnsi="Calibri"/>
          <w:sz w:val="22"/>
          <w:szCs w:val="22"/>
        </w:rPr>
        <w:t xml:space="preserve">RMF produces a small set of interlocking documents, collectively called the authorization package once assembled for the AO. Understanding how they connect to each other — and to the 7 steps — is one of the fastest ways to get oriented as a beginner.</w:t>
      </w:r>
    </w:p>
    <w:p>
      <w:pPr>
        <w:spacing w:after="160" w:line="276"/>
      </w:pPr>
      <w:r>
        <w:rPr>
          <w:rFonts w:ascii="Calibri" w:cs="Calibri" w:eastAsia="Calibri" w:hAnsi="Calibri"/>
          <w:b/>
          <w:bCs/>
          <w:i w:val="false"/>
          <w:iCs w:val="false"/>
          <w:sz w:val="22"/>
          <w:szCs w:val="22"/>
        </w:rPr>
        <w:t xml:space="preserve">System Security Plan (SSP): </w:t>
      </w:r>
      <w:r>
        <w:rPr>
          <w:rFonts w:ascii="Calibri" w:cs="Calibri" w:eastAsia="Calibri" w:hAnsi="Calibri"/>
          <w:b w:val="false"/>
          <w:bCs w:val="false"/>
          <w:i w:val="false"/>
          <w:iCs w:val="false"/>
          <w:sz w:val="22"/>
          <w:szCs w:val="22"/>
        </w:rPr>
        <w:t xml:space="preserve">Describes the system, its categorization, and every control's implementation. Produced in Select, updated through Implement and beyond. May include a companion System Privacy Plan for privacy controls.</w:t>
      </w:r>
    </w:p>
    <w:p>
      <w:pPr>
        <w:spacing w:after="160" w:line="276"/>
      </w:pPr>
      <w:r>
        <w:rPr>
          <w:rFonts w:ascii="Calibri" w:cs="Calibri" w:eastAsia="Calibri" w:hAnsi="Calibri"/>
          <w:b/>
          <w:bCs/>
          <w:i w:val="false"/>
          <w:iCs w:val="false"/>
          <w:sz w:val="22"/>
          <w:szCs w:val="22"/>
        </w:rPr>
        <w:t xml:space="preserve">Security Assessment Plan (SAP): </w:t>
      </w:r>
      <w:r>
        <w:rPr>
          <w:rFonts w:ascii="Calibri" w:cs="Calibri" w:eastAsia="Calibri" w:hAnsi="Calibri"/>
          <w:b w:val="false"/>
          <w:bCs w:val="false"/>
          <w:i w:val="false"/>
          <w:iCs w:val="false"/>
          <w:sz w:val="22"/>
          <w:szCs w:val="22"/>
        </w:rPr>
        <w:t xml:space="preserve">Defines the scope, methods, schedule, rules of engagement and team for the control assessment. Produced at the start of the Assess step.</w:t>
      </w:r>
    </w:p>
    <w:p>
      <w:pPr>
        <w:spacing w:after="160" w:line="276"/>
      </w:pPr>
      <w:r>
        <w:rPr>
          <w:rFonts w:ascii="Calibri" w:cs="Calibri" w:eastAsia="Calibri" w:hAnsi="Calibri"/>
          <w:b/>
          <w:bCs/>
          <w:i w:val="false"/>
          <w:iCs w:val="false"/>
          <w:sz w:val="22"/>
          <w:szCs w:val="22"/>
        </w:rPr>
        <w:t xml:space="preserve">Security Assessment Report (SAR): </w:t>
      </w:r>
      <w:r>
        <w:rPr>
          <w:rFonts w:ascii="Calibri" w:cs="Calibri" w:eastAsia="Calibri" w:hAnsi="Calibri"/>
          <w:b w:val="false"/>
          <w:bCs w:val="false"/>
          <w:i w:val="false"/>
          <w:iCs w:val="false"/>
          <w:sz w:val="22"/>
          <w:szCs w:val="22"/>
        </w:rPr>
        <w:t xml:space="preserve">Documents the assessor's results for every control tested: satisfied or other-than-satisfied, with supporting evidence. Produced at the end of the Assess step.</w:t>
      </w:r>
    </w:p>
    <w:p>
      <w:pPr>
        <w:spacing w:after="160" w:line="276"/>
      </w:pPr>
      <w:r>
        <w:rPr>
          <w:rFonts w:ascii="Calibri" w:cs="Calibri" w:eastAsia="Calibri" w:hAnsi="Calibri"/>
          <w:b/>
          <w:bCs/>
          <w:i w:val="false"/>
          <w:iCs w:val="false"/>
          <w:sz w:val="22"/>
          <w:szCs w:val="22"/>
        </w:rPr>
        <w:t xml:space="preserve">Plan of Action and Milestones (POA&amp;M): </w:t>
      </w:r>
      <w:r>
        <w:rPr>
          <w:rFonts w:ascii="Calibri" w:cs="Calibri" w:eastAsia="Calibri" w:hAnsi="Calibri"/>
          <w:b w:val="false"/>
          <w:bCs w:val="false"/>
          <w:i w:val="false"/>
          <w:iCs w:val="false"/>
          <w:sz w:val="22"/>
          <w:szCs w:val="22"/>
        </w:rPr>
        <w:t xml:space="preserve">Tracks remediation of every weakness identified in the SAR (or found later during Monitor): description, risk rating, corrective action, resources, milestones, and status. First created during Assess, and kept alive and updated throughout Monitor.</w:t>
      </w:r>
    </w:p>
    <w:p>
      <w:pPr>
        <w:spacing w:after="160" w:line="276"/>
      </w:pPr>
      <w:r>
        <w:rPr>
          <w:rFonts w:ascii="Calibri" w:cs="Calibri" w:eastAsia="Calibri" w:hAnsi="Calibri"/>
          <w:b/>
          <w:bCs/>
          <w:i w:val="false"/>
          <w:iCs w:val="false"/>
          <w:sz w:val="22"/>
          <w:szCs w:val="22"/>
        </w:rPr>
        <w:t xml:space="preserve">Authorization decision document ('ATO letter'): </w:t>
      </w:r>
      <w:r>
        <w:rPr>
          <w:rFonts w:ascii="Calibri" w:cs="Calibri" w:eastAsia="Calibri" w:hAnsi="Calibri"/>
          <w:b w:val="false"/>
          <w:bCs w:val="false"/>
          <w:i w:val="false"/>
          <w:iCs w:val="false"/>
          <w:sz w:val="22"/>
          <w:szCs w:val="22"/>
        </w:rPr>
        <w:t xml:space="preserve">The Authorizing Official's formal, signed decision: authorized, authorized with conditions, or denied — plus terms/conditions and a termination date. Produced in Authorize.</w:t>
      </w:r>
    </w:p>
    <w:p>
      <w:pPr>
        <w:spacing w:after="160" w:line="276"/>
      </w:pPr>
      <w:r>
        <w:rPr>
          <w:rFonts w:ascii="Calibri" w:cs="Calibri" w:eastAsia="Calibri" w:hAnsi="Calibri"/>
          <w:b/>
          <w:bCs/>
          <w:i w:val="false"/>
          <w:iCs w:val="false"/>
          <w:sz w:val="22"/>
          <w:szCs w:val="22"/>
        </w:rPr>
        <w:t xml:space="preserve">Continuous Monitoring (ConMon) Plan: </w:t>
      </w:r>
      <w:r>
        <w:rPr>
          <w:rFonts w:ascii="Calibri" w:cs="Calibri" w:eastAsia="Calibri" w:hAnsi="Calibri"/>
          <w:b w:val="false"/>
          <w:bCs w:val="false"/>
          <w:i w:val="false"/>
          <w:iCs w:val="false"/>
          <w:sz w:val="22"/>
          <w:szCs w:val="22"/>
        </w:rPr>
        <w:t xml:space="preserve">Describes the ongoing monitoring cadence and methods for the system's controls, governed by SP 800-137. Drafted in Prepare/Select, executed throughout Monitor.</w:t>
      </w:r>
    </w:p>
    <w:p>
      <w:pPr>
        <w:spacing w:after="160" w:line="276"/>
      </w:pPr>
      <w:r>
        <w:rPr>
          <w:rFonts w:ascii="Calibri" w:cs="Calibri" w:eastAsia="Calibri" w:hAnsi="Calibri"/>
          <w:sz w:val="22"/>
          <w:szCs w:val="22"/>
        </w:rPr>
        <w:t xml:space="preserve">Notice that the POA&amp;M is unusual among these artifacts: it is not a one-time deliverable. It is created during Assess to track whatever the SAR found, but it stays alive and gets updated for as long as the system operates, because Monitor keeps finding new things to track.</w:t>
      </w:r>
    </w:p>
    <w:p>
      <w:pPr>
        <w:pStyle w:val="Heading2"/>
        <w:spacing w:after="150" w:before="300"/>
      </w:pPr>
      <w:r>
        <w:t xml:space="preserve">2.4 FIPS 199 Impact Categorization, Explained</w:t>
      </w:r>
    </w:p>
    <w:p>
      <w:pPr>
        <w:spacing w:after="160" w:line="276"/>
      </w:pPr>
      <w:r>
        <w:rPr>
          <w:rFonts w:ascii="Calibri" w:cs="Calibri" w:eastAsia="Calibri" w:hAnsi="Calibri"/>
          <w:sz w:val="22"/>
          <w:szCs w:val="22"/>
        </w:rPr>
        <w:t xml:space="preserve">Categorize is the step where the system's stakes get defined, and everything downstream — which control baseline you select in Step 3, how deep the Step 5 assessment needs to go — flows from this determination. FIPS 199 requires rating the potential impact of a loss of each of three security objectives:</w:t>
      </w:r>
    </w:p>
    <w:p>
      <w:pPr>
        <w:pStyle w:val="ListParagraph"/>
        <w:numPr>
          <w:ilvl w:val="0"/>
          <w:numId w:val="2"/>
        </w:numPr>
        <w:spacing w:after="100"/>
      </w:pPr>
      <w:r>
        <w:rPr>
          <w:rFonts w:ascii="Calibri" w:cs="Calibri" w:eastAsia="Calibri" w:hAnsi="Calibri"/>
          <w:sz w:val="22"/>
          <w:szCs w:val="22"/>
        </w:rPr>
        <w:t xml:space="preserve">Confidentiality — unauthorized disclosure of information.</w:t>
      </w:r>
    </w:p>
    <w:p>
      <w:pPr>
        <w:pStyle w:val="ListParagraph"/>
        <w:numPr>
          <w:ilvl w:val="0"/>
          <w:numId w:val="2"/>
        </w:numPr>
        <w:spacing w:after="100"/>
      </w:pPr>
      <w:r>
        <w:rPr>
          <w:rFonts w:ascii="Calibri" w:cs="Calibri" w:eastAsia="Calibri" w:hAnsi="Calibri"/>
          <w:sz w:val="22"/>
          <w:szCs w:val="22"/>
        </w:rPr>
        <w:t xml:space="preserve">Integrity — unauthorized modification or destruction of information.</w:t>
      </w:r>
    </w:p>
    <w:p>
      <w:pPr>
        <w:pStyle w:val="ListParagraph"/>
        <w:numPr>
          <w:ilvl w:val="0"/>
          <w:numId w:val="2"/>
        </w:numPr>
        <w:spacing w:after="100"/>
      </w:pPr>
      <w:r>
        <w:rPr>
          <w:rFonts w:ascii="Calibri" w:cs="Calibri" w:eastAsia="Calibri" w:hAnsi="Calibri"/>
          <w:sz w:val="22"/>
          <w:szCs w:val="22"/>
        </w:rPr>
        <w:t xml:space="preserve">Availability — disruption of access to or use of information or the system.</w:t>
      </w:r>
    </w:p>
    <w:p>
      <w:pPr>
        <w:spacing w:after="160" w:line="276"/>
      </w:pPr>
      <w:r>
        <w:rPr>
          <w:rFonts w:ascii="Calibri" w:cs="Calibri" w:eastAsia="Calibri" w:hAnsi="Calibri"/>
          <w:sz w:val="22"/>
          <w:szCs w:val="22"/>
        </w:rPr>
        <w:t xml:space="preserve">Each objective is rated Low, Moderate, or High, based on the potential adverse effect on organizational operations, assets, or individuals if that objective were compromised. The overall system categorization is then set at the highest (the 'high-water mark') of the three individual ratings — a system rated Low/Low/Moderate is categorized Moderate overall. The Authorizing Official reviews and approves the categorization before Select begins, because it commits the organization to a specific control baseline's worth of implementation and assessment effort.</w:t>
      </w:r>
    </w:p>
    <w:p>
      <w:r>
        <w:br w:type="page"/>
      </w:r>
    </w:p>
    <w:p>
      <w:pPr>
        <w:pStyle w:val="Heading1"/>
        <w:spacing w:after="200" w:before="400"/>
      </w:pPr>
      <w:r>
        <w:t xml:space="preserve">Part Three – The Authorization Journey End to End</w:t>
      </w:r>
    </w:p>
    <w:p>
      <w:pPr>
        <w:pStyle w:val="Heading2"/>
        <w:spacing w:after="150" w:before="300"/>
      </w:pPr>
      <w:r>
        <w:t xml:space="preserve">3.1 Prepare: Setting the Foundation</w:t>
      </w:r>
    </w:p>
    <w:p>
      <w:pPr>
        <w:spacing w:after="160" w:line="276"/>
      </w:pPr>
      <w:r>
        <w:rPr>
          <w:rFonts w:ascii="Calibri" w:cs="Calibri" w:eastAsia="Calibri" w:hAnsi="Calibri"/>
          <w:sz w:val="22"/>
          <w:szCs w:val="22"/>
        </w:rPr>
        <w:t xml:space="preserve">Prepare is easy to skip past mentally because it produces no single dramatic artifact — but skipping it in practice is exactly how authorization packages end up disorganized. During Prepare, the organization identifies who fills each RMF role for this system, confirms (or sets) its risk tolerance, points to or conducts an organization-wide risk assessment, sketches a continuous monitoring strategy, and inventories which controls are already available as common controls from elsewhere in the organization — so the system owner doesn't reinvent, implement, and get separately assessed on something a common control provider already covers.</w:t>
      </w:r>
    </w:p>
    <w:p>
      <w:pPr>
        <w:pStyle w:val="Heading2"/>
        <w:spacing w:after="150" w:before="300"/>
      </w:pPr>
      <w:r>
        <w:t xml:space="preserve">3.2 Categorize Through Assess: Building and Testing the System</w:t>
      </w:r>
    </w:p>
    <w:p>
      <w:pPr>
        <w:spacing w:after="160" w:line="276"/>
      </w:pPr>
      <w:r>
        <w:rPr>
          <w:rFonts w:ascii="Calibri" w:cs="Calibri" w:eastAsia="Calibri" w:hAnsi="Calibri"/>
          <w:sz w:val="22"/>
          <w:szCs w:val="22"/>
        </w:rPr>
        <w:t xml:space="preserve">Categorize, Select, Implement and Assess form the operational core of the framework — this is where most of a beginner's day-to-day time goes. Categorize sets the stakes (2.4, above). Select turns that categorization into an actual list of controls, tailored to the system's real environment, with each control designated system-specific, hybrid, or common depending on who actually implements it. Implement is where controls stop being plans and become configurations, procedures, and deployed technology. Assess is where an assessor who did not build the system independently tests whether those controls actually work — producing the SAR that becomes the evidentiary core of the authorization package.</w:t>
      </w:r>
    </w:p>
    <w:p>
      <w:pPr>
        <w:spacing w:after="160" w:line="276"/>
      </w:pPr>
      <w:r>
        <w:rPr>
          <w:rFonts w:ascii="Calibri" w:cs="Calibri" w:eastAsia="Calibri" w:hAnsi="Calibri"/>
          <w:sz w:val="22"/>
          <w:szCs w:val="22"/>
        </w:rPr>
        <w:t xml:space="preserve">Who performs the assessment matters. Under classic agency-internal RMF, the assessor is typically an internal federal employee or contractor who is organizationally separated from the system owner — independent enough to be objective, but not necessarily an externally accredited firm. This is a meaningfully different model from the FedRAMP sidebar below, and conflating the two is a common beginner mistake.</w:t>
      </w:r>
    </w:p>
    <w:p>
      <w:pPr>
        <w:pStyle w:val="Heading2"/>
        <w:spacing w:after="150" w:before="300"/>
      </w:pPr>
      <w:r>
        <w:t xml:space="preserve">3.3 Authorize: The Non-Delegable Decision</w:t>
      </w:r>
    </w:p>
    <w:p>
      <w:pPr>
        <w:spacing w:after="160" w:line="276"/>
      </w:pPr>
      <w:r>
        <w:rPr>
          <w:rFonts w:ascii="Calibri" w:cs="Calibri" w:eastAsia="Calibri" w:hAnsi="Calibri"/>
          <w:sz w:val="22"/>
          <w:szCs w:val="22"/>
        </w:rPr>
        <w:t xml:space="preserve">Authorize is the step this whole framework exists to reach. The Authorizing Official reviews the complete package — executive summary, SSP, SAR, and POA&amp;M — and personally decides whether the residual risk is acceptable. The outcome is a signed authorization decision document stating the status (Authorized to Operate, Authorized to Use, Authorized with Conditions, or Denial), any terms or conditions attached, and a termination date after which the authorization expires absent reauthorization or a strong enough ConMon posture to support ongoing authorization instead.</w:t>
      </w:r>
    </w:p>
    <w:p>
      <w:pPr>
        <w:spacing w:after="160" w:line="276"/>
      </w:pPr>
      <w:r>
        <w:rPr>
          <w:rFonts w:ascii="Calibri" w:cs="Calibri" w:eastAsia="Calibri" w:hAnsi="Calibri"/>
          <w:sz w:val="22"/>
          <w:szCs w:val="22"/>
        </w:rPr>
        <w:t xml:space="preserve">Two concepts worth understanding here, because they come up constantly once you're working real authorization packages rather than a single training example:</w:t>
      </w:r>
    </w:p>
    <w:p>
      <w:pPr>
        <w:pStyle w:val="ListParagraph"/>
        <w:numPr>
          <w:ilvl w:val="0"/>
          <w:numId w:val="2"/>
        </w:numPr>
        <w:spacing w:after="100"/>
      </w:pPr>
      <w:r>
        <w:rPr>
          <w:rFonts w:ascii="Calibri" w:cs="Calibri" w:eastAsia="Calibri" w:hAnsi="Calibri"/>
          <w:sz w:val="22"/>
          <w:szCs w:val="22"/>
        </w:rPr>
        <w:t xml:space="preserve">Reciprocity: when one agency accepts another agency's already-completed assessment or authorization for a shared or reused system, instead of requiring a full duplicate reassessment. This exists specifically to reduce the cost and delay of redundant testing across government — but it depends on the receiving agency trusting the rigor of the originating agency's process, so it is applied selectively, not automatically.</w:t>
      </w:r>
    </w:p>
    <w:p>
      <w:pPr>
        <w:pStyle w:val="ListParagraph"/>
        <w:numPr>
          <w:ilvl w:val="0"/>
          <w:numId w:val="2"/>
        </w:numPr>
        <w:spacing w:after="100"/>
      </w:pPr>
      <w:r>
        <w:rPr>
          <w:rFonts w:ascii="Calibri" w:cs="Calibri" w:eastAsia="Calibri" w:hAnsi="Calibri"/>
          <w:sz w:val="22"/>
          <w:szCs w:val="22"/>
        </w:rPr>
        <w:t xml:space="preserve">Ongoing authorization: an approach where a mature ConMon program feeds the AO continuous, near-real-time risk information, so the authorization can be actively maintained rather than only being revisited when a fixed termination date arrives. This is the direction NIST guidance has been pushing the whole framework — away from static, calendar-driven reauthorization and toward continuously informed risk decisions.</w:t>
      </w:r>
    </w:p>
    <w:p>
      <w:pPr>
        <w:pStyle w:val="Heading2"/>
        <w:spacing w:after="150" w:before="300"/>
      </w:pPr>
      <w:r>
        <w:t xml:space="preserve">3.4 Monitor: Keeping the Decision Current</w:t>
      </w:r>
    </w:p>
    <w:p>
      <w:pPr>
        <w:spacing w:after="160" w:line="276"/>
      </w:pPr>
      <w:r>
        <w:rPr>
          <w:rFonts w:ascii="Calibri" w:cs="Calibri" w:eastAsia="Calibri" w:hAnsi="Calibri"/>
          <w:sz w:val="22"/>
          <w:szCs w:val="22"/>
        </w:rPr>
        <w:t xml:space="preserve">Monitor is not a wind-down phase — it is where the system spends most of its operational life. The organization executes the ConMon strategy defined back in Prepare and refined in Select: ongoing vulnerability scanning, periodic control reassessment, tracking configuration and environment changes, and keeping the POA&amp;M current as new weaknesses are found and old ones are closed. The output of Monitor is a continuously updated risk posture that either supports the existing authorization, triggers updated conditions, or — if risk has drifted too far — triggers reauthorization.</w:t>
      </w:r>
    </w:p>
    <w:p>
      <w:pPr>
        <w:pStyle w:val="Heading2"/>
        <w:spacing w:after="150" w:before="300"/>
      </w:pPr>
      <w:r>
        <w:t xml:space="preserve">3.5 If You're Pursuing FedRAMP Instead of Agency-Internal RMF</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Related but distinct:  </w:t>
            </w:r>
            <w:r>
              <w:rPr>
                <w:rFonts w:ascii="Calibri" w:cs="Calibri" w:eastAsia="Calibri" w:hAnsi="Calibri"/>
                <w:sz w:val="22"/>
                <w:szCs w:val="22"/>
              </w:rPr>
              <w:t xml:space="preserve">FedRAMP applies the same RMF/SP 800-53 foundation specifically to cloud service offerings — but it is a separate program with its own governance, and it changes a specific, important detail: who is allowed to perform the assessment.</w:t>
            </w:r>
          </w:p>
        </w:tc>
      </w:tr>
    </w:tbl>
    <w:p>
      <w:pPr>
        <w:spacing w:after="160" w:line="276"/>
      </w:pPr>
      <w:r>
        <w:rPr>
          <w:rFonts w:ascii="Calibri" w:cs="Calibri" w:eastAsia="Calibri" w:hAnsi="Calibri"/>
          <w:sz w:val="22"/>
          <w:szCs w:val="22"/>
        </w:rPr>
        <w:t xml:space="preserve">Everything in this handbook — the 7 steps, the SSP/SAP/SAR/POA&amp;M artifact chain, the AO's non-delegable decision — applies equally to FedRAMP authorizations, because FedRAMP is built directly on RMF and SP 800-53. The key difference is in the Assess step: FedRAMP requires the assessment to be performed by a Third-Party Assessment Organization (3PAO) — an accredited, external, commercial assessment firm — rather than allowing an internal, organizationally-independent agency assessor as classic agency-internal RMF does.</w:t>
      </w:r>
    </w:p>
    <w:p>
      <w:pPr>
        <w:spacing w:after="160" w:line="276"/>
      </w:pPr>
      <w:r>
        <w:rPr>
          <w:rFonts w:ascii="Calibri" w:cs="Calibri" w:eastAsia="Calibri" w:hAnsi="Calibri"/>
          <w:sz w:val="22"/>
          <w:szCs w:val="22"/>
        </w:rPr>
        <w:t xml:space="preserve">A useful way to keep the terminology straight: 'Control Assessor' (or Security Control Assessor / SCA) is the generic, RMF-wide term for whoever performs the assessment, regardless of program. '3PAO' is a FedRAMP-specific accreditation — every 3PAO is a Control Assessor, but most Control Assessors (in agency-internal RMF) are not 3PAOs. If your system is a cloud service offering seeking a Provisional ATO for government-wide reuse, you are almost certainly in FedRAMP territory and need a 3PAO; if you're authorizing an internal agency system, you are not.</w:t>
      </w:r>
    </w:p>
    <w:p>
      <w:r>
        <w:br w:type="page"/>
      </w:r>
    </w:p>
    <w:p>
      <w:pPr>
        <w:pStyle w:val="Heading1"/>
        <w:spacing w:after="200" w:before="400"/>
      </w:pPr>
      <w:r>
        <w:t xml:space="preserve">Part Four – Step-by-Step Walkthroughs</w:t>
      </w:r>
    </w:p>
    <w:p>
      <w:pPr>
        <w:spacing w:after="160" w:line="276"/>
      </w:pPr>
      <w:r>
        <w:rPr>
          <w:rFonts w:ascii="Calibri" w:cs="Calibri" w:eastAsia="Calibri" w:hAnsi="Calibri"/>
          <w:sz w:val="22"/>
          <w:szCs w:val="22"/>
        </w:rPr>
        <w:t xml:space="preserve">Each walkthrough below maps to one tab in the companion workbook, “NIST RMF Authorization Toolkit.xlsx.” Work through them in RMF step order the first time; on future systems, jump straight to the tab you need.</w:t>
      </w:r>
    </w:p>
    <w:p>
      <w:pPr>
        <w:pStyle w:val="Heading2"/>
        <w:spacing w:after="150" w:before="300"/>
      </w:pPr>
      <w:r>
        <w:t xml:space="preserve">Walkthrough A: Standing Up the RMF Project (Prepare)</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1 - RMF Project Plan" in the NIST RMF Authorization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Turn a vague mandate (“get this system authorized”) into assigned roles, a stated risk tolerance, and a ConMon approach, before any control work begins.</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At the very start of every authorization effort — initial ATO, major system change, or a fresh reauthorization cycle.</w:t>
      </w:r>
    </w:p>
    <w:p>
      <w:pPr>
        <w:pStyle w:val="Heading3"/>
        <w:spacing w:after="120" w:before="240"/>
      </w:pPr>
      <w:r>
        <w:t xml:space="preserve">Steps</w:t>
      </w:r>
    </w:p>
    <w:p>
      <w:pPr>
        <w:pStyle w:val="ListParagraph"/>
        <w:numPr>
          <w:ilvl w:val="0"/>
          <w:numId w:val="3"/>
        </w:numPr>
        <w:spacing w:after="100"/>
      </w:pPr>
      <w:r>
        <w:rPr>
          <w:rFonts w:ascii="Calibri" w:cs="Calibri" w:eastAsia="Calibri" w:hAnsi="Calibri"/>
          <w:sz w:val="22"/>
          <w:szCs w:val="22"/>
        </w:rPr>
        <w:t xml:space="preserve">Identify and document who fills each RMF role for this system: Authorizing Official, System Owner, ISSO, Control Assessor, and any Common Control Provider(s) whose controls this system will inherit.</w:t>
      </w:r>
    </w:p>
    <w:p>
      <w:pPr>
        <w:pStyle w:val="ListParagraph"/>
        <w:numPr>
          <w:ilvl w:val="0"/>
          <w:numId w:val="3"/>
        </w:numPr>
        <w:spacing w:after="100"/>
      </w:pPr>
      <w:r>
        <w:rPr>
          <w:rFonts w:ascii="Calibri" w:cs="Calibri" w:eastAsia="Calibri" w:hAnsi="Calibri"/>
          <w:sz w:val="22"/>
          <w:szCs w:val="22"/>
        </w:rPr>
        <w:t xml:space="preserve">Confirm the organization's risk management strategy and risk tolerance — pull this from existing organizational policy (per SP 800-39) rather than inventing a new one for this system.</w:t>
      </w:r>
    </w:p>
    <w:p>
      <w:pPr>
        <w:pStyle w:val="ListParagraph"/>
        <w:numPr>
          <w:ilvl w:val="0"/>
          <w:numId w:val="3"/>
        </w:numPr>
        <w:spacing w:after="100"/>
      </w:pPr>
      <w:r>
        <w:rPr>
          <w:rFonts w:ascii="Calibri" w:cs="Calibri" w:eastAsia="Calibri" w:hAnsi="Calibri"/>
          <w:sz w:val="22"/>
          <w:szCs w:val="22"/>
        </w:rPr>
        <w:t xml:space="preserve">Reference (or, if none exists, initiate) an organization-wide risk assessment per SP 800-30 that this system's later risk decisions can be grounded in.</w:t>
      </w:r>
    </w:p>
    <w:p>
      <w:pPr>
        <w:pStyle w:val="ListParagraph"/>
        <w:numPr>
          <w:ilvl w:val="0"/>
          <w:numId w:val="3"/>
        </w:numPr>
        <w:spacing w:after="100"/>
      </w:pPr>
      <w:r>
        <w:rPr>
          <w:rFonts w:ascii="Calibri" w:cs="Calibri" w:eastAsia="Calibri" w:hAnsi="Calibri"/>
          <w:sz w:val="22"/>
          <w:szCs w:val="22"/>
        </w:rPr>
        <w:t xml:space="preserve">Identify common controls already available for inheritance, so you don't implement and separately assess something someone else already owns.</w:t>
      </w:r>
    </w:p>
    <w:p>
      <w:pPr>
        <w:pStyle w:val="ListParagraph"/>
        <w:numPr>
          <w:ilvl w:val="0"/>
          <w:numId w:val="3"/>
        </w:numPr>
        <w:spacing w:after="100"/>
      </w:pPr>
      <w:r>
        <w:rPr>
          <w:rFonts w:ascii="Calibri" w:cs="Calibri" w:eastAsia="Calibri" w:hAnsi="Calibri"/>
          <w:sz w:val="22"/>
          <w:szCs w:val="22"/>
        </w:rPr>
        <w:t xml:space="preserve">Draft an initial continuous monitoring (ConMon) strategy outline — cadence and methods can be refined later in Select, but sketch it now.</w:t>
      </w:r>
    </w:p>
    <w:p>
      <w:pPr>
        <w:pStyle w:val="ListParagraph"/>
        <w:numPr>
          <w:ilvl w:val="0"/>
          <w:numId w:val="3"/>
        </w:numPr>
        <w:spacing w:after="100"/>
      </w:pPr>
      <w:r>
        <w:rPr>
          <w:rFonts w:ascii="Calibri" w:cs="Calibri" w:eastAsia="Calibri" w:hAnsi="Calibri"/>
          <w:sz w:val="22"/>
          <w:szCs w:val="22"/>
        </w:rPr>
        <w:t xml:space="preserve">Fill in Template 1's header fields and task checklist, and confirm the plan with the Authorizing Official before Categorize begins.</w:t>
      </w:r>
    </w:p>
    <w:p>
      <w:pPr>
        <w:pStyle w:val="Heading3"/>
        <w:spacing w:after="120" w:before="240"/>
      </w:pPr>
      <w:r>
        <w:t xml:space="preserve">Worked example</w:t>
      </w:r>
    </w:p>
    <w:p>
      <w:pPr>
        <w:spacing w:after="160" w:line="276"/>
      </w:pPr>
      <w:r>
        <w:rPr>
          <w:rFonts w:ascii="Calibri" w:cs="Calibri" w:eastAsia="Calibri" w:hAnsi="Calibri"/>
          <w:sz w:val="22"/>
          <w:szCs w:val="22"/>
        </w:rPr>
        <w:t xml:space="preserve">A mid-size agency program is standing up a new case-management web application handling personally identifiable information. The System Owner is the program director; the Authorizing Official is the agency CISO; the ISSO is assigned from the security office; the Control Assessor is an independent team from the agency's Office of Inspector General, organizationally separate from the program office. Common controls for physical/environmental security and network boundary protection are inherited from the agency's enterprise infrastructure team.</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Assigning the Control Assessor role to someone who reports to the System Owner (or who helped build the system) breaks the independence RMF assumes — this surfaces as a credibility problem at Authorize, not at Assess, so catch it now.</w:t>
      </w:r>
    </w:p>
    <w:p>
      <w:pPr>
        <w:pStyle w:val="ListParagraph"/>
        <w:numPr>
          <w:ilvl w:val="0"/>
          <w:numId w:val="2"/>
        </w:numPr>
        <w:spacing w:after="100"/>
      </w:pPr>
      <w:r>
        <w:rPr>
          <w:rFonts w:ascii="Calibri" w:cs="Calibri" w:eastAsia="Calibri" w:hAnsi="Calibri"/>
          <w:sz w:val="22"/>
          <w:szCs w:val="22"/>
        </w:rPr>
        <w:t xml:space="preserve">Skipping Prepare because “we know what to do” is the single most common source of a disorganized authorization package later — the 10 minutes it takes to name roles explicitly saves hours of confusion at Assess and Authorize.</w:t>
      </w:r>
    </w:p>
    <w:p>
      <w:pPr>
        <w:spacing w:after="200"/>
      </w:pPr>
    </w:p>
    <w:p>
      <w:pPr>
        <w:pStyle w:val="Heading2"/>
        <w:spacing w:after="150" w:before="300"/>
      </w:pPr>
      <w:r>
        <w:t xml:space="preserve">Walkthrough B: Determining FIPS 199 Impact (Categorize)</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2 - Categorization" in the NIST RMF Authorization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Rate the potential adverse impact of a loss of Confidentiality, Integrity and Availability, and set the system's overall categorization.</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After Prepare, before any control baseline is selected.</w:t>
      </w:r>
    </w:p>
    <w:p>
      <w:pPr>
        <w:pStyle w:val="Heading3"/>
        <w:spacing w:after="120" w:before="240"/>
      </w:pPr>
      <w:r>
        <w:t xml:space="preserve">Steps</w:t>
      </w:r>
    </w:p>
    <w:p>
      <w:pPr>
        <w:pStyle w:val="ListParagraph"/>
        <w:numPr>
          <w:ilvl w:val="0"/>
          <w:numId w:val="4"/>
        </w:numPr>
        <w:spacing w:after="100"/>
      </w:pPr>
      <w:r>
        <w:rPr>
          <w:rFonts w:ascii="Calibri" w:cs="Calibri" w:eastAsia="Calibri" w:hAnsi="Calibri"/>
          <w:sz w:val="22"/>
          <w:szCs w:val="22"/>
        </w:rPr>
        <w:t xml:space="preserve">Describe the system and identify its information types, referencing SP 800-60 Volume II where helpful for typical information-type impact guidance.</w:t>
      </w:r>
    </w:p>
    <w:p>
      <w:pPr>
        <w:pStyle w:val="ListParagraph"/>
        <w:numPr>
          <w:ilvl w:val="0"/>
          <w:numId w:val="4"/>
        </w:numPr>
        <w:spacing w:after="100"/>
      </w:pPr>
      <w:r>
        <w:rPr>
          <w:rFonts w:ascii="Calibri" w:cs="Calibri" w:eastAsia="Calibri" w:hAnsi="Calibri"/>
          <w:sz w:val="22"/>
          <w:szCs w:val="22"/>
        </w:rPr>
        <w:t xml:space="preserve">For each of the three security objectives (Confidentiality, Integrity, Availability), determine the potential impact level — Low, Moderate, or High — based on the worst reasonably foreseeable adverse effect of a loss in that objective.</w:t>
      </w:r>
    </w:p>
    <w:p>
      <w:pPr>
        <w:pStyle w:val="ListParagraph"/>
        <w:numPr>
          <w:ilvl w:val="0"/>
          <w:numId w:val="4"/>
        </w:numPr>
        <w:spacing w:after="100"/>
      </w:pPr>
      <w:r>
        <w:rPr>
          <w:rFonts w:ascii="Calibri" w:cs="Calibri" w:eastAsia="Calibri" w:hAnsi="Calibri"/>
          <w:sz w:val="22"/>
          <w:szCs w:val="22"/>
        </w:rPr>
        <w:t xml:space="preserve">Document the rationale for each rating; a rating with no rationale is not defensible if challenged later.</w:t>
      </w:r>
    </w:p>
    <w:p>
      <w:pPr>
        <w:pStyle w:val="ListParagraph"/>
        <w:numPr>
          <w:ilvl w:val="0"/>
          <w:numId w:val="4"/>
        </w:numPr>
        <w:spacing w:after="100"/>
      </w:pPr>
      <w:r>
        <w:rPr>
          <w:rFonts w:ascii="Calibri" w:cs="Calibri" w:eastAsia="Calibri" w:hAnsi="Calibri"/>
          <w:sz w:val="22"/>
          <w:szCs w:val="22"/>
        </w:rPr>
        <w:t xml:space="preserve">Set the overall system categorization at the high-water mark — the highest of the three individual ratings.</w:t>
      </w:r>
    </w:p>
    <w:p>
      <w:pPr>
        <w:pStyle w:val="ListParagraph"/>
        <w:numPr>
          <w:ilvl w:val="0"/>
          <w:numId w:val="4"/>
        </w:numPr>
        <w:spacing w:after="100"/>
      </w:pPr>
      <w:r>
        <w:rPr>
          <w:rFonts w:ascii="Calibri" w:cs="Calibri" w:eastAsia="Calibri" w:hAnsi="Calibri"/>
          <w:sz w:val="22"/>
          <w:szCs w:val="22"/>
        </w:rPr>
        <w:t xml:space="preserve">Route the completed categorization to the Authorizing Official for review and approval before proceeding to Select.</w:t>
      </w:r>
    </w:p>
    <w:p>
      <w:pPr>
        <w:pStyle w:val="Heading3"/>
        <w:spacing w:after="120" w:before="240"/>
      </w:pPr>
      <w:r>
        <w:t xml:space="preserve">Worked example</w:t>
      </w:r>
    </w:p>
    <w:p>
      <w:pPr>
        <w:spacing w:after="160" w:line="276"/>
      </w:pPr>
      <w:r>
        <w:rPr>
          <w:rFonts w:ascii="Calibri" w:cs="Calibri" w:eastAsia="Calibri" w:hAnsi="Calibri"/>
          <w:sz w:val="22"/>
          <w:szCs w:val="22"/>
        </w:rPr>
        <w:t xml:space="preserve">A public benefits case-management portal processing PII: Confidentiality is rated Moderate (unauthorized disclosure of PII would cause serious, but not catastrophic, harm to individuals); Integrity is rated Moderate (incorrect case data could cause serious harm to benefit determinations); Availability is rated Low (a short outage delays but doesn't seriously harm anyone). Overall categorization: Moderate, the high-water mark.</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Rating everything High “to be safe” inflates the control baseline unnecessarily and multiplies the Implement and Assess workload — categorize based on realistic worst-case impact, not maximum caution.</w:t>
      </w:r>
    </w:p>
    <w:p>
      <w:pPr>
        <w:pStyle w:val="ListParagraph"/>
        <w:numPr>
          <w:ilvl w:val="0"/>
          <w:numId w:val="2"/>
        </w:numPr>
        <w:spacing w:after="100"/>
      </w:pPr>
      <w:r>
        <w:rPr>
          <w:rFonts w:ascii="Calibri" w:cs="Calibri" w:eastAsia="Calibri" w:hAnsi="Calibri"/>
          <w:sz w:val="22"/>
          <w:szCs w:val="22"/>
        </w:rPr>
        <w:t xml:space="preserve">Forgetting to route the categorization to the AO for approval is a process gap that surfaces later — the AO owns this decision just as much as the final authorization decision, even though it's earlier in the lifecycle.</w:t>
      </w:r>
    </w:p>
    <w:p>
      <w:pPr>
        <w:spacing w:after="200"/>
      </w:pPr>
    </w:p>
    <w:p>
      <w:pPr>
        <w:pStyle w:val="Heading2"/>
        <w:spacing w:after="150" w:before="300"/>
      </w:pPr>
      <w:r>
        <w:t xml:space="preserve">Walkthrough C: Selecting and Tailoring Controls</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3 - Control Selection" in the NIST RMF Authorization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Turn the system's categorization into a concrete, tailored list of controls, each designated by who implements it.</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Immediately after categorization is approved, before implementation work starts.</w:t>
      </w:r>
    </w:p>
    <w:p>
      <w:pPr>
        <w:pStyle w:val="Heading3"/>
        <w:spacing w:after="120" w:before="240"/>
      </w:pPr>
      <w:r>
        <w:t xml:space="preserve">Steps</w:t>
      </w:r>
    </w:p>
    <w:p>
      <w:pPr>
        <w:pStyle w:val="ListParagraph"/>
        <w:numPr>
          <w:ilvl w:val="0"/>
          <w:numId w:val="5"/>
        </w:numPr>
        <w:spacing w:after="100"/>
      </w:pPr>
      <w:r>
        <w:rPr>
          <w:rFonts w:ascii="Calibri" w:cs="Calibri" w:eastAsia="Calibri" w:hAnsi="Calibri"/>
          <w:sz w:val="22"/>
          <w:szCs w:val="22"/>
        </w:rPr>
        <w:t xml:space="preserve">Pull the control baseline matching the system's overall categorization (Low, Moderate, or High) from SP 800-53B.</w:t>
      </w:r>
    </w:p>
    <w:p>
      <w:pPr>
        <w:pStyle w:val="ListParagraph"/>
        <w:numPr>
          <w:ilvl w:val="0"/>
          <w:numId w:val="5"/>
        </w:numPr>
        <w:spacing w:after="100"/>
      </w:pPr>
      <w:r>
        <w:rPr>
          <w:rFonts w:ascii="Calibri" w:cs="Calibri" w:eastAsia="Calibri" w:hAnsi="Calibri"/>
          <w:sz w:val="22"/>
          <w:szCs w:val="22"/>
        </w:rPr>
        <w:t xml:space="preserve">Work through the baseline family by family (using the 20 SP 800-53 families as your structure), tailoring controls to the system's actual environment — adding controls the risk assessment justifies, and removing or modifying controls only with documented rationale.</w:t>
      </w:r>
    </w:p>
    <w:p>
      <w:pPr>
        <w:pStyle w:val="ListParagraph"/>
        <w:numPr>
          <w:ilvl w:val="0"/>
          <w:numId w:val="5"/>
        </w:numPr>
        <w:spacing w:after="100"/>
      </w:pPr>
      <w:r>
        <w:rPr>
          <w:rFonts w:ascii="Calibri" w:cs="Calibri" w:eastAsia="Calibri" w:hAnsi="Calibri"/>
          <w:sz w:val="22"/>
          <w:szCs w:val="22"/>
        </w:rPr>
        <w:t xml:space="preserve">For every selected control, designate its implementation type: system-specific (this system implements it directly), hybrid (partly inherited, partly system-specific), or common/inherited (fully provided by a Common Control Provider identified in Prepare).</w:t>
      </w:r>
    </w:p>
    <w:p>
      <w:pPr>
        <w:pStyle w:val="ListParagraph"/>
        <w:numPr>
          <w:ilvl w:val="0"/>
          <w:numId w:val="5"/>
        </w:numPr>
        <w:spacing w:after="100"/>
      </w:pPr>
      <w:r>
        <w:rPr>
          <w:rFonts w:ascii="Calibri" w:cs="Calibri" w:eastAsia="Calibri" w:hAnsi="Calibri"/>
          <w:sz w:val="22"/>
          <w:szCs w:val="22"/>
        </w:rPr>
        <w:t xml:space="preserve">Allocate controls to specific system components where relevant (e.g. a specific control applies to the database tier, not the whole system).</w:t>
      </w:r>
    </w:p>
    <w:p>
      <w:pPr>
        <w:pStyle w:val="ListParagraph"/>
        <w:numPr>
          <w:ilvl w:val="0"/>
          <w:numId w:val="5"/>
        </w:numPr>
        <w:spacing w:after="100"/>
      </w:pPr>
      <w:r>
        <w:rPr>
          <w:rFonts w:ascii="Calibri" w:cs="Calibri" w:eastAsia="Calibri" w:hAnsi="Calibri"/>
          <w:sz w:val="22"/>
          <w:szCs w:val="22"/>
        </w:rPr>
        <w:t xml:space="preserve">Refine the system-level continuous monitoring strategy sketched in Prepare, now that the actual control set is known.</w:t>
      </w:r>
    </w:p>
    <w:p>
      <w:pPr>
        <w:pStyle w:val="ListParagraph"/>
        <w:numPr>
          <w:ilvl w:val="0"/>
          <w:numId w:val="5"/>
        </w:numPr>
        <w:spacing w:after="100"/>
      </w:pPr>
      <w:r>
        <w:rPr>
          <w:rFonts w:ascii="Calibri" w:cs="Calibri" w:eastAsia="Calibri" w:hAnsi="Calibri"/>
          <w:sz w:val="22"/>
          <w:szCs w:val="22"/>
        </w:rPr>
        <w:t xml:space="preserve">Feed the finished, tailored control list into the System Security Plan (SSP).</w:t>
      </w:r>
    </w:p>
    <w:p>
      <w:pPr>
        <w:pStyle w:val="Heading3"/>
        <w:spacing w:after="120" w:before="240"/>
      </w:pPr>
      <w:r>
        <w:t xml:space="preserve">Worked example</w:t>
      </w:r>
    </w:p>
    <w:p>
      <w:pPr>
        <w:spacing w:after="160" w:line="276"/>
      </w:pPr>
      <w:r>
        <w:rPr>
          <w:rFonts w:ascii="Calibri" w:cs="Calibri" w:eastAsia="Calibri" w:hAnsi="Calibri"/>
          <w:sz w:val="22"/>
          <w:szCs w:val="22"/>
        </w:rPr>
        <w:t xml:space="preserve">For the Moderate-categorized case-management system, AC-2 (Account Management) is selected from the Moderate baseline and designated system-specific, implemented via the application's own IAM integration. PE-family controls are designated common/inherited from the agency's shared data center. SC-7 (Boundary Protection) is designated hybrid: the network perimeter is inherited from the enterprise team, but application-layer boundary controls are system-specific.</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Marking a control 'common/inherited' without actually confirming the Common Control Provider assesses and maintains it is a gap that surfaces at Assess time as an untested control nobody owns — confirm inheritance is real, not assumed.</w:t>
      </w:r>
    </w:p>
    <w:p>
      <w:pPr>
        <w:pStyle w:val="ListParagraph"/>
        <w:numPr>
          <w:ilvl w:val="0"/>
          <w:numId w:val="2"/>
        </w:numPr>
        <w:spacing w:after="100"/>
      </w:pPr>
      <w:r>
        <w:rPr>
          <w:rFonts w:ascii="Calibri" w:cs="Calibri" w:eastAsia="Calibri" w:hAnsi="Calibri"/>
          <w:sz w:val="22"/>
          <w:szCs w:val="22"/>
        </w:rPr>
        <w:t xml:space="preserve">Under-tailoring (accepting the baseline exactly as-is with no thought to context) and over-tailoring (removing controls without documented justification) are both common beginner mistakes — every deviation from the baseline needs a written rationale.</w:t>
      </w:r>
    </w:p>
    <w:p>
      <w:pPr>
        <w:spacing w:after="200"/>
      </w:pPr>
    </w:p>
    <w:p>
      <w:pPr>
        <w:pStyle w:val="Heading2"/>
        <w:spacing w:after="150" w:before="300"/>
      </w:pPr>
      <w:r>
        <w:t xml:space="preserve">Walkthrough D: Tracking Implementation</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4 - Implementation" in the NIST RMF Authorization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Move each selected control from 'planned' to 'actually deployed,' and keep the SSP synchronized with reality.</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Throughout the Implement step, until every selected control is either implemented or has a documented, approved reason it isn't yet.</w:t>
      </w:r>
    </w:p>
    <w:p>
      <w:pPr>
        <w:pStyle w:val="Heading3"/>
        <w:spacing w:after="120" w:before="240"/>
      </w:pPr>
      <w:r>
        <w:t xml:space="preserve">Steps</w:t>
      </w:r>
    </w:p>
    <w:p>
      <w:pPr>
        <w:pStyle w:val="ListParagraph"/>
        <w:numPr>
          <w:ilvl w:val="0"/>
          <w:numId w:val="6"/>
        </w:numPr>
        <w:spacing w:after="100"/>
      </w:pPr>
      <w:r>
        <w:rPr>
          <w:rFonts w:ascii="Calibri" w:cs="Calibri" w:eastAsia="Calibri" w:hAnsi="Calibri"/>
          <w:sz w:val="22"/>
          <w:szCs w:val="22"/>
        </w:rPr>
        <w:t xml:space="preserve">For each control in Template 3's selected list, record a concrete implementation description — what was actually configured, deployed, or documented, not just a restatement of the control text.</w:t>
      </w:r>
    </w:p>
    <w:p>
      <w:pPr>
        <w:pStyle w:val="ListParagraph"/>
        <w:numPr>
          <w:ilvl w:val="0"/>
          <w:numId w:val="6"/>
        </w:numPr>
        <w:spacing w:after="100"/>
      </w:pPr>
      <w:r>
        <w:rPr>
          <w:rFonts w:ascii="Calibri" w:cs="Calibri" w:eastAsia="Calibri" w:hAnsi="Calibri"/>
          <w:sz w:val="22"/>
          <w:szCs w:val="22"/>
        </w:rPr>
        <w:t xml:space="preserve">Assign a responsible party and a target date for each control not yet implemented.</w:t>
      </w:r>
    </w:p>
    <w:p>
      <w:pPr>
        <w:pStyle w:val="ListParagraph"/>
        <w:numPr>
          <w:ilvl w:val="0"/>
          <w:numId w:val="6"/>
        </w:numPr>
        <w:spacing w:after="100"/>
      </w:pPr>
      <w:r>
        <w:rPr>
          <w:rFonts w:ascii="Calibri" w:cs="Calibri" w:eastAsia="Calibri" w:hAnsi="Calibri"/>
          <w:sz w:val="22"/>
          <w:szCs w:val="22"/>
        </w:rPr>
        <w:t xml:space="preserve">As controls are completed, update status and mark whether the SSP has been updated to reflect the as-implemented state — don't let the SSP drift out of sync with reality.</w:t>
      </w:r>
    </w:p>
    <w:p>
      <w:pPr>
        <w:pStyle w:val="ListParagraph"/>
        <w:numPr>
          <w:ilvl w:val="0"/>
          <w:numId w:val="6"/>
        </w:numPr>
        <w:spacing w:after="100"/>
      </w:pPr>
      <w:r>
        <w:rPr>
          <w:rFonts w:ascii="Calibri" w:cs="Calibri" w:eastAsia="Calibri" w:hAnsi="Calibri"/>
          <w:sz w:val="22"/>
          <w:szCs w:val="22"/>
        </w:rPr>
        <w:t xml:space="preserve">For inherited (common) controls, confirm the Common Control Provider's own implementation documentation is available for reference rather than re-describing it here.</w:t>
      </w:r>
    </w:p>
    <w:p>
      <w:pPr>
        <w:pStyle w:val="ListParagraph"/>
        <w:numPr>
          <w:ilvl w:val="0"/>
          <w:numId w:val="6"/>
        </w:numPr>
        <w:spacing w:after="100"/>
      </w:pPr>
      <w:r>
        <w:rPr>
          <w:rFonts w:ascii="Calibri" w:cs="Calibri" w:eastAsia="Calibri" w:hAnsi="Calibri"/>
          <w:sz w:val="22"/>
          <w:szCs w:val="22"/>
        </w:rPr>
        <w:t xml:space="preserve">Escalate any control that cannot be fully implemented before the planned Assess date — this becomes an input to risk-based prioritization in Assess and, potentially, an early POA&amp;M entry.</w:t>
      </w:r>
    </w:p>
    <w:p>
      <w:pPr>
        <w:pStyle w:val="Heading3"/>
        <w:spacing w:after="120" w:before="240"/>
      </w:pPr>
      <w:r>
        <w:t xml:space="preserve">Worked example</w:t>
      </w:r>
    </w:p>
    <w:p>
      <w:pPr>
        <w:spacing w:after="160" w:line="276"/>
      </w:pPr>
      <w:r>
        <w:rPr>
          <w:rFonts w:ascii="Calibri" w:cs="Calibri" w:eastAsia="Calibri" w:hAnsi="Calibri"/>
          <w:sz w:val="22"/>
          <w:szCs w:val="22"/>
        </w:rPr>
        <w:t xml:space="preserve">AC-2 (Account Management): implementation description states that account provisioning and deprovisioning is automated via the organization's IAM platform, integrated with the HR system's termination feed, with quarterly access recertification. Status: Implemented. SSP Updated: Yes, as of the date the integration went live.</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Treating 'implemented' as a status you set once a policy document exists, rather than once the control is actually operating, is the most common way an Implement-step tracker gives a false sense of readiness heading into Assess.</w:t>
      </w:r>
    </w:p>
    <w:p>
      <w:pPr>
        <w:pStyle w:val="ListParagraph"/>
        <w:numPr>
          <w:ilvl w:val="0"/>
          <w:numId w:val="2"/>
        </w:numPr>
        <w:spacing w:after="100"/>
      </w:pPr>
      <w:r>
        <w:rPr>
          <w:rFonts w:ascii="Calibri" w:cs="Calibri" w:eastAsia="Calibri" w:hAnsi="Calibri"/>
          <w:sz w:val="22"/>
          <w:szCs w:val="22"/>
        </w:rPr>
        <w:t xml:space="preserve">Letting the SSP lag behind actual implementation (common under deadline pressure) creates exactly the kind of 'the document says it happens' vs. 'it happens' gap that an assessor is trained to catch — keep them synchronized as you go, not in a rush right before Assess.</w:t>
      </w:r>
    </w:p>
    <w:p>
      <w:pPr>
        <w:spacing w:after="200"/>
      </w:pPr>
    </w:p>
    <w:p>
      <w:pPr>
        <w:pStyle w:val="Heading2"/>
        <w:spacing w:after="150" w:before="300"/>
      </w:pPr>
      <w:r>
        <w:t xml:space="preserve">Walkthrough E: Writing the Security Assessment Plan (SAP)</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5 - SAP Worksheet" in the NIST RMF Authorization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Define scope, methods, schedule, team, and rules of engagement for the assessment before testing starts.</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At the start of Assess, before any control testing begins.</w:t>
      </w:r>
    </w:p>
    <w:p>
      <w:pPr>
        <w:pStyle w:val="Heading3"/>
        <w:spacing w:after="120" w:before="240"/>
      </w:pPr>
      <w:r>
        <w:t xml:space="preserve">Steps</w:t>
      </w:r>
    </w:p>
    <w:p>
      <w:pPr>
        <w:pStyle w:val="ListParagraph"/>
        <w:numPr>
          <w:ilvl w:val="0"/>
          <w:numId w:val="7"/>
        </w:numPr>
        <w:spacing w:after="100"/>
      </w:pPr>
      <w:r>
        <w:rPr>
          <w:rFonts w:ascii="Calibri" w:cs="Calibri" w:eastAsia="Calibri" w:hAnsi="Calibri"/>
          <w:sz w:val="22"/>
          <w:szCs w:val="22"/>
        </w:rPr>
        <w:t xml:space="preserve">Confirm the Control Assessor (or SCA) assigned in Prepare is organizationally independent of the System Owner — and, if this is a FedRAMP effort, confirm it is an accredited 3PAO rather than an internal assessor.</w:t>
      </w:r>
    </w:p>
    <w:p>
      <w:pPr>
        <w:pStyle w:val="ListParagraph"/>
        <w:numPr>
          <w:ilvl w:val="0"/>
          <w:numId w:val="7"/>
        </w:numPr>
        <w:spacing w:after="100"/>
      </w:pPr>
      <w:r>
        <w:rPr>
          <w:rFonts w:ascii="Calibri" w:cs="Calibri" w:eastAsia="Calibri" w:hAnsi="Calibri"/>
          <w:sz w:val="22"/>
          <w:szCs w:val="22"/>
        </w:rPr>
        <w:t xml:space="preserve">Define the assessment scope: which controls, from Template 3's selected list, are in scope, and how common/inherited controls will be handled (typically referenced from the provider's own assessment rather than re-tested).</w:t>
      </w:r>
    </w:p>
    <w:p>
      <w:pPr>
        <w:pStyle w:val="ListParagraph"/>
        <w:numPr>
          <w:ilvl w:val="0"/>
          <w:numId w:val="7"/>
        </w:numPr>
        <w:spacing w:after="100"/>
      </w:pPr>
      <w:r>
        <w:rPr>
          <w:rFonts w:ascii="Calibri" w:cs="Calibri" w:eastAsia="Calibri" w:hAnsi="Calibri"/>
          <w:sz w:val="22"/>
          <w:szCs w:val="22"/>
        </w:rPr>
        <w:t xml:space="preserve">Define assessment methods per control category — examine (documents/artifacts), interview (control owners), and test (technical controls) — referencing SP 800-53A assessment procedures.</w:t>
      </w:r>
    </w:p>
    <w:p>
      <w:pPr>
        <w:pStyle w:val="ListParagraph"/>
        <w:numPr>
          <w:ilvl w:val="0"/>
          <w:numId w:val="7"/>
        </w:numPr>
        <w:spacing w:after="100"/>
      </w:pPr>
      <w:r>
        <w:rPr>
          <w:rFonts w:ascii="Calibri" w:cs="Calibri" w:eastAsia="Calibri" w:hAnsi="Calibri"/>
          <w:sz w:val="22"/>
          <w:szCs w:val="22"/>
        </w:rPr>
        <w:t xml:space="preserve">Set the assessment schedule and any rules of engagement for technical testing (e.g. vulnerability scanning windows, exclusions, notification requirements).</w:t>
      </w:r>
    </w:p>
    <w:p>
      <w:pPr>
        <w:pStyle w:val="ListParagraph"/>
        <w:numPr>
          <w:ilvl w:val="0"/>
          <w:numId w:val="7"/>
        </w:numPr>
        <w:spacing w:after="100"/>
      </w:pPr>
      <w:r>
        <w:rPr>
          <w:rFonts w:ascii="Calibri" w:cs="Calibri" w:eastAsia="Calibri" w:hAnsi="Calibri"/>
          <w:sz w:val="22"/>
          <w:szCs w:val="22"/>
        </w:rPr>
        <w:t xml:space="preserve">Route the completed SAP to the Authorizing Official (or their designated representative) for approval before assessment activities begin.</w:t>
      </w:r>
    </w:p>
    <w:p>
      <w:pPr>
        <w:pStyle w:val="Heading3"/>
        <w:spacing w:after="120" w:before="240"/>
      </w:pPr>
      <w:r>
        <w:t xml:space="preserve">Worked example</w:t>
      </w:r>
    </w:p>
    <w:p>
      <w:pPr>
        <w:spacing w:after="160" w:line="276"/>
      </w:pPr>
      <w:r>
        <w:rPr>
          <w:rFonts w:ascii="Calibri" w:cs="Calibri" w:eastAsia="Calibri" w:hAnsi="Calibri"/>
          <w:sz w:val="22"/>
          <w:szCs w:val="22"/>
        </w:rPr>
        <w:t xml:space="preserve">For the Moderate-categorized case-management system, the SAP scopes in all system-specific and hybrid Moderate-baseline controls; common controls are referenced from the enterprise infrastructure team's own current assessment rather than re-tested. Methods: examine SSP and configuration exports, interview the ISSO and control owners, and test technical controls including account provisioning and vulnerability remediation timeliness. Rules of engagement restrict active scanning to non-production hours with 24-hour advance notice to the System Owner.</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Starting the assessment before the SAP is approved removes the AO's opportunity to weigh in on scope and rigor up front — always get sign-off first, even under schedule pressure.</w:t>
      </w:r>
    </w:p>
    <w:p>
      <w:pPr>
        <w:pStyle w:val="ListParagraph"/>
        <w:numPr>
          <w:ilvl w:val="0"/>
          <w:numId w:val="2"/>
        </w:numPr>
        <w:spacing w:after="100"/>
      </w:pPr>
      <w:r>
        <w:rPr>
          <w:rFonts w:ascii="Calibri" w:cs="Calibri" w:eastAsia="Calibri" w:hAnsi="Calibri"/>
          <w:sz w:val="22"/>
          <w:szCs w:val="22"/>
        </w:rPr>
        <w:t xml:space="preserve">A SAP that doesn't specify how inherited/common controls will be handled leads to either wasted re-testing effort or an accidental gap where no one actually verified the inherited control at all.</w:t>
      </w:r>
    </w:p>
    <w:p>
      <w:pPr>
        <w:spacing w:after="200"/>
      </w:pPr>
    </w:p>
    <w:p>
      <w:pPr>
        <w:pStyle w:val="Heading2"/>
        <w:spacing w:after="150" w:before="300"/>
      </w:pPr>
      <w:r>
        <w:t xml:space="preserve">Walkthrough F: Running the Control Assessment</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6 - Control Assessment" in the NIST RMF Authorization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Independently test whether each in-scope control is actually satisfied, control by control, organized by the 20 SP 800-53 families.</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During the Assess step, per the approved SAP.</w:t>
      </w:r>
    </w:p>
    <w:p>
      <w:pPr>
        <w:pStyle w:val="Heading3"/>
        <w:spacing w:after="120" w:before="240"/>
      </w:pPr>
      <w:r>
        <w:t xml:space="preserve">Steps</w:t>
      </w:r>
    </w:p>
    <w:p>
      <w:pPr>
        <w:pStyle w:val="ListParagraph"/>
        <w:numPr>
          <w:ilvl w:val="0"/>
          <w:numId w:val="8"/>
        </w:numPr>
        <w:spacing w:after="100"/>
      </w:pPr>
      <w:r>
        <w:rPr>
          <w:rFonts w:ascii="Calibri" w:cs="Calibri" w:eastAsia="Calibri" w:hAnsi="Calibri"/>
          <w:sz w:val="22"/>
          <w:szCs w:val="22"/>
        </w:rPr>
        <w:t xml:space="preserve">For each control row, use the pre-filled assessment procedure summary (drawn from SP 800-53A) as your examine/interview/test starting point.</w:t>
      </w:r>
    </w:p>
    <w:p>
      <w:pPr>
        <w:pStyle w:val="ListParagraph"/>
        <w:numPr>
          <w:ilvl w:val="0"/>
          <w:numId w:val="8"/>
        </w:numPr>
        <w:spacing w:after="100"/>
      </w:pPr>
      <w:r>
        <w:rPr>
          <w:rFonts w:ascii="Calibri" w:cs="Calibri" w:eastAsia="Calibri" w:hAnsi="Calibri"/>
          <w:sz w:val="22"/>
          <w:szCs w:val="22"/>
        </w:rPr>
        <w:t xml:space="preserve">Gather at least one piece of objective evidence per control — a policy document alone is not sufficient evidence that a control is operating.</w:t>
      </w:r>
    </w:p>
    <w:p>
      <w:pPr>
        <w:pStyle w:val="ListParagraph"/>
        <w:numPr>
          <w:ilvl w:val="0"/>
          <w:numId w:val="8"/>
        </w:numPr>
        <w:spacing w:after="100"/>
      </w:pPr>
      <w:r>
        <w:rPr>
          <w:rFonts w:ascii="Calibri" w:cs="Calibri" w:eastAsia="Calibri" w:hAnsi="Calibri"/>
          <w:sz w:val="22"/>
          <w:szCs w:val="22"/>
        </w:rPr>
        <w:t xml:space="preserve">Record exactly what evidence was examined (document name/ID, interviewee, date, system observed) in enough detail that someone else could locate the same evidence later.</w:t>
      </w:r>
    </w:p>
    <w:p>
      <w:pPr>
        <w:pStyle w:val="ListParagraph"/>
        <w:numPr>
          <w:ilvl w:val="0"/>
          <w:numId w:val="8"/>
        </w:numPr>
        <w:spacing w:after="100"/>
      </w:pPr>
      <w:r>
        <w:rPr>
          <w:rFonts w:ascii="Calibri" w:cs="Calibri" w:eastAsia="Calibri" w:hAnsi="Calibri"/>
          <w:sz w:val="22"/>
          <w:szCs w:val="22"/>
        </w:rPr>
        <w:t xml:space="preserve">Mark each control's result: Satisfied or Other Than Satisfied. Avoid vague in-between judgments — if evidence is incomplete, that itself usually means Other Than Satisfied with a note on what's missing.</w:t>
      </w:r>
    </w:p>
    <w:p>
      <w:pPr>
        <w:pStyle w:val="ListParagraph"/>
        <w:numPr>
          <w:ilvl w:val="0"/>
          <w:numId w:val="8"/>
        </w:numPr>
        <w:spacing w:after="100"/>
      </w:pPr>
      <w:r>
        <w:rPr>
          <w:rFonts w:ascii="Calibri" w:cs="Calibri" w:eastAsia="Calibri" w:hAnsi="Calibri"/>
          <w:sz w:val="22"/>
          <w:szCs w:val="22"/>
        </w:rPr>
        <w:t xml:space="preserve">Every 'Other Than Satisfied' result becomes a weakness — cross-reference it into the POA&amp;M (Template 8).</w:t>
      </w:r>
    </w:p>
    <w:p>
      <w:pPr>
        <w:pStyle w:val="ListParagraph"/>
        <w:numPr>
          <w:ilvl w:val="0"/>
          <w:numId w:val="8"/>
        </w:numPr>
        <w:spacing w:after="100"/>
      </w:pPr>
      <w:r>
        <w:rPr>
          <w:rFonts w:ascii="Calibri" w:cs="Calibri" w:eastAsia="Calibri" w:hAnsi="Calibri"/>
          <w:sz w:val="22"/>
          <w:szCs w:val="22"/>
        </w:rPr>
        <w:t xml:space="preserve">Use a risk-based approach: spend more assessment depth on higher-impact controls and controls protecting higher-categorization data than on low-risk, low-impact areas.</w:t>
      </w:r>
    </w:p>
    <w:p>
      <w:pPr>
        <w:pStyle w:val="Heading3"/>
        <w:spacing w:after="120" w:before="240"/>
      </w:pPr>
      <w:r>
        <w:t xml:space="preserve">Worked example</w:t>
      </w:r>
    </w:p>
    <w:p>
      <w:pPr>
        <w:spacing w:after="160" w:line="276"/>
      </w:pPr>
      <w:r>
        <w:rPr>
          <w:rFonts w:ascii="Calibri" w:cs="Calibri" w:eastAsia="Calibri" w:hAnsi="Calibri"/>
          <w:sz w:val="22"/>
          <w:szCs w:val="22"/>
        </w:rPr>
        <w:t xml:space="preserve">AC-2 (Account Management): assessment procedure — examine account management procedures, interview the ISSO, and test a sample of 10 accounts for timely provisioning and deprovisioning. Evidence examined — account creation/termination logs for Q2 2026, an IAM configuration export, and interview notes. Result — Satisfied, all 10 sampled accounts were provisioned and deprovisioned within policy timeframes.</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Confusing 'the SSP describes this control' with 'this control is operating as described' is the single most common assessment mistake — always ask for the record that proves execution (a log entry, a completed form, a signed-off report), not just the procedure document.</w:t>
      </w:r>
    </w:p>
    <w:p>
      <w:pPr>
        <w:pStyle w:val="ListParagraph"/>
        <w:numPr>
          <w:ilvl w:val="0"/>
          <w:numId w:val="2"/>
        </w:numPr>
        <w:spacing w:after="100"/>
      </w:pPr>
      <w:r>
        <w:rPr>
          <w:rFonts w:ascii="Calibri" w:cs="Calibri" w:eastAsia="Calibri" w:hAnsi="Calibri"/>
          <w:sz w:val="22"/>
          <w:szCs w:val="22"/>
        </w:rPr>
        <w:t xml:space="preserve">Vague evidence notes (“confirmed via interview” with no name, date or specifics) make a Satisfied result indefensible if the SAR is later challenged — always name the who/what/when.</w:t>
      </w:r>
    </w:p>
    <w:p>
      <w:pPr>
        <w:spacing w:after="200"/>
      </w:pPr>
    </w:p>
    <w:p>
      <w:pPr>
        <w:pStyle w:val="Heading2"/>
        <w:spacing w:after="150" w:before="300"/>
      </w:pPr>
      <w:r>
        <w:t xml:space="preserve">Walkthrough G: Logging Evidence As You Go</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7 - Evidence Log" in the NIST RMF Authorization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Keep a single, chronological, defensible record of everything examined during the assessment.</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Continuously, throughout Assess — not reconstructed afterward from memory.</w:t>
      </w:r>
    </w:p>
    <w:p>
      <w:pPr>
        <w:pStyle w:val="Heading3"/>
        <w:spacing w:after="120" w:before="240"/>
      </w:pPr>
      <w:r>
        <w:t xml:space="preserve">Steps</w:t>
      </w:r>
    </w:p>
    <w:p>
      <w:pPr>
        <w:pStyle w:val="ListParagraph"/>
        <w:numPr>
          <w:ilvl w:val="0"/>
          <w:numId w:val="9"/>
        </w:numPr>
        <w:spacing w:after="100"/>
      </w:pPr>
      <w:r>
        <w:rPr>
          <w:rFonts w:ascii="Calibri" w:cs="Calibri" w:eastAsia="Calibri" w:hAnsi="Calibri"/>
          <w:sz w:val="22"/>
          <w:szCs w:val="22"/>
        </w:rPr>
        <w:t xml:space="preserve">Every time you review a document, interview someone, or test a technical control, add one row to Template 7 immediately.</w:t>
      </w:r>
    </w:p>
    <w:p>
      <w:pPr>
        <w:pStyle w:val="ListParagraph"/>
        <w:numPr>
          <w:ilvl w:val="0"/>
          <w:numId w:val="9"/>
        </w:numPr>
        <w:spacing w:after="100"/>
      </w:pPr>
      <w:r>
        <w:rPr>
          <w:rFonts w:ascii="Calibri" w:cs="Calibri" w:eastAsia="Calibri" w:hAnsi="Calibri"/>
          <w:sz w:val="22"/>
          <w:szCs w:val="22"/>
        </w:rPr>
        <w:t xml:space="preserve">Record a unique Evidence ID, date/time, source (person interviewed or document reference with version/date), the related control ID, and a specific description of what was examined.</w:t>
      </w:r>
    </w:p>
    <w:p>
      <w:pPr>
        <w:pStyle w:val="ListParagraph"/>
        <w:numPr>
          <w:ilvl w:val="0"/>
          <w:numId w:val="9"/>
        </w:numPr>
        <w:spacing w:after="100"/>
      </w:pPr>
      <w:r>
        <w:rPr>
          <w:rFonts w:ascii="Calibri" w:cs="Calibri" w:eastAsia="Calibri" w:hAnsi="Calibri"/>
          <w:sz w:val="22"/>
          <w:szCs w:val="22"/>
        </w:rPr>
        <w:t xml:space="preserve">Tag each row with what it supports: Supports Satisfied / Supports Other Than Satisfied / Needs Follow-up.</w:t>
      </w:r>
    </w:p>
    <w:p>
      <w:pPr>
        <w:pStyle w:val="ListParagraph"/>
        <w:numPr>
          <w:ilvl w:val="0"/>
          <w:numId w:val="9"/>
        </w:numPr>
        <w:spacing w:after="100"/>
      </w:pPr>
      <w:r>
        <w:rPr>
          <w:rFonts w:ascii="Calibri" w:cs="Calibri" w:eastAsia="Calibri" w:hAnsi="Calibri"/>
          <w:sz w:val="22"/>
          <w:szCs w:val="22"/>
        </w:rPr>
        <w:t xml:space="preserve">Cross-reference Evidence IDs from Template 6 (Control Assessment) and Template 9 (SAR Summary) back into this log so any result can be traced to its exact source.</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Reconstructing evidence notes at the end of the assessment day from memory is how a SAR loses credibility if it's ever challenged — log in real time, even briefly, then expand at the next break.</w:t>
      </w:r>
    </w:p>
    <w:p>
      <w:pPr>
        <w:spacing w:after="200"/>
      </w:pPr>
    </w:p>
    <w:p>
      <w:pPr>
        <w:pStyle w:val="Heading2"/>
        <w:spacing w:after="150" w:before="300"/>
      </w:pPr>
      <w:r>
        <w:t xml:space="preserve">Walkthrough H: Opening and Tracking the POA&amp;M</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8 - POA&amp;M" in the NIST RMF Authorization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Turn every Other-Than-Satisfied result into a tracked, resourced remediation item — and keep it alive through Monitor.</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Started as soon as the first weakness is identified in Assess; continues to be updated for the operational life of the system.</w:t>
      </w:r>
    </w:p>
    <w:p>
      <w:pPr>
        <w:pStyle w:val="Heading3"/>
        <w:spacing w:after="120" w:before="240"/>
      </w:pPr>
      <w:r>
        <w:t xml:space="preserve">Steps</w:t>
      </w:r>
    </w:p>
    <w:p>
      <w:pPr>
        <w:pStyle w:val="ListParagraph"/>
        <w:numPr>
          <w:ilvl w:val="0"/>
          <w:numId w:val="10"/>
        </w:numPr>
        <w:spacing w:after="100"/>
      </w:pPr>
      <w:r>
        <w:rPr>
          <w:rFonts w:ascii="Calibri" w:cs="Calibri" w:eastAsia="Calibri" w:hAnsi="Calibri"/>
          <w:sz w:val="22"/>
          <w:szCs w:val="22"/>
        </w:rPr>
        <w:t xml:space="preserve">For every control marked Other Than Satisfied in Template 6, create a POA&amp;M entry with a unique Weakness ID and a cross-reference to the control ID.</w:t>
      </w:r>
    </w:p>
    <w:p>
      <w:pPr>
        <w:pStyle w:val="ListParagraph"/>
        <w:numPr>
          <w:ilvl w:val="0"/>
          <w:numId w:val="10"/>
        </w:numPr>
        <w:spacing w:after="100"/>
      </w:pPr>
      <w:r>
        <w:rPr>
          <w:rFonts w:ascii="Calibri" w:cs="Calibri" w:eastAsia="Calibri" w:hAnsi="Calibri"/>
          <w:sz w:val="22"/>
          <w:szCs w:val="22"/>
        </w:rPr>
        <w:t xml:space="preserve">Describe the weakness specifically enough that someone unfamiliar with the assessment could understand what's wrong and why it matters.</w:t>
      </w:r>
    </w:p>
    <w:p>
      <w:pPr>
        <w:pStyle w:val="ListParagraph"/>
        <w:numPr>
          <w:ilvl w:val="0"/>
          <w:numId w:val="10"/>
        </w:numPr>
        <w:spacing w:after="100"/>
      </w:pPr>
      <w:r>
        <w:rPr>
          <w:rFonts w:ascii="Calibri" w:cs="Calibri" w:eastAsia="Calibri" w:hAnsi="Calibri"/>
          <w:sz w:val="22"/>
          <w:szCs w:val="22"/>
        </w:rPr>
        <w:t xml:space="preserve">Assign a risk rating (Low / Moderate / High / Very High) reflecting the actual residual risk, not just the severity of the underlying control gap in isolation.</w:t>
      </w:r>
    </w:p>
    <w:p>
      <w:pPr>
        <w:pStyle w:val="ListParagraph"/>
        <w:numPr>
          <w:ilvl w:val="0"/>
          <w:numId w:val="10"/>
        </w:numPr>
        <w:spacing w:after="100"/>
      </w:pPr>
      <w:r>
        <w:rPr>
          <w:rFonts w:ascii="Calibri" w:cs="Calibri" w:eastAsia="Calibri" w:hAnsi="Calibri"/>
          <w:sz w:val="22"/>
          <w:szCs w:val="22"/>
        </w:rPr>
        <w:t xml:space="preserve">Define the mitigation or corrective action, the resources required, and concrete milestones with dates — a POA&amp;M entry with no dates is not actionable.</w:t>
      </w:r>
    </w:p>
    <w:p>
      <w:pPr>
        <w:pStyle w:val="ListParagraph"/>
        <w:numPr>
          <w:ilvl w:val="0"/>
          <w:numId w:val="10"/>
        </w:numPr>
        <w:spacing w:after="100"/>
      </w:pPr>
      <w:r>
        <w:rPr>
          <w:rFonts w:ascii="Calibri" w:cs="Calibri" w:eastAsia="Calibri" w:hAnsi="Calibri"/>
          <w:sz w:val="22"/>
          <w:szCs w:val="22"/>
        </w:rPr>
        <w:t xml:space="preserve">Update status as remediation progresses (Open → In Progress → Completed, or Risk Accepted if the organization formally decides not to remediate), and record the completion date once verified.</w:t>
      </w:r>
    </w:p>
    <w:p>
      <w:pPr>
        <w:pStyle w:val="ListParagraph"/>
        <w:numPr>
          <w:ilvl w:val="0"/>
          <w:numId w:val="10"/>
        </w:numPr>
        <w:spacing w:after="100"/>
      </w:pPr>
      <w:r>
        <w:rPr>
          <w:rFonts w:ascii="Calibri" w:cs="Calibri" w:eastAsia="Calibri" w:hAnsi="Calibri"/>
          <w:sz w:val="22"/>
          <w:szCs w:val="22"/>
        </w:rPr>
        <w:t xml:space="preserve">During Monitor, continue adding new weaknesses discovered through ongoing assessment and updating existing entries — the POA&amp;M does not close out at Authorize; it persists for the system's operational life.</w:t>
      </w:r>
    </w:p>
    <w:p>
      <w:pPr>
        <w:pStyle w:val="Heading3"/>
        <w:spacing w:after="120" w:before="240"/>
      </w:pPr>
      <w:r>
        <w:t xml:space="preserve">Worked example</w:t>
      </w:r>
    </w:p>
    <w:p>
      <w:pPr>
        <w:spacing w:after="160" w:line="276"/>
      </w:pPr>
      <w:r>
        <w:rPr>
          <w:rFonts w:ascii="Calibri" w:cs="Calibri" w:eastAsia="Calibri" w:hAnsi="Calibri"/>
          <w:sz w:val="22"/>
          <w:szCs w:val="22"/>
        </w:rPr>
        <w:t xml:space="preserve">POAM-001: control SI-2 (Flaw Remediation). Weakness — critical vulnerability scan findings were not remediated within the 30-day policy window on 4 of 12 sampled hosts. Risk rating — Moderate. Mitigation — implement automated patch management with an enforced SLA and exception workflow. Resources — 0.5 FTE patch engineer plus a patch management tool license. Milestones — tool procured by 2026-09-01, all hosts enrolled by 2026-09-30, first fully SLA-compliant cycle by 2026-10-31. Status — Open.</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Treating the POA&amp;M as a one-time deliverable that gets filed away once the ATO is signed is a fundamental misunderstanding of the Monitor step — a stale POA&amp;M is one of the fastest ways to lose credibility with an Authorizing Official at reauthorization.</w:t>
      </w:r>
    </w:p>
    <w:p>
      <w:pPr>
        <w:pStyle w:val="ListParagraph"/>
        <w:numPr>
          <w:ilvl w:val="0"/>
          <w:numId w:val="2"/>
        </w:numPr>
        <w:spacing w:after="100"/>
      </w:pPr>
      <w:r>
        <w:rPr>
          <w:rFonts w:ascii="Calibri" w:cs="Calibri" w:eastAsia="Calibri" w:hAnsi="Calibri"/>
          <w:sz w:val="22"/>
          <w:szCs w:val="22"/>
        </w:rPr>
        <w:t xml:space="preserve">Vague milestones (“fix soon”) instead of dated, resourced ones make it impossible for the AO to judge whether a condition attached to authorization is actually being honored.</w:t>
      </w:r>
    </w:p>
    <w:p>
      <w:pPr>
        <w:spacing w:after="200"/>
      </w:pPr>
    </w:p>
    <w:p>
      <w:pPr>
        <w:pStyle w:val="Heading2"/>
        <w:spacing w:after="150" w:before="300"/>
      </w:pPr>
      <w:r>
        <w:t xml:space="preserve">Walkthrough I: Summarizing Results in the SAR</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9 - SAR Summary" in the NIST RMF Authorization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Roll the full control-by-control assessment up into the summary document the Authorizing Official will actually read in full.</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At the end of Assess, once all controls in scope have been tested and recorded in Template 6.</w:t>
      </w:r>
    </w:p>
    <w:p>
      <w:pPr>
        <w:pStyle w:val="Heading3"/>
        <w:spacing w:after="120" w:before="240"/>
      </w:pPr>
      <w:r>
        <w:t xml:space="preserve">Steps</w:t>
      </w:r>
    </w:p>
    <w:p>
      <w:pPr>
        <w:pStyle w:val="ListParagraph"/>
        <w:numPr>
          <w:ilvl w:val="0"/>
          <w:numId w:val="11"/>
        </w:numPr>
        <w:spacing w:after="100"/>
      </w:pPr>
      <w:r>
        <w:rPr>
          <w:rFonts w:ascii="Calibri" w:cs="Calibri" w:eastAsia="Calibri" w:hAnsi="Calibri"/>
          <w:sz w:val="22"/>
          <w:szCs w:val="22"/>
        </w:rPr>
        <w:t xml:space="preserve">Complete the header fields: system name, categorization, assessment dates, and the Control Assessor/SCA who performed the work.</w:t>
      </w:r>
    </w:p>
    <w:p>
      <w:pPr>
        <w:pStyle w:val="ListParagraph"/>
        <w:numPr>
          <w:ilvl w:val="0"/>
          <w:numId w:val="11"/>
        </w:numPr>
        <w:spacing w:after="100"/>
      </w:pPr>
      <w:r>
        <w:rPr>
          <w:rFonts w:ascii="Calibri" w:cs="Calibri" w:eastAsia="Calibri" w:hAnsi="Calibri"/>
          <w:sz w:val="22"/>
          <w:szCs w:val="22"/>
        </w:rPr>
        <w:t xml:space="preserve">Summarize the assessment scope actually covered, and state total controls assessed, how many were Satisfied, and how many were Other Than Satisfied.</w:t>
      </w:r>
    </w:p>
    <w:p>
      <w:pPr>
        <w:pStyle w:val="ListParagraph"/>
        <w:numPr>
          <w:ilvl w:val="0"/>
          <w:numId w:val="11"/>
        </w:numPr>
        <w:spacing w:after="100"/>
      </w:pPr>
      <w:r>
        <w:rPr>
          <w:rFonts w:ascii="Calibri" w:cs="Calibri" w:eastAsia="Calibri" w:hAnsi="Calibri"/>
          <w:sz w:val="22"/>
          <w:szCs w:val="22"/>
        </w:rPr>
        <w:t xml:space="preserve">Summarize the significant weaknesses found, cross-referencing their POA&amp;M IDs from Template 8 — don't restate weakness detail that already lives in the POA&amp;M.</w:t>
      </w:r>
    </w:p>
    <w:p>
      <w:pPr>
        <w:pStyle w:val="ListParagraph"/>
        <w:numPr>
          <w:ilvl w:val="0"/>
          <w:numId w:val="11"/>
        </w:numPr>
        <w:spacing w:after="100"/>
      </w:pPr>
      <w:r>
        <w:rPr>
          <w:rFonts w:ascii="Calibri" w:cs="Calibri" w:eastAsia="Calibri" w:hAnsi="Calibri"/>
          <w:sz w:val="22"/>
          <w:szCs w:val="22"/>
        </w:rPr>
        <w:t xml:space="preserve">State the assessor's overall risk statement: an honest, evidence-based judgment of the system's security posture, not a simple pass/fail.</w:t>
      </w:r>
    </w:p>
    <w:p>
      <w:pPr>
        <w:pStyle w:val="ListParagraph"/>
        <w:numPr>
          <w:ilvl w:val="0"/>
          <w:numId w:val="11"/>
        </w:numPr>
        <w:spacing w:after="100"/>
      </w:pPr>
      <w:r>
        <w:rPr>
          <w:rFonts w:ascii="Calibri" w:cs="Calibri" w:eastAsia="Calibri" w:hAnsi="Calibri"/>
          <w:sz w:val="22"/>
          <w:szCs w:val="22"/>
        </w:rPr>
        <w:t xml:space="preserve">Make a clear recommendation to the AO: proceed to Authorize, proceed with conditions, or remediate specific items before Authorize.</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A SAR that lists findings but offers no overall risk statement or recommendation leaves the AO without what they actually need to make a decision — always state a clear conclusion, even though the final call belongs to the AO, not the assessor.</w:t>
      </w:r>
    </w:p>
    <w:p>
      <w:pPr>
        <w:spacing w:after="200"/>
      </w:pPr>
    </w:p>
    <w:p>
      <w:pPr>
        <w:pStyle w:val="Heading2"/>
        <w:spacing w:after="150" w:before="300"/>
      </w:pPr>
      <w:r>
        <w:t xml:space="preserve">Walkthrough J: Recording the Authorization Decision</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10 - AO Decision" in the NIST RMF Authorization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Document the Authorizing Official's formal, non-delegable risk-acceptance decision.</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At the Authorize step, once the AO has reviewed the complete authorization package (executive summary, SSP, SAR, POA&amp;M).</w:t>
      </w:r>
    </w:p>
    <w:p>
      <w:pPr>
        <w:pStyle w:val="Heading3"/>
        <w:spacing w:after="120" w:before="240"/>
      </w:pPr>
      <w:r>
        <w:t xml:space="preserve">Steps</w:t>
      </w:r>
    </w:p>
    <w:p>
      <w:pPr>
        <w:pStyle w:val="ListParagraph"/>
        <w:numPr>
          <w:ilvl w:val="0"/>
          <w:numId w:val="12"/>
        </w:numPr>
        <w:spacing w:after="100"/>
      </w:pPr>
      <w:r>
        <w:rPr>
          <w:rFonts w:ascii="Calibri" w:cs="Calibri" w:eastAsia="Calibri" w:hAnsi="Calibri"/>
          <w:sz w:val="22"/>
          <w:szCs w:val="22"/>
        </w:rPr>
        <w:t xml:space="preserve">Confirm the AO has actually reviewed the full package — this record documents a real decision, not a rubber stamp.</w:t>
      </w:r>
    </w:p>
    <w:p>
      <w:pPr>
        <w:pStyle w:val="ListParagraph"/>
        <w:numPr>
          <w:ilvl w:val="0"/>
          <w:numId w:val="12"/>
        </w:numPr>
        <w:spacing w:after="100"/>
      </w:pPr>
      <w:r>
        <w:rPr>
          <w:rFonts w:ascii="Calibri" w:cs="Calibri" w:eastAsia="Calibri" w:hAnsi="Calibri"/>
          <w:sz w:val="22"/>
          <w:szCs w:val="22"/>
        </w:rPr>
        <w:t xml:space="preserve">Summarize the SAR results and residual risk in the AO's own terms, referencing Templates 9 and 8.</w:t>
      </w:r>
    </w:p>
    <w:p>
      <w:pPr>
        <w:pStyle w:val="ListParagraph"/>
        <w:numPr>
          <w:ilvl w:val="0"/>
          <w:numId w:val="12"/>
        </w:numPr>
        <w:spacing w:after="100"/>
      </w:pPr>
      <w:r>
        <w:rPr>
          <w:rFonts w:ascii="Calibri" w:cs="Calibri" w:eastAsia="Calibri" w:hAnsi="Calibri"/>
          <w:sz w:val="22"/>
          <w:szCs w:val="22"/>
        </w:rPr>
        <w:t xml:space="preserve">Record the AO's decision: Authorized, Authorized with Conditions, or Denial (Denied Authorization to Operate).</w:t>
      </w:r>
    </w:p>
    <w:p>
      <w:pPr>
        <w:pStyle w:val="ListParagraph"/>
        <w:numPr>
          <w:ilvl w:val="0"/>
          <w:numId w:val="12"/>
        </w:numPr>
        <w:spacing w:after="100"/>
      </w:pPr>
      <w:r>
        <w:rPr>
          <w:rFonts w:ascii="Calibri" w:cs="Calibri" w:eastAsia="Calibri" w:hAnsi="Calibri"/>
          <w:sz w:val="22"/>
          <w:szCs w:val="22"/>
        </w:rPr>
        <w:t xml:space="preserve">If conditions are attached, state them specifically and with dates — e.g. a required POA&amp;M remediation deadline or a reporting cadence to the AO.</w:t>
      </w:r>
    </w:p>
    <w:p>
      <w:pPr>
        <w:pStyle w:val="ListParagraph"/>
        <w:numPr>
          <w:ilvl w:val="0"/>
          <w:numId w:val="12"/>
        </w:numPr>
        <w:spacing w:after="100"/>
      </w:pPr>
      <w:r>
        <w:rPr>
          <w:rFonts w:ascii="Calibri" w:cs="Calibri" w:eastAsia="Calibri" w:hAnsi="Calibri"/>
          <w:sz w:val="22"/>
          <w:szCs w:val="22"/>
        </w:rPr>
        <w:t xml:space="preserve">Set the authorization termination date, and note whether the system is expected to transition toward ongoing authorization (supported by strong ConMon) rather than a hard reauthorization cliff.</w:t>
      </w:r>
    </w:p>
    <w:p>
      <w:pPr>
        <w:pStyle w:val="ListParagraph"/>
        <w:numPr>
          <w:ilvl w:val="0"/>
          <w:numId w:val="12"/>
        </w:numPr>
        <w:spacing w:after="100"/>
      </w:pPr>
      <w:r>
        <w:rPr>
          <w:rFonts w:ascii="Calibri" w:cs="Calibri" w:eastAsia="Calibri" w:hAnsi="Calibri"/>
          <w:sz w:val="22"/>
          <w:szCs w:val="22"/>
        </w:rPr>
        <w:t xml:space="preserve">Have the AO sign and date the record. If an AODR helped prepare the package, note that explicitly — but the signature and decision must be the AO's own.</w:t>
      </w:r>
    </w:p>
    <w:p>
      <w:pPr>
        <w:pStyle w:val="Heading3"/>
        <w:spacing w:after="120" w:before="240"/>
      </w:pPr>
      <w:r>
        <w:t xml:space="preserve">Worked example</w:t>
      </w:r>
    </w:p>
    <w:p>
      <w:pPr>
        <w:spacing w:after="160" w:line="276"/>
      </w:pPr>
      <w:r>
        <w:rPr>
          <w:rFonts w:ascii="Calibri" w:cs="Calibri" w:eastAsia="Calibri" w:hAnsi="Calibri"/>
          <w:sz w:val="22"/>
          <w:szCs w:val="22"/>
        </w:rPr>
        <w:t xml:space="preserve">The case-management system's SAR shows 40 of 43 assessed controls Satisfied, with 3 Other Than Satisfied tracked in POA&amp;M items 001–003. The AO reviews the package, judges the residual risk Moderate and consistent with the agency's stated risk tolerance given the planned remediation timeline, and issues an Authorized with Conditions decision: POAM-001 must be remediated within 60 days, with monthly POA&amp;M status reporting to the AO until closure. Termination date set three years out.</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Letting an AODR sign the actual decision line, even informally, is a compliance failure — the risk-acceptance decision is legally and organizationally the AO's alone.</w:t>
      </w:r>
    </w:p>
    <w:p>
      <w:pPr>
        <w:pStyle w:val="ListParagraph"/>
        <w:numPr>
          <w:ilvl w:val="0"/>
          <w:numId w:val="2"/>
        </w:numPr>
        <w:spacing w:after="100"/>
      </w:pPr>
      <w:r>
        <w:rPr>
          <w:rFonts w:ascii="Calibri" w:cs="Calibri" w:eastAsia="Calibri" w:hAnsi="Calibri"/>
          <w:sz w:val="22"/>
          <w:szCs w:val="22"/>
        </w:rPr>
        <w:t xml:space="preserve">Issuing an unconditional Authorized decision while POA&amp;M items sit open with no attached conditions or reporting requirement quietly defeats the purpose of tracking them at all — conditions should tie directly to open POA&amp;M items when risk isn't fully closed out.</w:t>
      </w:r>
    </w:p>
    <w:p>
      <w:pPr>
        <w:spacing w:after="200"/>
      </w:pPr>
    </w:p>
    <w:p>
      <w:pPr>
        <w:pStyle w:val="Heading2"/>
        <w:spacing w:after="150" w:before="300"/>
      </w:pPr>
      <w:r>
        <w:t xml:space="preserve">Walkthrough K: Building the Continuous Monitoring Schedule</w:t>
      </w:r>
    </w:p>
    <w:tbl>
      <w:tblPr>
        <w:tblW w:type="pct" w:w="100%"/>
        <w:tblBorders>
          <w:top w:val="single" w:color="2E5395" w:sz="4"/>
          <w:left w:val="single" w:color="2E5395" w:sz="4"/>
          <w:bottom w:val="single" w:color="2E5395" w:sz="4"/>
          <w:right w:val="single" w:color="2E5395" w:sz="4"/>
          <w:insideH w:val="single" w:color="auto" w:sz="4"/>
          <w:insideV w:val="single" w:color="auto" w:sz="4"/>
        </w:tblBorders>
      </w:tblPr>
      <w:tblGrid>
        <w:gridCol w:w="100"/>
      </w:tblGrid>
      <w:tr>
        <w:trPr>
          <w:cantSplit/>
        </w:trPr>
        <w:tc>
          <w:tcPr>
            <w:shd w:fill="DCE6F1" w:val="clear"/>
            <w:tcMar>
              <w:top w:type="dxa" w:w="120"/>
              <w:left w:type="dxa" w:w="150"/>
              <w:bottom w:type="dxa" w:w="120"/>
              <w:right w:type="dxa" w:w="150"/>
            </w:tcMar>
          </w:tcPr>
          <w:p>
            <w:r>
              <w:rPr>
                <w:rFonts w:ascii="Calibri" w:cs="Calibri" w:eastAsia="Calibri" w:hAnsi="Calibri"/>
                <w:b/>
                <w:bCs/>
                <w:color w:val="1F3864"/>
                <w:sz w:val="22"/>
                <w:szCs w:val="22"/>
              </w:rPr>
              <w:t xml:space="preserve">Companion template:  </w:t>
            </w:r>
            <w:r>
              <w:rPr>
                <w:rFonts w:ascii="Calibri" w:cs="Calibri" w:eastAsia="Calibri" w:hAnsi="Calibri"/>
                <w:sz w:val="22"/>
                <w:szCs w:val="22"/>
              </w:rPr>
              <w:t xml:space="preserve">Open "Template 11 - ConMon Schedule" in the NIST RMF Authorization Toolkit workbook while you read this section.</w:t>
            </w:r>
          </w:p>
        </w:tc>
      </w:tr>
    </w:tbl>
    <w:p>
      <w:pPr>
        <w:spacing w:after="120"/>
      </w:pPr>
    </w:p>
    <w:p>
      <w:pPr>
        <w:spacing w:after="160" w:line="276"/>
      </w:pPr>
      <w:r>
        <w:rPr>
          <w:rFonts w:ascii="Calibri" w:cs="Calibri" w:eastAsia="Calibri" w:hAnsi="Calibri"/>
          <w:b/>
          <w:bCs/>
          <w:i w:val="false"/>
          <w:iCs w:val="false"/>
          <w:sz w:val="22"/>
          <w:szCs w:val="22"/>
        </w:rPr>
        <w:t xml:space="preserve">Goal: </w:t>
      </w:r>
      <w:r>
        <w:rPr>
          <w:rFonts w:ascii="Calibri" w:cs="Calibri" w:eastAsia="Calibri" w:hAnsi="Calibri"/>
          <w:b w:val="false"/>
          <w:bCs w:val="false"/>
          <w:i w:val="false"/>
          <w:iCs w:val="false"/>
          <w:sz w:val="22"/>
          <w:szCs w:val="22"/>
        </w:rPr>
        <w:t xml:space="preserve">Turn the ConMon strategy sketched in Prepare and refined in Select into an operating cadence that supports ongoing authorization.</w:t>
      </w:r>
    </w:p>
    <w:p>
      <w:pPr>
        <w:spacing w:after="160" w:line="276"/>
      </w:pPr>
      <w:r>
        <w:rPr>
          <w:rFonts w:ascii="Calibri" w:cs="Calibri" w:eastAsia="Calibri" w:hAnsi="Calibri"/>
          <w:b/>
          <w:bCs/>
          <w:i w:val="false"/>
          <w:iCs w:val="false"/>
          <w:sz w:val="22"/>
          <w:szCs w:val="22"/>
        </w:rPr>
        <w:t xml:space="preserve">When to use it: </w:t>
      </w:r>
      <w:r>
        <w:rPr>
          <w:rFonts w:ascii="Calibri" w:cs="Calibri" w:eastAsia="Calibri" w:hAnsi="Calibri"/>
          <w:b w:val="false"/>
          <w:bCs w:val="false"/>
          <w:i w:val="false"/>
          <w:iCs w:val="false"/>
          <w:sz w:val="22"/>
          <w:szCs w:val="22"/>
        </w:rPr>
        <w:t xml:space="preserve">Finalized once the system is authorized; reviewed and updated continuously throughout Monitor.</w:t>
      </w:r>
    </w:p>
    <w:p>
      <w:pPr>
        <w:pStyle w:val="Heading3"/>
        <w:spacing w:after="120" w:before="240"/>
      </w:pPr>
      <w:r>
        <w:t xml:space="preserve">Steps</w:t>
      </w:r>
    </w:p>
    <w:p>
      <w:pPr>
        <w:pStyle w:val="ListParagraph"/>
        <w:numPr>
          <w:ilvl w:val="0"/>
          <w:numId w:val="13"/>
        </w:numPr>
        <w:spacing w:after="100"/>
      </w:pPr>
      <w:r>
        <w:rPr>
          <w:rFonts w:ascii="Calibri" w:cs="Calibri" w:eastAsia="Calibri" w:hAnsi="Calibri"/>
          <w:sz w:val="22"/>
          <w:szCs w:val="22"/>
        </w:rPr>
        <w:t xml:space="preserve">List each control family (or, for a more granular schedule, each individual control) down the rows.</w:t>
      </w:r>
    </w:p>
    <w:p>
      <w:pPr>
        <w:pStyle w:val="ListParagraph"/>
        <w:numPr>
          <w:ilvl w:val="0"/>
          <w:numId w:val="13"/>
        </w:numPr>
        <w:spacing w:after="100"/>
      </w:pPr>
      <w:r>
        <w:rPr>
          <w:rFonts w:ascii="Calibri" w:cs="Calibri" w:eastAsia="Calibri" w:hAnsi="Calibri"/>
          <w:sz w:val="22"/>
          <w:szCs w:val="22"/>
        </w:rPr>
        <w:t xml:space="preserve">For each, define the monitoring method (automated scanning, manual review, log analysis, access recertification, etc.) and frequency appropriate to the control's risk and volatility.</w:t>
      </w:r>
    </w:p>
    <w:p>
      <w:pPr>
        <w:pStyle w:val="ListParagraph"/>
        <w:numPr>
          <w:ilvl w:val="0"/>
          <w:numId w:val="13"/>
        </w:numPr>
        <w:spacing w:after="100"/>
      </w:pPr>
      <w:r>
        <w:rPr>
          <w:rFonts w:ascii="Calibri" w:cs="Calibri" w:eastAsia="Calibri" w:hAnsi="Calibri"/>
          <w:sz w:val="22"/>
          <w:szCs w:val="22"/>
        </w:rPr>
        <w:t xml:space="preserve">Assign a responsible party for executing and reviewing each monitoring activity.</w:t>
      </w:r>
    </w:p>
    <w:p>
      <w:pPr>
        <w:pStyle w:val="ListParagraph"/>
        <w:numPr>
          <w:ilvl w:val="0"/>
          <w:numId w:val="13"/>
        </w:numPr>
        <w:spacing w:after="100"/>
      </w:pPr>
      <w:r>
        <w:rPr>
          <w:rFonts w:ascii="Calibri" w:cs="Calibri" w:eastAsia="Calibri" w:hAnsi="Calibri"/>
          <w:sz w:val="22"/>
          <w:szCs w:val="22"/>
        </w:rPr>
        <w:t xml:space="preserve">Track the last-reviewed date and next-due date so monitoring cadence is auditable, not just aspirational.</w:t>
      </w:r>
    </w:p>
    <w:p>
      <w:pPr>
        <w:pStyle w:val="ListParagraph"/>
        <w:numPr>
          <w:ilvl w:val="0"/>
          <w:numId w:val="13"/>
        </w:numPr>
        <w:spacing w:after="100"/>
      </w:pPr>
      <w:r>
        <w:rPr>
          <w:rFonts w:ascii="Calibri" w:cs="Calibri" w:eastAsia="Calibri" w:hAnsi="Calibri"/>
          <w:sz w:val="22"/>
          <w:szCs w:val="22"/>
        </w:rPr>
        <w:t xml:space="preserve">Feed significant findings from ConMon activities back into the POA&amp;M (Template 8), and feed a materially changed risk posture back to the AO — this is what makes 'ongoing authorization' actually ongoing rather than a slogan.</w:t>
      </w:r>
    </w:p>
    <w:p>
      <w:pPr>
        <w:pStyle w:val="Heading3"/>
        <w:spacing w:after="120" w:before="240"/>
      </w:pPr>
      <w:r>
        <w:t xml:space="preserve">Worked example</w:t>
      </w:r>
    </w:p>
    <w:p>
      <w:pPr>
        <w:spacing w:after="160" w:line="276"/>
      </w:pPr>
      <w:r>
        <w:rPr>
          <w:rFonts w:ascii="Calibri" w:cs="Calibri" w:eastAsia="Calibri" w:hAnsi="Calibri"/>
          <w:sz w:val="22"/>
          <w:szCs w:val="22"/>
        </w:rPr>
        <w:t xml:space="preserve">RA family: automated vulnerability scanning runs weekly, with a manual trend review conducted quarterly by the ISSO. Last reviewed 2026-08-10, next due 2026-08-17 for the weekly scan cadence.</w:t>
      </w:r>
    </w:p>
    <w:p>
      <w:pPr>
        <w:pStyle w:val="Heading3"/>
        <w:spacing w:after="120" w:before="240"/>
      </w:pPr>
      <w:r>
        <w:t xml:space="preserve">Common mistakes to avoid</w:t>
      </w:r>
    </w:p>
    <w:p>
      <w:pPr>
        <w:pStyle w:val="ListParagraph"/>
        <w:numPr>
          <w:ilvl w:val="0"/>
          <w:numId w:val="2"/>
        </w:numPr>
        <w:spacing w:after="100"/>
      </w:pPr>
      <w:r>
        <w:rPr>
          <w:rFonts w:ascii="Calibri" w:cs="Calibri" w:eastAsia="Calibri" w:hAnsi="Calibri"/>
          <w:sz w:val="22"/>
          <w:szCs w:val="22"/>
        </w:rPr>
        <w:t xml:space="preserve">A ConMon schedule that exists on paper but isn't actually being executed on its stated cadence gives the AO false confidence in the currency of the authorization — treat missed monitoring cycles themselves as a finding.</w:t>
      </w:r>
    </w:p>
    <w:p>
      <w:pPr>
        <w:pStyle w:val="ListParagraph"/>
        <w:numPr>
          <w:ilvl w:val="0"/>
          <w:numId w:val="2"/>
        </w:numPr>
        <w:spacing w:after="100"/>
      </w:pPr>
      <w:r>
        <w:rPr>
          <w:rFonts w:ascii="Calibri" w:cs="Calibri" w:eastAsia="Calibri" w:hAnsi="Calibri"/>
          <w:sz w:val="22"/>
          <w:szCs w:val="22"/>
        </w:rPr>
        <w:t xml:space="preserve">Applying the exact same monitoring frequency to every control regardless of risk or volatility wastes effort on stable, low-risk controls while under-monitoring the ones that actually change — weight cadence to risk, not convenience.</w:t>
      </w:r>
    </w:p>
    <w:p>
      <w:pPr>
        <w:spacing w:after="200"/>
      </w:pPr>
    </w:p>
    <w:p>
      <w:r>
        <w:br w:type="page"/>
      </w:r>
    </w:p>
    <w:p>
      <w:pPr>
        <w:pStyle w:val="Heading1"/>
        <w:spacing w:after="200" w:before="400"/>
      </w:pPr>
      <w:r>
        <w:t xml:space="preserve">Part Five – Reusing the Toolkit for Continuous Monitoring and Reauthorization</w:t>
      </w:r>
    </w:p>
    <w:p>
      <w:pPr>
        <w:pStyle w:val="Heading2"/>
        <w:spacing w:after="150" w:before="300"/>
      </w:pPr>
      <w:r>
        <w:t xml:space="preserve">5.1 Treat the Toolkit as a Living System, Not a One-Off Package</w:t>
      </w:r>
    </w:p>
    <w:p>
      <w:pPr>
        <w:pStyle w:val="ListParagraph"/>
        <w:numPr>
          <w:ilvl w:val="0"/>
          <w:numId w:val="2"/>
        </w:numPr>
        <w:spacing w:after="100"/>
      </w:pPr>
      <w:r>
        <w:rPr>
          <w:rFonts w:ascii="Calibri" w:cs="Calibri" w:eastAsia="Calibri" w:hAnsi="Calibri"/>
          <w:sz w:val="22"/>
          <w:szCs w:val="22"/>
        </w:rPr>
        <w:t xml:space="preserve">Version-control the workbook (e.g. filename or tab date-stamped per major update) so you can compare risk posture over time.</w:t>
      </w:r>
    </w:p>
    <w:p>
      <w:pPr>
        <w:pStyle w:val="ListParagraph"/>
        <w:numPr>
          <w:ilvl w:val="0"/>
          <w:numId w:val="2"/>
        </w:numPr>
        <w:spacing w:after="100"/>
      </w:pPr>
      <w:r>
        <w:rPr>
          <w:rFonts w:ascii="Calibri" w:cs="Calibri" w:eastAsia="Calibri" w:hAnsi="Calibri"/>
          <w:sz w:val="22"/>
          <w:szCs w:val="22"/>
        </w:rPr>
        <w:t xml:space="preserve">Keep Template 8 (POA&amp;M) and Template 11 (ConMon Schedule) open and current for the entire operational life of the system — these two tabs are never 'done.'</w:t>
      </w:r>
    </w:p>
    <w:p>
      <w:pPr>
        <w:pStyle w:val="ListParagraph"/>
        <w:numPr>
          <w:ilvl w:val="0"/>
          <w:numId w:val="2"/>
        </w:numPr>
        <w:spacing w:after="100"/>
      </w:pPr>
      <w:r>
        <w:rPr>
          <w:rFonts w:ascii="Calibri" w:cs="Calibri" w:eastAsia="Calibri" w:hAnsi="Calibri"/>
          <w:sz w:val="22"/>
          <w:szCs w:val="22"/>
        </w:rPr>
        <w:t xml:space="preserve">When a significant change occurs (new system component, major architecture change, new threat), revisit Categorize and Select rather than assuming the existing authorization still covers it.</w:t>
      </w:r>
    </w:p>
    <w:p>
      <w:pPr>
        <w:pStyle w:val="ListParagraph"/>
        <w:numPr>
          <w:ilvl w:val="0"/>
          <w:numId w:val="2"/>
        </w:numPr>
        <w:spacing w:after="100"/>
      </w:pPr>
      <w:r>
        <w:rPr>
          <w:rFonts w:ascii="Calibri" w:cs="Calibri" w:eastAsia="Calibri" w:hAnsi="Calibri"/>
          <w:sz w:val="22"/>
          <w:szCs w:val="22"/>
        </w:rPr>
        <w:t xml:space="preserve">Feed ConMon findings and POA&amp;M status into a running risk-posture summary for the AO, so ongoing authorization is genuinely informed by current data, not just the original assessment.</w:t>
      </w:r>
    </w:p>
    <w:p>
      <w:pPr>
        <w:pStyle w:val="Heading2"/>
        <w:spacing w:after="150" w:before="300"/>
      </w:pPr>
      <w:r>
        <w:t xml:space="preserve">5.2 Preparing for Reauthorization</w:t>
      </w:r>
    </w:p>
    <w:p>
      <w:pPr>
        <w:pStyle w:val="ListParagraph"/>
        <w:numPr>
          <w:ilvl w:val="0"/>
          <w:numId w:val="2"/>
        </w:numPr>
        <w:spacing w:after="100"/>
      </w:pPr>
      <w:r>
        <w:rPr>
          <w:rFonts w:ascii="Calibri" w:cs="Calibri" w:eastAsia="Calibri" w:hAnsi="Calibri"/>
          <w:sz w:val="22"/>
          <w:szCs w:val="22"/>
        </w:rPr>
        <w:t xml:space="preserve">Before the authorization termination date, assess whether the system's ConMon posture is strong enough to support ongoing authorization instead of a full point-in-time reassessment.</w:t>
      </w:r>
    </w:p>
    <w:p>
      <w:pPr>
        <w:pStyle w:val="ListParagraph"/>
        <w:numPr>
          <w:ilvl w:val="0"/>
          <w:numId w:val="2"/>
        </w:numPr>
        <w:spacing w:after="100"/>
      </w:pPr>
      <w:r>
        <w:rPr>
          <w:rFonts w:ascii="Calibri" w:cs="Calibri" w:eastAsia="Calibri" w:hAnsi="Calibri"/>
          <w:sz w:val="22"/>
          <w:szCs w:val="22"/>
        </w:rPr>
        <w:t xml:space="preserve">If a full reauthorization is needed, treat it as a fresh pass through Categorize–Authorize using the same templates, informed by everything captured during Monitor since the last authorization.</w:t>
      </w:r>
    </w:p>
    <w:p>
      <w:pPr>
        <w:pStyle w:val="ListParagraph"/>
        <w:numPr>
          <w:ilvl w:val="0"/>
          <w:numId w:val="2"/>
        </w:numPr>
        <w:spacing w:after="100"/>
      </w:pPr>
      <w:r>
        <w:rPr>
          <w:rFonts w:ascii="Calibri" w:cs="Calibri" w:eastAsia="Calibri" w:hAnsi="Calibri"/>
          <w:sz w:val="22"/>
          <w:szCs w:val="22"/>
        </w:rPr>
        <w:t xml:space="preserve">Carry forward any open POA&amp;M items into the new authorization package's SAR summary — never present a reauthorization package as if prior known weaknesses didn't exist.</w:t>
      </w:r>
    </w:p>
    <w:p>
      <w:pPr>
        <w:pStyle w:val="Heading2"/>
        <w:spacing w:after="150" w:before="300"/>
      </w:pPr>
      <w:r>
        <w:t xml:space="preserve">5.3 Growing From Beginner to Confident RMF Practitioner</w:t>
      </w:r>
    </w:p>
    <w:p>
      <w:pPr>
        <w:pStyle w:val="ListParagraph"/>
        <w:numPr>
          <w:ilvl w:val="0"/>
          <w:numId w:val="2"/>
        </w:numPr>
        <w:spacing w:after="100"/>
      </w:pPr>
      <w:r>
        <w:rPr>
          <w:rFonts w:ascii="Calibri" w:cs="Calibri" w:eastAsia="Calibri" w:hAnsi="Calibri"/>
          <w:sz w:val="22"/>
          <w:szCs w:val="22"/>
        </w:rPr>
        <w:t xml:space="preserve">Shadow an experienced ISSO or Control Assessor on your first authorization package before leading one yourself.</w:t>
      </w:r>
    </w:p>
    <w:p>
      <w:pPr>
        <w:pStyle w:val="ListParagraph"/>
        <w:numPr>
          <w:ilvl w:val="0"/>
          <w:numId w:val="2"/>
        </w:numPr>
        <w:spacing w:after="100"/>
      </w:pPr>
      <w:r>
        <w:rPr>
          <w:rFonts w:ascii="Calibri" w:cs="Calibri" w:eastAsia="Calibri" w:hAnsi="Calibri"/>
          <w:sz w:val="22"/>
          <w:szCs w:val="22"/>
        </w:rPr>
        <w:t xml:space="preserve">After each assessment, do a short personal retrospective: which evidence requests produced the clearest results? Which weaknesses were hardest to rate, and why?</w:t>
      </w:r>
    </w:p>
    <w:p>
      <w:pPr>
        <w:pStyle w:val="ListParagraph"/>
        <w:numPr>
          <w:ilvl w:val="0"/>
          <w:numId w:val="2"/>
        </w:numPr>
        <w:spacing w:after="100"/>
      </w:pPr>
      <w:r>
        <w:rPr>
          <w:rFonts w:ascii="Calibri" w:cs="Calibri" w:eastAsia="Calibri" w:hAnsi="Calibri"/>
          <w:sz w:val="22"/>
          <w:szCs w:val="22"/>
        </w:rPr>
        <w:t xml:space="preserve">Keep building your own bank of clear, well-evidenced weakness descriptions — nothing improves POA&amp;M-writing faster than reviewing real examples.</w:t>
      </w:r>
    </w:p>
    <w:p>
      <w:pPr>
        <w:pStyle w:val="ListParagraph"/>
        <w:numPr>
          <w:ilvl w:val="0"/>
          <w:numId w:val="2"/>
        </w:numPr>
        <w:spacing w:after="100"/>
      </w:pPr>
      <w:r>
        <w:rPr>
          <w:rFonts w:ascii="Calibri" w:cs="Calibri" w:eastAsia="Calibri" w:hAnsi="Calibri"/>
          <w:sz w:val="22"/>
          <w:szCs w:val="22"/>
        </w:rPr>
        <w:t xml:space="preserve">Stay current: SP 800-53 and SP 800-37 are both periodically updated (SP 800-53 Rev 5.2.0 was published August 2025) — revisit official NIST guidance periodically rather than relying on memory of an earlier revision.</w:t>
      </w:r>
    </w:p>
    <w:p>
      <w:r>
        <w:br w:type="page"/>
      </w:r>
    </w:p>
    <w:p>
      <w:pPr>
        <w:pStyle w:val="Heading1"/>
        <w:spacing w:after="200" w:before="400"/>
      </w:pPr>
      <w:r>
        <w:t xml:space="preserve">Glossary</w:t>
      </w:r>
    </w:p>
    <w:p>
      <w:pPr>
        <w:spacing w:after="160" w:line="276"/>
      </w:pPr>
      <w:r>
        <w:rPr>
          <w:rFonts w:ascii="Calibri" w:cs="Calibri" w:eastAsia="Calibri" w:hAnsi="Calibri"/>
          <w:b/>
          <w:bCs/>
          <w:i w:val="false"/>
          <w:iCs w:val="false"/>
          <w:sz w:val="22"/>
          <w:szCs w:val="22"/>
        </w:rPr>
        <w:t xml:space="preserve">Authorization to Operate (ATO): </w:t>
      </w:r>
      <w:r>
        <w:rPr>
          <w:rFonts w:ascii="Calibri" w:cs="Calibri" w:eastAsia="Calibri" w:hAnsi="Calibri"/>
          <w:b w:val="false"/>
          <w:bCs w:val="false"/>
          <w:i w:val="false"/>
          <w:iCs w:val="false"/>
          <w:sz w:val="22"/>
          <w:szCs w:val="22"/>
        </w:rPr>
        <w:t xml:space="preserve">The formal decision by an Authorizing Official that a system's risk is acceptable and it may operate (or continue operating).</w:t>
      </w:r>
    </w:p>
    <w:p>
      <w:pPr>
        <w:spacing w:after="160" w:line="276"/>
      </w:pPr>
      <w:r>
        <w:rPr>
          <w:rFonts w:ascii="Calibri" w:cs="Calibri" w:eastAsia="Calibri" w:hAnsi="Calibri"/>
          <w:b/>
          <w:bCs/>
          <w:i w:val="false"/>
          <w:iCs w:val="false"/>
          <w:sz w:val="22"/>
          <w:szCs w:val="22"/>
        </w:rPr>
        <w:t xml:space="preserve">Authorizing Official (AO): </w:t>
      </w:r>
      <w:r>
        <w:rPr>
          <w:rFonts w:ascii="Calibri" w:cs="Calibri" w:eastAsia="Calibri" w:hAnsi="Calibri"/>
          <w:b w:val="false"/>
          <w:bCs w:val="false"/>
          <w:i w:val="false"/>
          <w:iCs w:val="false"/>
          <w:sz w:val="22"/>
          <w:szCs w:val="22"/>
        </w:rPr>
        <w:t xml:space="preserve">The senior federal official empowered to accept, on behalf of the organization, the risk of operating an information system. The ATO decision cannot be delegated to anyone else.</w:t>
      </w:r>
    </w:p>
    <w:p>
      <w:pPr>
        <w:spacing w:after="160" w:line="276"/>
      </w:pPr>
      <w:r>
        <w:rPr>
          <w:rFonts w:ascii="Calibri" w:cs="Calibri" w:eastAsia="Calibri" w:hAnsi="Calibri"/>
          <w:b/>
          <w:bCs/>
          <w:i w:val="false"/>
          <w:iCs w:val="false"/>
          <w:sz w:val="22"/>
          <w:szCs w:val="22"/>
        </w:rPr>
        <w:t xml:space="preserve">ConMon (Continuous Monitoring): </w:t>
      </w:r>
      <w:r>
        <w:rPr>
          <w:rFonts w:ascii="Calibri" w:cs="Calibri" w:eastAsia="Calibri" w:hAnsi="Calibri"/>
          <w:b w:val="false"/>
          <w:bCs w:val="false"/>
          <w:i w:val="false"/>
          <w:iCs w:val="false"/>
          <w:sz w:val="22"/>
          <w:szCs w:val="22"/>
        </w:rPr>
        <w:t xml:space="preserve">The Monitor step's ongoing tracking of system and environment changes and reassessment of control effectiveness, governed by SP 800-137. Supports 'ongoing authorization' instead of a static, point-in-time reauthorization every few years.</w:t>
      </w:r>
    </w:p>
    <w:p>
      <w:pPr>
        <w:spacing w:after="160" w:line="276"/>
      </w:pPr>
      <w:r>
        <w:rPr>
          <w:rFonts w:ascii="Calibri" w:cs="Calibri" w:eastAsia="Calibri" w:hAnsi="Calibri"/>
          <w:b/>
          <w:bCs/>
          <w:i w:val="false"/>
          <w:iCs w:val="false"/>
          <w:sz w:val="22"/>
          <w:szCs w:val="22"/>
        </w:rPr>
        <w:t xml:space="preserve">Control baseline: </w:t>
      </w:r>
      <w:r>
        <w:rPr>
          <w:rFonts w:ascii="Calibri" w:cs="Calibri" w:eastAsia="Calibri" w:hAnsi="Calibri"/>
          <w:b w:val="false"/>
          <w:bCs w:val="false"/>
          <w:i w:val="false"/>
          <w:iCs w:val="false"/>
          <w:sz w:val="22"/>
          <w:szCs w:val="22"/>
        </w:rPr>
        <w:t xml:space="preserve">A pre-selected starting set of SP 800-53 controls for a given FIPS 199 impact level (Low, Moderate, or High), defined in SP 800-53B, that the system owner then tailors to the system's actual context.</w:t>
      </w:r>
    </w:p>
    <w:p>
      <w:pPr>
        <w:spacing w:after="160" w:line="276"/>
      </w:pPr>
      <w:r>
        <w:rPr>
          <w:rFonts w:ascii="Calibri" w:cs="Calibri" w:eastAsia="Calibri" w:hAnsi="Calibri"/>
          <w:b/>
          <w:bCs/>
          <w:i w:val="false"/>
          <w:iCs w:val="false"/>
          <w:sz w:val="22"/>
          <w:szCs w:val="22"/>
        </w:rPr>
        <w:t xml:space="preserve">Control enhancement: </w:t>
      </w:r>
      <w:r>
        <w:rPr>
          <w:rFonts w:ascii="Calibri" w:cs="Calibri" w:eastAsia="Calibri" w:hAnsi="Calibri"/>
          <w:b w:val="false"/>
          <w:bCs w:val="false"/>
          <w:i w:val="false"/>
          <w:iCs w:val="false"/>
          <w:sz w:val="22"/>
          <w:szCs w:val="22"/>
        </w:rPr>
        <w:t xml:space="preserve">An addition to a base control that increases its strength or adds a related capability (e.g. AC-2(1) adds automated account management to the base AC-2 control).</w:t>
      </w:r>
    </w:p>
    <w:p>
      <w:pPr>
        <w:spacing w:after="160" w:line="276"/>
      </w:pPr>
      <w:r>
        <w:rPr>
          <w:rFonts w:ascii="Calibri" w:cs="Calibri" w:eastAsia="Calibri" w:hAnsi="Calibri"/>
          <w:b/>
          <w:bCs/>
          <w:i w:val="false"/>
          <w:iCs w:val="false"/>
          <w:sz w:val="22"/>
          <w:szCs w:val="22"/>
        </w:rPr>
        <w:t xml:space="preserve">FIPS 199: </w:t>
      </w:r>
      <w:r>
        <w:rPr>
          <w:rFonts w:ascii="Calibri" w:cs="Calibri" w:eastAsia="Calibri" w:hAnsi="Calibri"/>
          <w:b w:val="false"/>
          <w:bCs w:val="false"/>
          <w:i w:val="false"/>
          <w:iCs w:val="false"/>
          <w:sz w:val="22"/>
          <w:szCs w:val="22"/>
        </w:rPr>
        <w:t xml:space="preserve">Federal Information Processing Standard 199, which defines the method for categorizing a system's impact level (Low/Moderate/High) based on the potential adverse effect of a loss of confidentiality, integrity or availability.</w:t>
      </w:r>
    </w:p>
    <w:p>
      <w:pPr>
        <w:spacing w:after="160" w:line="276"/>
      </w:pPr>
      <w:r>
        <w:rPr>
          <w:rFonts w:ascii="Calibri" w:cs="Calibri" w:eastAsia="Calibri" w:hAnsi="Calibri"/>
          <w:b/>
          <w:bCs/>
          <w:i w:val="false"/>
          <w:iCs w:val="false"/>
          <w:sz w:val="22"/>
          <w:szCs w:val="22"/>
        </w:rPr>
        <w:t xml:space="preserve">Ongoing authorization: </w:t>
      </w:r>
      <w:r>
        <w:rPr>
          <w:rFonts w:ascii="Calibri" w:cs="Calibri" w:eastAsia="Calibri" w:hAnsi="Calibri"/>
          <w:b w:val="false"/>
          <w:bCs w:val="false"/>
          <w:i w:val="false"/>
          <w:iCs w:val="false"/>
          <w:sz w:val="22"/>
          <w:szCs w:val="22"/>
        </w:rPr>
        <w:t xml:space="preserve">An authorization approach, enabled by robust ConMon, where the AO's risk decision is continuously informed by near-real-time monitoring data rather than only being revisited at fixed reauthorization dates.</w:t>
      </w:r>
    </w:p>
    <w:p>
      <w:pPr>
        <w:spacing w:after="160" w:line="276"/>
      </w:pPr>
      <w:r>
        <w:rPr>
          <w:rFonts w:ascii="Calibri" w:cs="Calibri" w:eastAsia="Calibri" w:hAnsi="Calibri"/>
          <w:b/>
          <w:bCs/>
          <w:i w:val="false"/>
          <w:iCs w:val="false"/>
          <w:sz w:val="22"/>
          <w:szCs w:val="22"/>
        </w:rPr>
        <w:t xml:space="preserve">Plan of Action and Milestones (POA&amp;M): </w:t>
      </w:r>
      <w:r>
        <w:rPr>
          <w:rFonts w:ascii="Calibri" w:cs="Calibri" w:eastAsia="Calibri" w:hAnsi="Calibri"/>
          <w:b w:val="false"/>
          <w:bCs w:val="false"/>
          <w:i w:val="false"/>
          <w:iCs w:val="false"/>
          <w:sz w:val="22"/>
          <w:szCs w:val="22"/>
        </w:rPr>
        <w:t xml:space="preserve">The document tracking every known weakness in a system's controls, its risk rating, the planned corrective action, resources, milestones and status, from identification through verified closure.</w:t>
      </w:r>
    </w:p>
    <w:p>
      <w:pPr>
        <w:spacing w:after="160" w:line="276"/>
      </w:pPr>
      <w:r>
        <w:rPr>
          <w:rFonts w:ascii="Calibri" w:cs="Calibri" w:eastAsia="Calibri" w:hAnsi="Calibri"/>
          <w:b/>
          <w:bCs/>
          <w:i w:val="false"/>
          <w:iCs w:val="false"/>
          <w:sz w:val="22"/>
          <w:szCs w:val="22"/>
        </w:rPr>
        <w:t xml:space="preserve">Reciprocity: </w:t>
      </w:r>
      <w:r>
        <w:rPr>
          <w:rFonts w:ascii="Calibri" w:cs="Calibri" w:eastAsia="Calibri" w:hAnsi="Calibri"/>
          <w:b w:val="false"/>
          <w:bCs w:val="false"/>
          <w:i w:val="false"/>
          <w:iCs w:val="false"/>
          <w:sz w:val="22"/>
          <w:szCs w:val="22"/>
        </w:rPr>
        <w:t xml:space="preserve">The practice of one agency accepting another agency's completed assessment or authorization for a system, rather than requiring a duplicate reassessment — intended to reduce redundant cost and effort across government.</w:t>
      </w:r>
    </w:p>
    <w:p>
      <w:pPr>
        <w:spacing w:after="160" w:line="276"/>
      </w:pPr>
      <w:r>
        <w:rPr>
          <w:rFonts w:ascii="Calibri" w:cs="Calibri" w:eastAsia="Calibri" w:hAnsi="Calibri"/>
          <w:b/>
          <w:bCs/>
          <w:i w:val="false"/>
          <w:iCs w:val="false"/>
          <w:sz w:val="22"/>
          <w:szCs w:val="22"/>
        </w:rPr>
        <w:t xml:space="preserve">Residual risk: </w:t>
      </w:r>
      <w:r>
        <w:rPr>
          <w:rFonts w:ascii="Calibri" w:cs="Calibri" w:eastAsia="Calibri" w:hAnsi="Calibri"/>
          <w:b w:val="false"/>
          <w:bCs w:val="false"/>
          <w:i w:val="false"/>
          <w:iCs w:val="false"/>
          <w:sz w:val="22"/>
          <w:szCs w:val="22"/>
        </w:rPr>
        <w:t xml:space="preserve">The risk that remains after controls have been implemented — this is what the Authorizing Official is actually accepting (or not) at the Authorize step.</w:t>
      </w:r>
    </w:p>
    <w:p>
      <w:pPr>
        <w:spacing w:after="160" w:line="276"/>
      </w:pPr>
      <w:r>
        <w:rPr>
          <w:rFonts w:ascii="Calibri" w:cs="Calibri" w:eastAsia="Calibri" w:hAnsi="Calibri"/>
          <w:b/>
          <w:bCs/>
          <w:i w:val="false"/>
          <w:iCs w:val="false"/>
          <w:sz w:val="22"/>
          <w:szCs w:val="22"/>
        </w:rPr>
        <w:t xml:space="preserve">Security Assessment Report (SAR): </w:t>
      </w:r>
      <w:r>
        <w:rPr>
          <w:rFonts w:ascii="Calibri" w:cs="Calibri" w:eastAsia="Calibri" w:hAnsi="Calibri"/>
          <w:b w:val="false"/>
          <w:bCs w:val="false"/>
          <w:i w:val="false"/>
          <w:iCs w:val="false"/>
          <w:sz w:val="22"/>
          <w:szCs w:val="22"/>
        </w:rPr>
        <w:t xml:space="preserve">The control assessor's report of assessment results, stating whether each tested control is satisfied or other-than-satisfied, with supporting evidence.</w:t>
      </w:r>
    </w:p>
    <w:p>
      <w:pPr>
        <w:spacing w:after="160" w:line="276"/>
      </w:pPr>
      <w:r>
        <w:rPr>
          <w:rFonts w:ascii="Calibri" w:cs="Calibri" w:eastAsia="Calibri" w:hAnsi="Calibri"/>
          <w:b/>
          <w:bCs/>
          <w:i w:val="false"/>
          <w:iCs w:val="false"/>
          <w:sz w:val="22"/>
          <w:szCs w:val="22"/>
        </w:rPr>
        <w:t xml:space="preserve">System Security Plan (SSP): </w:t>
      </w:r>
      <w:r>
        <w:rPr>
          <w:rFonts w:ascii="Calibri" w:cs="Calibri" w:eastAsia="Calibri" w:hAnsi="Calibri"/>
          <w:b w:val="false"/>
          <w:bCs w:val="false"/>
          <w:i w:val="false"/>
          <w:iCs w:val="false"/>
          <w:sz w:val="22"/>
          <w:szCs w:val="22"/>
        </w:rPr>
        <w:t xml:space="preserve">The primary document describing a system, its categorization, and how every selected control is implemented — the backbone document of the whole authorization package.</w:t>
      </w:r>
    </w:p>
    <w:p>
      <w:pPr>
        <w:spacing w:after="160" w:line="276"/>
      </w:pPr>
      <w:r>
        <w:rPr>
          <w:rFonts w:ascii="Calibri" w:cs="Calibri" w:eastAsia="Calibri" w:hAnsi="Calibri"/>
          <w:b/>
          <w:bCs/>
          <w:i w:val="false"/>
          <w:iCs w:val="false"/>
          <w:sz w:val="22"/>
          <w:szCs w:val="22"/>
        </w:rPr>
        <w:t xml:space="preserve">Tailoring: </w:t>
      </w:r>
      <w:r>
        <w:rPr>
          <w:rFonts w:ascii="Calibri" w:cs="Calibri" w:eastAsia="Calibri" w:hAnsi="Calibri"/>
          <w:b w:val="false"/>
          <w:bCs w:val="false"/>
          <w:i w:val="false"/>
          <w:iCs w:val="false"/>
          <w:sz w:val="22"/>
          <w:szCs w:val="22"/>
        </w:rPr>
        <w:t xml:space="preserve">The process of adjusting a control baseline to fit a system's actual environment and risk profile — adding, removing (with justification), or modifying controls and control enhancements.</w:t>
      </w:r>
    </w:p>
    <w:p>
      <w:pPr>
        <w:spacing w:after="160" w:line="276"/>
      </w:pPr>
      <w:r>
        <w:rPr>
          <w:rFonts w:ascii="Calibri" w:cs="Calibri" w:eastAsia="Calibri" w:hAnsi="Calibri"/>
          <w:b/>
          <w:bCs/>
          <w:i w:val="false"/>
          <w:iCs w:val="false"/>
          <w:sz w:val="22"/>
          <w:szCs w:val="22"/>
        </w:rPr>
        <w:t xml:space="preserve">Third-Party Assessment Organization (3PAO): </w:t>
      </w:r>
      <w:r>
        <w:rPr>
          <w:rFonts w:ascii="Calibri" w:cs="Calibri" w:eastAsia="Calibri" w:hAnsi="Calibri"/>
          <w:b w:val="false"/>
          <w:bCs w:val="false"/>
          <w:i w:val="false"/>
          <w:iCs w:val="false"/>
          <w:sz w:val="22"/>
          <w:szCs w:val="22"/>
        </w:rPr>
        <w:t xml:space="preserve">A FedRAMP-specific, accredited external commercial assessment organization required to perform control assessments for cloud service offerings pursuing FedRAMP authorization. Not required for classic agency-internal RMF, where an organizationally-independent internal assessor is normally sufficient.</w:t>
      </w:r>
    </w:p>
    <w:p>
      <w:r>
        <w:br w:type="page"/>
      </w:r>
    </w:p>
    <w:p>
      <w:pPr>
        <w:pStyle w:val="Heading1"/>
        <w:spacing w:after="200" w:before="400"/>
      </w:pPr>
      <w:r>
        <w:t xml:space="preserve">Appendix A: Quick Reference – The 7 RMF Steps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7000"/>
      </w:tblGrid>
      <w:tr>
        <w:trPr>
          <w:cantSplit/>
          <w:tblHeader/>
        </w:trPr>
        <w:tc>
          <w:tcPr>
            <w:tcW w:type="dxa" w:w="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Step</w:t>
            </w:r>
          </w:p>
        </w:tc>
        <w:tc>
          <w:tcPr>
            <w:tcW w:type="dxa" w:w="1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Name</w:t>
            </w:r>
          </w:p>
        </w:tc>
        <w:tc>
          <w:tcPr>
            <w:tcW w:type="dxa" w:w="7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Key output</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1</w:t>
            </w:r>
          </w:p>
        </w:tc>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Prepare</w:t>
            </w:r>
          </w:p>
        </w:tc>
        <w:tc>
          <w:tcPr>
            <w:tcW w:type="dxa" w:w="7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Roles defined, organizational risk strategy set, common-control inventory established.</w:t>
            </w:r>
          </w:p>
        </w:tc>
      </w:tr>
      <w:tr>
        <w:trPr>
          <w:cantSplit/>
        </w:trP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Categorize</w:t>
            </w:r>
          </w:p>
        </w:tc>
        <w:tc>
          <w:tcPr>
            <w:tcW w:type="dxa" w:w="7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System categorized Low, Moderate or High per security objective (FIPS 199).</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w:t>
            </w:r>
          </w:p>
        </w:tc>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Select</w:t>
            </w:r>
          </w:p>
        </w:tc>
        <w:tc>
          <w:tcPr>
            <w:tcW w:type="dxa" w:w="7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System Security (and Privacy) Plan (SSP).</w:t>
            </w:r>
          </w:p>
        </w:tc>
      </w:tr>
      <w:tr>
        <w:trPr>
          <w:cantSplit/>
        </w:trP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4</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Implement</w:t>
            </w:r>
          </w:p>
        </w:tc>
        <w:tc>
          <w:tcPr>
            <w:tcW w:type="dxa" w:w="7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Controls deployed; SSP updated to reflect the as-implemented state.</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5</w:t>
            </w:r>
          </w:p>
        </w:tc>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Assess</w:t>
            </w:r>
          </w:p>
        </w:tc>
        <w:tc>
          <w:tcPr>
            <w:tcW w:type="dxa" w:w="7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Security Assessment Plan (SAP), Security Assessment Report (SAR), and an initial Plan of Action and Milestones (POA&amp;M).</w:t>
            </w:r>
          </w:p>
        </w:tc>
      </w:tr>
      <w:tr>
        <w:trPr>
          <w:cantSplit/>
        </w:trPr>
        <w:tc>
          <w:tcPr>
            <w:tcW w:type="dxa" w:w="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w:t>
            </w:r>
          </w:p>
        </w:tc>
        <w:tc>
          <w:tcPr>
            <w:tcW w:type="dxa" w:w="1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Authorize</w:t>
            </w:r>
          </w:p>
        </w:tc>
        <w:tc>
          <w:tcPr>
            <w:tcW w:type="dxa" w:w="7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Authorization decision document ('ATO letter') — status (Authorized to Operate / Authorized to Use / Denial), any terms or conditions, and an authorization termination date.</w:t>
            </w:r>
          </w:p>
        </w:tc>
      </w:tr>
      <w:tr>
        <w:trPr>
          <w:cantSplit/>
        </w:trPr>
        <w:tc>
          <w:tcPr>
            <w:tcW w:type="dxa" w:w="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7</w:t>
            </w:r>
          </w:p>
        </w:tc>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Monitor</w:t>
            </w:r>
          </w:p>
        </w:tc>
        <w:tc>
          <w:tcPr>
            <w:tcW w:type="dxa" w:w="7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Updated risk posture, POA&amp;M updates, and — when needed — reauthorization.</w:t>
            </w:r>
          </w:p>
        </w:tc>
      </w:tr>
    </w:tbl>
    <w:p>
      <w:r>
        <w:br w:type="page"/>
      </w:r>
    </w:p>
    <w:p>
      <w:pPr>
        <w:pStyle w:val="Heading1"/>
        <w:spacing w:after="200" w:before="400"/>
      </w:pPr>
      <w:r>
        <w:t xml:space="preserve">Appendix B: Quick Reference – The 20 SP 800-53 Control Families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8200"/>
      </w:tblGrid>
      <w:tr>
        <w:trPr>
          <w:cantSplit/>
          <w:tblHeader/>
        </w:trPr>
        <w:tc>
          <w:tcPr>
            <w:tcW w:type="dxa" w:w="1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Family</w:t>
            </w:r>
          </w:p>
        </w:tc>
        <w:tc>
          <w:tcPr>
            <w:tcW w:type="dxa" w:w="8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Family Name</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AC</w:t>
            </w:r>
          </w:p>
        </w:tc>
        <w:tc>
          <w:tcPr>
            <w:tcW w:type="dxa" w:w="8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Access Control</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AT</w:t>
            </w:r>
          </w:p>
        </w:tc>
        <w:tc>
          <w:tcPr>
            <w:tcW w:type="dxa" w:w="8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Awareness and Training</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AU</w:t>
            </w:r>
          </w:p>
        </w:tc>
        <w:tc>
          <w:tcPr>
            <w:tcW w:type="dxa" w:w="8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Audit and Accountability</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CA</w:t>
            </w:r>
          </w:p>
        </w:tc>
        <w:tc>
          <w:tcPr>
            <w:tcW w:type="dxa" w:w="8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Assessment, Authorization, and Monitoring</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CM</w:t>
            </w:r>
          </w:p>
        </w:tc>
        <w:tc>
          <w:tcPr>
            <w:tcW w:type="dxa" w:w="8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Configuration Management</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CP</w:t>
            </w:r>
          </w:p>
        </w:tc>
        <w:tc>
          <w:tcPr>
            <w:tcW w:type="dxa" w:w="8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Contingency Planning</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IA</w:t>
            </w:r>
          </w:p>
        </w:tc>
        <w:tc>
          <w:tcPr>
            <w:tcW w:type="dxa" w:w="8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Identification and Authentication</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IR</w:t>
            </w:r>
          </w:p>
        </w:tc>
        <w:tc>
          <w:tcPr>
            <w:tcW w:type="dxa" w:w="8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Incident Response</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w:t>
            </w:r>
          </w:p>
        </w:tc>
        <w:tc>
          <w:tcPr>
            <w:tcW w:type="dxa" w:w="8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Maintenance</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MP</w:t>
            </w:r>
          </w:p>
        </w:tc>
        <w:tc>
          <w:tcPr>
            <w:tcW w:type="dxa" w:w="8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Media Protection</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PE</w:t>
            </w:r>
          </w:p>
        </w:tc>
        <w:tc>
          <w:tcPr>
            <w:tcW w:type="dxa" w:w="8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Physical and Environmental Protection</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PL</w:t>
            </w:r>
          </w:p>
        </w:tc>
        <w:tc>
          <w:tcPr>
            <w:tcW w:type="dxa" w:w="8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Planning</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PM</w:t>
            </w:r>
          </w:p>
        </w:tc>
        <w:tc>
          <w:tcPr>
            <w:tcW w:type="dxa" w:w="8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Program Management</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PS</w:t>
            </w:r>
          </w:p>
        </w:tc>
        <w:tc>
          <w:tcPr>
            <w:tcW w:type="dxa" w:w="8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Personnel Security</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PT</w:t>
            </w:r>
          </w:p>
        </w:tc>
        <w:tc>
          <w:tcPr>
            <w:tcW w:type="dxa" w:w="8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PII Processing and Transparency</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RA</w:t>
            </w:r>
          </w:p>
        </w:tc>
        <w:tc>
          <w:tcPr>
            <w:tcW w:type="dxa" w:w="8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Risk Assessment</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SA</w:t>
            </w:r>
          </w:p>
        </w:tc>
        <w:tc>
          <w:tcPr>
            <w:tcW w:type="dxa" w:w="8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System and Services Acquisition</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SC</w:t>
            </w:r>
          </w:p>
        </w:tc>
        <w:tc>
          <w:tcPr>
            <w:tcW w:type="dxa" w:w="8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System and Communications Protection</w:t>
            </w:r>
          </w:p>
        </w:tc>
      </w:tr>
      <w:tr>
        <w:trPr>
          <w:cantSplit/>
        </w:trP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SI</w:t>
            </w:r>
          </w:p>
        </w:tc>
        <w:tc>
          <w:tcPr>
            <w:tcW w:type="dxa" w:w="8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System and Information Integrity</w:t>
            </w:r>
          </w:p>
        </w:tc>
      </w:tr>
      <w:tr>
        <w:trPr>
          <w:cantSplit/>
        </w:trPr>
        <w:tc>
          <w:tcPr>
            <w:tcW w:type="dxa" w:w="1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SR</w:t>
            </w:r>
          </w:p>
        </w:tc>
        <w:tc>
          <w:tcPr>
            <w:tcW w:type="dxa" w:w="8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Supply Chain Risk Management</w:t>
            </w:r>
          </w:p>
        </w:tc>
      </w:tr>
    </w:tbl>
    <w:p>
      <w:r>
        <w:br w:type="page"/>
      </w:r>
    </w:p>
    <w:p>
      <w:pPr>
        <w:pStyle w:val="Heading1"/>
        <w:spacing w:after="200" w:before="400"/>
      </w:pPr>
      <w:r>
        <w:t xml:space="preserve">Sources &amp; Further Reading</w:t>
      </w:r>
    </w:p>
    <w:p>
      <w:pPr>
        <w:spacing w:after="160" w:line="276"/>
      </w:pPr>
      <w:r>
        <w:rPr>
          <w:rFonts w:ascii="Calibri" w:cs="Calibri" w:eastAsia="Calibri" w:hAnsi="Calibri"/>
          <w:sz w:val="22"/>
          <w:szCs w:val="22"/>
        </w:rPr>
        <w:t xml:space="preserve">This handbook synthesizes publicly available primary guidance published by the National Institute of Standards and Technology (NIST) on the Risk Management Framework and its supporting publications. For authoritative, current text, always consult NIST's Computer Security Resource Center directly. Key sources consulted:</w:t>
      </w:r>
    </w:p>
    <w:p>
      <w:pPr>
        <w:pStyle w:val="ListParagraph"/>
        <w:numPr>
          <w:ilvl w:val="0"/>
          <w:numId w:val="2"/>
        </w:numPr>
        <w:spacing w:after="100"/>
      </w:pPr>
      <w:r>
        <w:rPr>
          <w:rFonts w:ascii="Calibri" w:cs="Calibri" w:eastAsia="Calibri" w:hAnsi="Calibri"/>
          <w:sz w:val="22"/>
          <w:szCs w:val="22"/>
        </w:rPr>
        <w:t xml:space="preserve">NIST SP 800-37 Rev. 2 – Risk Management Framework for Information Systems and Organizations – csrc.nist.gov/pubs/sp/800/37/r2/final</w:t>
      </w:r>
    </w:p>
    <w:p>
      <w:pPr>
        <w:pStyle w:val="ListParagraph"/>
        <w:numPr>
          <w:ilvl w:val="0"/>
          <w:numId w:val="2"/>
        </w:numPr>
        <w:spacing w:after="100"/>
      </w:pPr>
      <w:r>
        <w:rPr>
          <w:rFonts w:ascii="Calibri" w:cs="Calibri" w:eastAsia="Calibri" w:hAnsi="Calibri"/>
          <w:sz w:val="22"/>
          <w:szCs w:val="22"/>
        </w:rPr>
        <w:t xml:space="preserve">NIST Risk Management Framework (RMF) Overview – csrc.nist.gov/Projects/risk-management/about-rmf/</w:t>
      </w:r>
    </w:p>
    <w:p>
      <w:pPr>
        <w:pStyle w:val="ListParagraph"/>
        <w:numPr>
          <w:ilvl w:val="0"/>
          <w:numId w:val="2"/>
        </w:numPr>
        <w:spacing w:after="100"/>
      </w:pPr>
      <w:r>
        <w:rPr>
          <w:rFonts w:ascii="Calibri" w:cs="Calibri" w:eastAsia="Calibri" w:hAnsi="Calibri"/>
          <w:sz w:val="22"/>
          <w:szCs w:val="22"/>
        </w:rPr>
        <w:t xml:space="preserve">NIST RMF Prepare Step – csrc.nist.gov/Projects/risk-management/about-rmf/prepare-step</w:t>
      </w:r>
    </w:p>
    <w:p>
      <w:pPr>
        <w:pStyle w:val="ListParagraph"/>
        <w:numPr>
          <w:ilvl w:val="0"/>
          <w:numId w:val="2"/>
        </w:numPr>
        <w:spacing w:after="100"/>
      </w:pPr>
      <w:r>
        <w:rPr>
          <w:rFonts w:ascii="Calibri" w:cs="Calibri" w:eastAsia="Calibri" w:hAnsi="Calibri"/>
          <w:sz w:val="22"/>
          <w:szCs w:val="22"/>
        </w:rPr>
        <w:t xml:space="preserve">NIST RMF Categorize Step – csrc.nist.gov/Projects/risk-management/about-rmf/categorize-step</w:t>
      </w:r>
    </w:p>
    <w:p>
      <w:pPr>
        <w:pStyle w:val="ListParagraph"/>
        <w:numPr>
          <w:ilvl w:val="0"/>
          <w:numId w:val="2"/>
        </w:numPr>
        <w:spacing w:after="100"/>
      </w:pPr>
      <w:r>
        <w:rPr>
          <w:rFonts w:ascii="Calibri" w:cs="Calibri" w:eastAsia="Calibri" w:hAnsi="Calibri"/>
          <w:sz w:val="22"/>
          <w:szCs w:val="22"/>
        </w:rPr>
        <w:t xml:space="preserve">NIST RMF Select Step – csrc.nist.gov/Projects/risk-management/about-rmf/select-step</w:t>
      </w:r>
    </w:p>
    <w:p>
      <w:pPr>
        <w:pStyle w:val="ListParagraph"/>
        <w:numPr>
          <w:ilvl w:val="0"/>
          <w:numId w:val="2"/>
        </w:numPr>
        <w:spacing w:after="100"/>
      </w:pPr>
      <w:r>
        <w:rPr>
          <w:rFonts w:ascii="Calibri" w:cs="Calibri" w:eastAsia="Calibri" w:hAnsi="Calibri"/>
          <w:sz w:val="22"/>
          <w:szCs w:val="22"/>
        </w:rPr>
        <w:t xml:space="preserve">NIST RMF Implement Step – csrc.nist.gov/Projects/risk-management/about-rmf/implement-step</w:t>
      </w:r>
    </w:p>
    <w:p>
      <w:pPr>
        <w:pStyle w:val="ListParagraph"/>
        <w:numPr>
          <w:ilvl w:val="0"/>
          <w:numId w:val="2"/>
        </w:numPr>
        <w:spacing w:after="100"/>
      </w:pPr>
      <w:r>
        <w:rPr>
          <w:rFonts w:ascii="Calibri" w:cs="Calibri" w:eastAsia="Calibri" w:hAnsi="Calibri"/>
          <w:sz w:val="22"/>
          <w:szCs w:val="22"/>
        </w:rPr>
        <w:t xml:space="preserve">NIST RMF Assess Step – csrc.nist.gov/Projects/risk-management/about-rmf/assess-step</w:t>
      </w:r>
    </w:p>
    <w:p>
      <w:pPr>
        <w:pStyle w:val="ListParagraph"/>
        <w:numPr>
          <w:ilvl w:val="0"/>
          <w:numId w:val="2"/>
        </w:numPr>
        <w:spacing w:after="100"/>
      </w:pPr>
      <w:r>
        <w:rPr>
          <w:rFonts w:ascii="Calibri" w:cs="Calibri" w:eastAsia="Calibri" w:hAnsi="Calibri"/>
          <w:sz w:val="22"/>
          <w:szCs w:val="22"/>
        </w:rPr>
        <w:t xml:space="preserve">NIST RMF Authorize Step – csrc.nist.gov/Projects/risk-management/about-rmf/authorize-step</w:t>
      </w:r>
    </w:p>
    <w:p>
      <w:pPr>
        <w:pStyle w:val="ListParagraph"/>
        <w:numPr>
          <w:ilvl w:val="0"/>
          <w:numId w:val="2"/>
        </w:numPr>
        <w:spacing w:after="100"/>
      </w:pPr>
      <w:r>
        <w:rPr>
          <w:rFonts w:ascii="Calibri" w:cs="Calibri" w:eastAsia="Calibri" w:hAnsi="Calibri"/>
          <w:sz w:val="22"/>
          <w:szCs w:val="22"/>
        </w:rPr>
        <w:t xml:space="preserve">NIST RMF Monitor Step – csrc.nist.gov/Projects/risk-management/about-rmf/monitor-step</w:t>
      </w:r>
    </w:p>
    <w:p>
      <w:pPr>
        <w:pStyle w:val="ListParagraph"/>
        <w:numPr>
          <w:ilvl w:val="0"/>
          <w:numId w:val="2"/>
        </w:numPr>
        <w:spacing w:after="100"/>
      </w:pPr>
      <w:r>
        <w:rPr>
          <w:rFonts w:ascii="Calibri" w:cs="Calibri" w:eastAsia="Calibri" w:hAnsi="Calibri"/>
          <w:sz w:val="22"/>
          <w:szCs w:val="22"/>
        </w:rPr>
        <w:t xml:space="preserve">NIST SP 800-53 Rev. 5 (upd. 1) – Security and Privacy Controls for Information Systems and Organizations – csrc.nist.gov/pubs/sp/800/53/r5/upd1/final</w:t>
      </w:r>
    </w:p>
    <w:p>
      <w:pPr>
        <w:pStyle w:val="ListParagraph"/>
        <w:numPr>
          <w:ilvl w:val="0"/>
          <w:numId w:val="2"/>
        </w:numPr>
        <w:spacing w:after="100"/>
      </w:pPr>
      <w:r>
        <w:rPr>
          <w:rFonts w:ascii="Calibri" w:cs="Calibri" w:eastAsia="Calibri" w:hAnsi="Calibri"/>
          <w:sz w:val="22"/>
          <w:szCs w:val="22"/>
        </w:rPr>
        <w:t xml:space="preserve">NIST SP 800-53A Rev. 5 – Assessing Security and Privacy Controls in Information Systems and Organizations – csrc.nist.gov/pubs/sp/800/53/a/r5/final</w:t>
      </w:r>
    </w:p>
    <w:p>
      <w:pPr>
        <w:pStyle w:val="ListParagraph"/>
        <w:numPr>
          <w:ilvl w:val="0"/>
          <w:numId w:val="2"/>
        </w:numPr>
        <w:spacing w:after="100"/>
      </w:pPr>
      <w:r>
        <w:rPr>
          <w:rFonts w:ascii="Calibri" w:cs="Calibri" w:eastAsia="Calibri" w:hAnsi="Calibri"/>
          <w:sz w:val="22"/>
          <w:szCs w:val="22"/>
        </w:rPr>
        <w:t xml:space="preserve">NIST Glossary (role and term definitions) – csrc.nist.gov/glossary</w:t>
      </w:r>
    </w:p>
    <w:p>
      <w:pPr>
        <w:pStyle w:val="ListParagraph"/>
        <w:numPr>
          <w:ilvl w:val="0"/>
          <w:numId w:val="2"/>
        </w:numPr>
        <w:spacing w:after="100"/>
      </w:pPr>
      <w:r>
        <w:rPr>
          <w:rFonts w:ascii="Calibri" w:cs="Calibri" w:eastAsia="Calibri" w:hAnsi="Calibri"/>
          <w:sz w:val="22"/>
          <w:szCs w:val="22"/>
        </w:rPr>
        <w:t xml:space="preserve">FedRAMP – Assessors (3PAO) – fedramp.gov/2026/assessors</w:t>
      </w:r>
    </w:p>
    <w:p>
      <w:pPr>
        <w:pStyle w:val="ListParagraph"/>
        <w:numPr>
          <w:ilvl w:val="0"/>
          <w:numId w:val="2"/>
        </w:numPr>
        <w:spacing w:after="100"/>
      </w:pPr>
      <w:r>
        <w:rPr>
          <w:rFonts w:ascii="Calibri" w:cs="Calibri" w:eastAsia="Calibri" w:hAnsi="Calibri"/>
          <w:sz w:val="22"/>
          <w:szCs w:val="22"/>
        </w:rPr>
        <w:t xml:space="preserve">CISA – Third Party Assessment Organizations (3PAO) – cisa.gov</w:t>
      </w:r>
    </w:p>
    <w:p>
      <w:pPr>
        <w:spacing w:after="120"/>
      </w:pPr>
    </w:p>
    <w:p>
      <w:pPr>
        <w:spacing w:after="160" w:line="276"/>
      </w:pPr>
      <w:r>
        <w:rPr>
          <w:rFonts w:ascii="Calibri" w:cs="Calibri" w:eastAsia="Calibri" w:hAnsi="Calibri"/>
          <w:sz w:val="22"/>
          <w:szCs w:val="22"/>
        </w:rPr>
        <w:t xml:space="preserve">Note: control counts, revision dates, and program details are current as of this handbook's preparation date and are described conservatively where public sources disagree (see Section 2.2 on SP 800-53's control count). Always verify against the official NIST csrc.nist.gov publication pages before relying on any figure for a live authorization decision.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NIST RMF Authorization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abstractNum w:abstractNumId="11" w15:restartNumberingAfterBreak="0">
    <w:multiLevelType w:val="hybridMultilevel"/>
    <w:lvl w:ilvl="0" w15:tentative="1">
      <w:start w:val="1"/>
      <w:numFmt w:val="decimal"/>
      <w:lvlText w:val="%1."/>
      <w:lvlJc w:val="left"/>
      <w:pPr>
        <w:ind w:left="460" w:hanging="260"/>
      </w:pPr>
    </w:lvl>
  </w:abstractNum>
  <w:abstractNum w:abstractNumId="12" w15:restartNumberingAfterBreak="0">
    <w:multiLevelType w:val="hybridMultilevel"/>
    <w:lvl w:ilvl="0" w15:tentative="1">
      <w:start w:val="1"/>
      <w:numFmt w:val="decimal"/>
      <w:lvlText w:val="%1."/>
      <w:lvlJc w:val="left"/>
      <w:pPr>
        <w:ind w:left="460" w:hanging="260"/>
      </w:pPr>
    </w:lvl>
  </w:abstractNum>
  <w:abstractNum w:abstractNumId="13" w15:restartNumberingAfterBreak="0">
    <w:multiLevelType w:val="hybridMultilevel"/>
    <w:lvl w:ilvl="0" w15:tentative="1">
      <w:start w:val="1"/>
      <w:numFmt w:val="decimal"/>
      <w:lvlText w:val="%1."/>
      <w:lvlJc w:val="left"/>
      <w:pPr>
        <w:ind w:left="460" w:hanging="260"/>
      </w:pPr>
    </w:lvl>
  </w:abstractNum>
  <w:abstractNum w:abstractNumId="14" w15:restartNumberingAfterBreak="0">
    <w:multiLevelType w:val="hybridMultilevel"/>
    <w:lvl w:ilvl="0" w15:tentative="1">
      <w:start w:val="1"/>
      <w:numFmt w:val="decimal"/>
      <w:lvlText w:val="%1."/>
      <w:lvlJc w:val="left"/>
      <w:pPr>
        <w:ind w:left="460" w:hanging="260"/>
      </w:pPr>
    </w:lvl>
  </w:abstractNum>
  <w:abstractNum w:abstractNumId="1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4"/>
      <w:szCs w:val="34"/>
    </w:rPr>
  </w:style>
  <w:style w:type="paragraph" w:styleId="Heading2">
    <w:name w:val="Heading 2"/>
    <w:basedOn w:val="Normal"/>
    <w:next w:val="Normal"/>
    <w:qFormat/>
    <w:pPr>
      <w:spacing w:after="150" w:before="300"/>
    </w:pPr>
    <w:rPr>
      <w:rFonts w:ascii="Calibri" w:cs="Calibri" w:eastAsia="Calibri" w:hAnsi="Calibri"/>
      <w:b/>
      <w:bCs/>
      <w:color w:val="2E5395"/>
      <w:sz w:val="27"/>
      <w:szCs w:val="27"/>
    </w:rPr>
  </w:style>
  <w:style w:type="paragraph" w:styleId="Heading3">
    <w:name w:val="Heading 3"/>
    <w:basedOn w:val="Normal"/>
    <w:next w:val="Normal"/>
    <w:qFormat/>
    <w:pPr>
      <w:spacing w:after="120" w:before="240"/>
    </w:pPr>
    <w:rPr>
      <w:rFonts w:ascii="Calibri" w:cs="Calibri" w:eastAsia="Calibri" w:hAnsi="Calibri"/>
      <w:b/>
      <w:bCs/>
      <w:color w:val="595959"/>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2026-08-13T15:25:19.408Z</dcterms:created>
  <dcterms:modified xsi:type="dcterms:W3CDTF">2026-08-13T15:25:19.409Z</dcterms:modified>
</cp:coreProperties>
</file>

<file path=docProps/custom.xml><?xml version="1.0" encoding="utf-8"?>
<Properties xmlns="http://schemas.openxmlformats.org/officeDocument/2006/custom-properties" xmlns:vt="http://schemas.openxmlformats.org/officeDocument/2006/docPropsVTypes"/>
</file>