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by Class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all &lt;textarea&gt; elements of a given class with a CKEditor instance.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replace a &lt;textarea&gt; element, simply assign it the ckeditor class, as in the code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&lt;textarea </w:t>
      </w:r>
      <w:r w:rsidDel="00000000" w:rsidR="00000000" w:rsidRPr="00000000">
        <w:rPr>
          <w:rFonts w:ascii="Courier" w:cs="Courier" w:eastAsia="Courier" w:hAnsi="Courier"/>
          <w:b w:val="1"/>
          <w:rtl w:val="0"/>
        </w:rPr>
        <w:t xml:space="preserve">class="ckeditor</w:t>
      </w:r>
      <w:r w:rsidDel="00000000" w:rsidR="00000000" w:rsidRPr="00000000">
        <w:rPr>
          <w:rFonts w:ascii="Courier" w:cs="Courier" w:eastAsia="Courier" w:hAnsi="Courier"/>
          <w:rtl w:val="0"/>
        </w:rPr>
        <w:t xml:space="preserve">" name="editor1"&gt;&lt;/textarea&gt;</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other &lt;textarea&gt; attributes (like id or name) need to be adjusted to your document.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 &lt;h1&gt;&lt;img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sdk.ckeditor.com/"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