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AC" w:rsidRPr="00166A09" w:rsidRDefault="003D7376">
      <w:pPr>
        <w:rPr>
          <w:b/>
          <w:sz w:val="28"/>
          <w:szCs w:val="28"/>
        </w:rPr>
      </w:pPr>
      <w:r w:rsidRPr="00166A09">
        <w:rPr>
          <w:b/>
          <w:sz w:val="28"/>
          <w:szCs w:val="28"/>
        </w:rPr>
        <w:t>Case Study</w:t>
      </w:r>
      <w:r w:rsidR="00B007AD" w:rsidRPr="00166A09">
        <w:rPr>
          <w:b/>
          <w:sz w:val="28"/>
          <w:szCs w:val="28"/>
        </w:rPr>
        <w:t xml:space="preserve">: </w:t>
      </w:r>
      <w:r w:rsidR="00E75145" w:rsidRPr="00166A09">
        <w:rPr>
          <w:b/>
          <w:sz w:val="28"/>
          <w:szCs w:val="28"/>
        </w:rPr>
        <w:t xml:space="preserve">Ab-initio </w:t>
      </w:r>
      <w:r w:rsidR="00B007AD" w:rsidRPr="00166A09">
        <w:rPr>
          <w:b/>
          <w:sz w:val="28"/>
          <w:szCs w:val="28"/>
        </w:rPr>
        <w:t>Molecular Modeling of Phase Change Alloy Ge</w:t>
      </w:r>
      <w:r w:rsidR="003939BF">
        <w:rPr>
          <w:b/>
          <w:sz w:val="28"/>
          <w:szCs w:val="28"/>
        </w:rPr>
        <w:t>-</w:t>
      </w:r>
      <w:r w:rsidR="00B007AD" w:rsidRPr="00166A09">
        <w:rPr>
          <w:b/>
          <w:sz w:val="28"/>
          <w:szCs w:val="28"/>
        </w:rPr>
        <w:t>Te</w:t>
      </w:r>
    </w:p>
    <w:p w:rsidR="003D7376" w:rsidRDefault="003D7376">
      <w:pPr>
        <w:rPr>
          <w:sz w:val="24"/>
          <w:szCs w:val="24"/>
        </w:rPr>
      </w:pPr>
      <w:r>
        <w:rPr>
          <w:b/>
          <w:sz w:val="24"/>
          <w:szCs w:val="24"/>
        </w:rPr>
        <w:t>Jason Larkin ME 24-623</w:t>
      </w:r>
    </w:p>
    <w:p w:rsidR="003D7376" w:rsidRPr="003C0E2A" w:rsidRDefault="00AE6BBB">
      <w:pPr>
        <w:rPr>
          <w:b/>
          <w:sz w:val="28"/>
          <w:szCs w:val="28"/>
        </w:rPr>
      </w:pPr>
      <w:r w:rsidRPr="003C0E2A">
        <w:rPr>
          <w:b/>
          <w:sz w:val="28"/>
          <w:szCs w:val="28"/>
        </w:rPr>
        <w:t>Motivation</w:t>
      </w:r>
    </w:p>
    <w:p w:rsidR="00BE45CC" w:rsidRDefault="00234E7F">
      <w:pPr>
        <w:rPr>
          <w:sz w:val="24"/>
          <w:szCs w:val="24"/>
        </w:rPr>
      </w:pPr>
      <w:r>
        <w:rPr>
          <w:sz w:val="24"/>
          <w:szCs w:val="24"/>
        </w:rPr>
        <w:t>Phase change</w:t>
      </w:r>
      <w:r w:rsidR="00F4097B">
        <w:rPr>
          <w:sz w:val="24"/>
          <w:szCs w:val="24"/>
        </w:rPr>
        <w:t xml:space="preserve"> (PC)</w:t>
      </w:r>
      <w:r>
        <w:rPr>
          <w:sz w:val="24"/>
          <w:szCs w:val="24"/>
        </w:rPr>
        <w:t xml:space="preserve"> </w:t>
      </w:r>
      <w:r w:rsidR="00544806">
        <w:rPr>
          <w:sz w:val="24"/>
          <w:szCs w:val="24"/>
        </w:rPr>
        <w:t>data storage devices</w:t>
      </w:r>
      <w:r w:rsidR="00BE088C">
        <w:rPr>
          <w:sz w:val="24"/>
          <w:szCs w:val="24"/>
        </w:rPr>
        <w:t xml:space="preserve"> </w:t>
      </w:r>
      <w:r w:rsidR="00544806">
        <w:rPr>
          <w:sz w:val="24"/>
          <w:szCs w:val="24"/>
        </w:rPr>
        <w:t>are used in many modern computing applications</w:t>
      </w:r>
      <w:r w:rsidR="00BE088C">
        <w:rPr>
          <w:sz w:val="24"/>
          <w:szCs w:val="24"/>
        </w:rPr>
        <w:t xml:space="preserve"> </w:t>
      </w:r>
      <w:r w:rsidR="00BA4AC9">
        <w:rPr>
          <w:sz w:val="24"/>
          <w:szCs w:val="24"/>
        </w:rPr>
        <w:t>(</w:t>
      </w:r>
      <w:r w:rsidR="00BE088C">
        <w:rPr>
          <w:sz w:val="24"/>
          <w:szCs w:val="24"/>
        </w:rPr>
        <w:t>C</w:t>
      </w:r>
      <w:r w:rsidR="00BA4AC9">
        <w:rPr>
          <w:sz w:val="24"/>
          <w:szCs w:val="24"/>
        </w:rPr>
        <w:t>D-RW, DVD-RW, Blu-ray Disc)</w:t>
      </w:r>
      <w:r w:rsidR="00BE088C">
        <w:rPr>
          <w:sz w:val="24"/>
          <w:szCs w:val="24"/>
        </w:rPr>
        <w:t xml:space="preserve"> and are good candidates for a wid</w:t>
      </w:r>
      <w:r w:rsidR="007B73DA">
        <w:rPr>
          <w:sz w:val="24"/>
          <w:szCs w:val="24"/>
        </w:rPr>
        <w:t>e range of</w:t>
      </w:r>
      <w:r w:rsidR="00BA4AC9">
        <w:rPr>
          <w:sz w:val="24"/>
          <w:szCs w:val="24"/>
        </w:rPr>
        <w:t xml:space="preserve"> other</w:t>
      </w:r>
      <w:r w:rsidR="007B73DA">
        <w:rPr>
          <w:sz w:val="24"/>
          <w:szCs w:val="24"/>
        </w:rPr>
        <w:t xml:space="preserve"> memory applications</w:t>
      </w:r>
      <w:r w:rsidR="00BA4AC9">
        <w:rPr>
          <w:sz w:val="24"/>
          <w:szCs w:val="24"/>
        </w:rPr>
        <w:t xml:space="preserve"> (SDRAM, SSD, etc.)</w:t>
      </w:r>
      <w:r w:rsidR="00E3465F">
        <w:rPr>
          <w:sz w:val="24"/>
          <w:szCs w:val="24"/>
        </w:rPr>
        <w:t>[</w:t>
      </w:r>
      <w:r w:rsidR="00715012">
        <w:rPr>
          <w:sz w:val="24"/>
          <w:szCs w:val="24"/>
        </w:rPr>
        <w:t>7</w:t>
      </w:r>
      <w:r w:rsidR="00E3465F">
        <w:rPr>
          <w:sz w:val="24"/>
          <w:szCs w:val="24"/>
        </w:rPr>
        <w:t>]</w:t>
      </w:r>
      <w:r w:rsidR="007B73DA">
        <w:rPr>
          <w:sz w:val="24"/>
          <w:szCs w:val="24"/>
        </w:rPr>
        <w:t>.</w:t>
      </w:r>
      <w:r w:rsidR="00F4097B">
        <w:rPr>
          <w:sz w:val="24"/>
          <w:szCs w:val="24"/>
        </w:rPr>
        <w:t xml:space="preserve"> PC memory devices take advantage of the fast (order 1 ns) and reversible transition from crystalline to amorphous phases. Bits are written by local melting of the material and subsequent quenching to an amorphous state.  The crystalline and amorphous materials experience several order of magnitude contrast in both optical and electronic properties.  The written bits are erased by heating the amorphous material above the re-</w:t>
      </w:r>
      <w:r w:rsidR="003939BF">
        <w:rPr>
          <w:sz w:val="24"/>
          <w:szCs w:val="24"/>
        </w:rPr>
        <w:t>crystallization</w:t>
      </w:r>
      <w:r w:rsidR="00F4097B">
        <w:rPr>
          <w:sz w:val="24"/>
          <w:szCs w:val="24"/>
        </w:rPr>
        <w:t xml:space="preserve"> temperature until the crystalline state is recovered. </w:t>
      </w:r>
    </w:p>
    <w:p w:rsidR="001335C8" w:rsidRDefault="00BE45CC">
      <w:pPr>
        <w:rPr>
          <w:sz w:val="24"/>
          <w:szCs w:val="24"/>
        </w:rPr>
      </w:pPr>
      <w:r>
        <w:rPr>
          <w:sz w:val="24"/>
          <w:szCs w:val="24"/>
        </w:rPr>
        <w:t xml:space="preserve">The optical and electronic contrasts are attributed to the large structural changes seen in the amorphous phase. </w:t>
      </w:r>
      <w:r w:rsidR="00A758DF">
        <w:rPr>
          <w:sz w:val="24"/>
          <w:szCs w:val="24"/>
        </w:rPr>
        <w:t>Although there have been</w:t>
      </w:r>
      <w:r w:rsidR="00571E13">
        <w:rPr>
          <w:sz w:val="24"/>
          <w:szCs w:val="24"/>
        </w:rPr>
        <w:t xml:space="preserve"> experimental measurements of the local structure of the liquid and amorphous phases of various PC materials, n</w:t>
      </w:r>
      <w:r w:rsidR="004733D1">
        <w:rPr>
          <w:sz w:val="24"/>
          <w:szCs w:val="24"/>
        </w:rPr>
        <w:t xml:space="preserve">ot much is known </w:t>
      </w:r>
      <w:r w:rsidR="00571E13">
        <w:rPr>
          <w:sz w:val="24"/>
          <w:szCs w:val="24"/>
        </w:rPr>
        <w:t>about these structures on a component-by-component basis</w:t>
      </w:r>
      <w:r w:rsidR="00600D7A">
        <w:rPr>
          <w:sz w:val="24"/>
          <w:szCs w:val="24"/>
        </w:rPr>
        <w:t xml:space="preserve"> </w:t>
      </w:r>
      <w:r w:rsidR="00600D7A" w:rsidRPr="00941606">
        <w:rPr>
          <w:sz w:val="24"/>
          <w:szCs w:val="24"/>
        </w:rPr>
        <w:t>[</w:t>
      </w:r>
      <w:r w:rsidR="00333F64">
        <w:rPr>
          <w:sz w:val="24"/>
          <w:szCs w:val="24"/>
        </w:rPr>
        <w:t>4,5,8</w:t>
      </w:r>
      <w:r w:rsidR="00600D7A">
        <w:rPr>
          <w:sz w:val="24"/>
          <w:szCs w:val="24"/>
        </w:rPr>
        <w:t>]</w:t>
      </w:r>
      <w:r w:rsidR="00571E13">
        <w:rPr>
          <w:sz w:val="24"/>
          <w:szCs w:val="24"/>
        </w:rPr>
        <w:t>.</w:t>
      </w:r>
      <w:r w:rsidR="001335C8">
        <w:rPr>
          <w:sz w:val="24"/>
          <w:szCs w:val="24"/>
        </w:rPr>
        <w:t xml:space="preserve"> </w:t>
      </w:r>
    </w:p>
    <w:p w:rsidR="007D38D2" w:rsidRDefault="001335C8">
      <w:pPr>
        <w:rPr>
          <w:sz w:val="24"/>
          <w:szCs w:val="24"/>
        </w:rPr>
      </w:pPr>
      <w:r>
        <w:rPr>
          <w:sz w:val="24"/>
          <w:szCs w:val="24"/>
        </w:rPr>
        <w:t>Atomistic simulations could elucidate the detailed amorphous structure of PC materials, which could give insights into why PC materials work</w:t>
      </w:r>
      <w:r w:rsidR="00352793">
        <w:rPr>
          <w:sz w:val="24"/>
          <w:szCs w:val="24"/>
        </w:rPr>
        <w:t xml:space="preserve"> so well</w:t>
      </w:r>
      <w:r>
        <w:rPr>
          <w:sz w:val="24"/>
          <w:szCs w:val="24"/>
        </w:rPr>
        <w:t xml:space="preserve"> and how they might be improved.  However, no interatomic potentials exist for PC materials to perform large-scale classical Molecular dynamics sim</w:t>
      </w:r>
      <w:r w:rsidR="00EC7F44">
        <w:rPr>
          <w:sz w:val="24"/>
          <w:szCs w:val="24"/>
        </w:rPr>
        <w:t>u</w:t>
      </w:r>
      <w:r>
        <w:rPr>
          <w:sz w:val="24"/>
          <w:szCs w:val="24"/>
        </w:rPr>
        <w:t>l</w:t>
      </w:r>
      <w:r w:rsidR="00EC7F44">
        <w:rPr>
          <w:sz w:val="24"/>
          <w:szCs w:val="24"/>
        </w:rPr>
        <w:t>a</w:t>
      </w:r>
      <w:r>
        <w:rPr>
          <w:sz w:val="24"/>
          <w:szCs w:val="24"/>
        </w:rPr>
        <w:t>tions.  Thus, the</w:t>
      </w:r>
      <w:r w:rsidR="009C6FBD">
        <w:rPr>
          <w:sz w:val="24"/>
          <w:szCs w:val="24"/>
        </w:rPr>
        <w:t xml:space="preserve"> studies reviewed here use Ab-initio (</w:t>
      </w:r>
      <w:r w:rsidR="003939BF">
        <w:rPr>
          <w:sz w:val="24"/>
          <w:szCs w:val="24"/>
        </w:rPr>
        <w:t>quantum</w:t>
      </w:r>
      <w:r w:rsidR="009C6FBD">
        <w:rPr>
          <w:sz w:val="24"/>
          <w:szCs w:val="24"/>
        </w:rPr>
        <w:t xml:space="preserve"> mechanical) molecular dynamics simulations, which require no interatomic potentials to be </w:t>
      </w:r>
      <w:r w:rsidR="003939BF">
        <w:rPr>
          <w:sz w:val="24"/>
          <w:szCs w:val="24"/>
        </w:rPr>
        <w:t>parameterized</w:t>
      </w:r>
      <w:r w:rsidR="009C6FBD">
        <w:rPr>
          <w:sz w:val="24"/>
          <w:szCs w:val="24"/>
        </w:rPr>
        <w:t>.</w:t>
      </w:r>
      <w:r w:rsidR="00500B52">
        <w:rPr>
          <w:sz w:val="24"/>
          <w:szCs w:val="24"/>
        </w:rPr>
        <w:t xml:space="preserve"> </w:t>
      </w:r>
    </w:p>
    <w:p w:rsidR="0065551E" w:rsidRPr="0065551E" w:rsidRDefault="00500B52">
      <w:pPr>
        <w:rPr>
          <w:sz w:val="24"/>
          <w:szCs w:val="24"/>
        </w:rPr>
      </w:pPr>
      <w:r>
        <w:rPr>
          <w:sz w:val="24"/>
          <w:szCs w:val="24"/>
        </w:rPr>
        <w:t xml:space="preserve">The focus </w:t>
      </w:r>
      <w:r w:rsidR="00B00F38">
        <w:rPr>
          <w:sz w:val="24"/>
          <w:szCs w:val="24"/>
        </w:rPr>
        <w:t>of [</w:t>
      </w:r>
      <w:r w:rsidR="00641380">
        <w:rPr>
          <w:sz w:val="24"/>
          <w:szCs w:val="24"/>
        </w:rPr>
        <w:t>1-3</w:t>
      </w:r>
      <w:r w:rsidR="00B00F38">
        <w:rPr>
          <w:sz w:val="24"/>
          <w:szCs w:val="24"/>
        </w:rPr>
        <w:t xml:space="preserve">] </w:t>
      </w:r>
      <w:r>
        <w:rPr>
          <w:sz w:val="24"/>
          <w:szCs w:val="24"/>
        </w:rPr>
        <w:t xml:space="preserve">is on the compound </w:t>
      </w:r>
      <w:r w:rsidR="003939BF">
        <w:rPr>
          <w:sz w:val="24"/>
          <w:szCs w:val="24"/>
        </w:rPr>
        <w:t>Ge-Te</w:t>
      </w:r>
      <w:r>
        <w:rPr>
          <w:sz w:val="24"/>
          <w:szCs w:val="24"/>
        </w:rPr>
        <w:t xml:space="preserve">, which is an important PC </w:t>
      </w:r>
      <w:r w:rsidR="003939BF">
        <w:rPr>
          <w:sz w:val="24"/>
          <w:szCs w:val="24"/>
        </w:rPr>
        <w:t>material</w:t>
      </w:r>
      <w:r>
        <w:rPr>
          <w:sz w:val="24"/>
          <w:szCs w:val="24"/>
        </w:rPr>
        <w:t xml:space="preserve"> itself and is also a building block in the more widely used Ge</w:t>
      </w:r>
      <w:r>
        <w:rPr>
          <w:sz w:val="24"/>
          <w:szCs w:val="24"/>
          <w:vertAlign w:val="subscript"/>
        </w:rPr>
        <w:t>2</w:t>
      </w:r>
      <w:r>
        <w:rPr>
          <w:sz w:val="24"/>
          <w:szCs w:val="24"/>
        </w:rPr>
        <w:t>Sb</w:t>
      </w:r>
      <w:r>
        <w:rPr>
          <w:sz w:val="24"/>
          <w:szCs w:val="24"/>
          <w:vertAlign w:val="subscript"/>
        </w:rPr>
        <w:t>2</w:t>
      </w:r>
      <w:r>
        <w:rPr>
          <w:sz w:val="24"/>
          <w:szCs w:val="24"/>
        </w:rPr>
        <w:t>Te</w:t>
      </w:r>
      <w:r>
        <w:rPr>
          <w:sz w:val="24"/>
          <w:szCs w:val="24"/>
          <w:vertAlign w:val="subscript"/>
        </w:rPr>
        <w:t>5</w:t>
      </w:r>
      <w:r>
        <w:rPr>
          <w:sz w:val="24"/>
          <w:szCs w:val="24"/>
        </w:rPr>
        <w:t xml:space="preserve"> (GST)</w:t>
      </w:r>
      <w:r w:rsidR="00652B58">
        <w:rPr>
          <w:sz w:val="24"/>
          <w:szCs w:val="24"/>
        </w:rPr>
        <w:t xml:space="preserve"> compound</w:t>
      </w:r>
      <w:r>
        <w:rPr>
          <w:sz w:val="24"/>
          <w:szCs w:val="24"/>
        </w:rPr>
        <w:t xml:space="preserve">. </w:t>
      </w:r>
      <w:r w:rsidR="00FD419C">
        <w:rPr>
          <w:sz w:val="24"/>
          <w:szCs w:val="24"/>
        </w:rPr>
        <w:t>Similarities between these two compounds will be identified in [</w:t>
      </w:r>
      <w:r w:rsidR="00CF2D2C">
        <w:rPr>
          <w:sz w:val="24"/>
          <w:szCs w:val="24"/>
        </w:rPr>
        <w:t>2</w:t>
      </w:r>
      <w:r w:rsidR="00FD419C">
        <w:rPr>
          <w:sz w:val="24"/>
          <w:szCs w:val="24"/>
        </w:rPr>
        <w:t>].</w:t>
      </w:r>
      <w:r w:rsidR="00411E46">
        <w:rPr>
          <w:sz w:val="24"/>
          <w:szCs w:val="24"/>
        </w:rPr>
        <w:t xml:space="preserve"> </w:t>
      </w:r>
      <w:r w:rsidR="00283F0E">
        <w:rPr>
          <w:sz w:val="24"/>
          <w:szCs w:val="24"/>
        </w:rPr>
        <w:t xml:space="preserve">The studies reviewed here are concerned with the structural changes in </w:t>
      </w:r>
      <w:r w:rsidR="003939BF">
        <w:rPr>
          <w:sz w:val="24"/>
          <w:szCs w:val="24"/>
        </w:rPr>
        <w:t>Ge-Te</w:t>
      </w:r>
      <w:r w:rsidR="00283F0E">
        <w:rPr>
          <w:sz w:val="24"/>
          <w:szCs w:val="24"/>
        </w:rPr>
        <w:t xml:space="preserve"> in both the liquid phase [</w:t>
      </w:r>
      <w:r w:rsidR="00CF2D2C">
        <w:rPr>
          <w:sz w:val="24"/>
          <w:szCs w:val="24"/>
        </w:rPr>
        <w:t>3</w:t>
      </w:r>
      <w:r w:rsidR="00283F0E">
        <w:rPr>
          <w:sz w:val="24"/>
          <w:szCs w:val="24"/>
        </w:rPr>
        <w:t>] and the quenched amorphous phase [</w:t>
      </w:r>
      <w:r w:rsidR="00D35663">
        <w:rPr>
          <w:sz w:val="24"/>
          <w:szCs w:val="24"/>
        </w:rPr>
        <w:t>1,2</w:t>
      </w:r>
      <w:r w:rsidR="00283F0E">
        <w:rPr>
          <w:sz w:val="24"/>
          <w:szCs w:val="24"/>
        </w:rPr>
        <w:t xml:space="preserve">]. All 3 studies are performed using ab-initio molecular dynamics simulations within the Born-Oppenheimer approximation. </w:t>
      </w:r>
      <w:r w:rsidR="00192212">
        <w:rPr>
          <w:sz w:val="24"/>
          <w:szCs w:val="24"/>
        </w:rPr>
        <w:t xml:space="preserve"> </w:t>
      </w:r>
      <w:r w:rsidR="0065551E">
        <w:rPr>
          <w:sz w:val="24"/>
          <w:szCs w:val="24"/>
        </w:rPr>
        <w:t xml:space="preserve">These simulations are extremely expensive (calculations scale as the number of electrons in the system, </w:t>
      </w:r>
      <w:r w:rsidR="00CE6FD4">
        <w:rPr>
          <w:sz w:val="24"/>
          <w:szCs w:val="24"/>
        </w:rPr>
        <w:t>O(</w:t>
      </w:r>
      <w:r w:rsidR="0065551E">
        <w:rPr>
          <w:sz w:val="24"/>
          <w:szCs w:val="24"/>
        </w:rPr>
        <w:t>N</w:t>
      </w:r>
      <w:r w:rsidR="0065551E">
        <w:rPr>
          <w:sz w:val="24"/>
          <w:szCs w:val="24"/>
          <w:vertAlign w:val="superscript"/>
        </w:rPr>
        <w:t>3</w:t>
      </w:r>
      <w:r w:rsidR="0065551E">
        <w:rPr>
          <w:sz w:val="24"/>
          <w:szCs w:val="24"/>
        </w:rPr>
        <w:t>)</w:t>
      </w:r>
      <w:r w:rsidR="004463D3">
        <w:rPr>
          <w:sz w:val="24"/>
          <w:szCs w:val="24"/>
        </w:rPr>
        <w:t>) and are usually used when no suitable interatomic po</w:t>
      </w:r>
      <w:r w:rsidR="009755C8">
        <w:rPr>
          <w:sz w:val="24"/>
          <w:szCs w:val="24"/>
        </w:rPr>
        <w:t>tentials exist for the material (as is the case for PC materials).</w:t>
      </w:r>
    </w:p>
    <w:p w:rsidR="001335C8" w:rsidRPr="001335C8" w:rsidRDefault="001335C8">
      <w:pPr>
        <w:rPr>
          <w:b/>
          <w:sz w:val="24"/>
          <w:szCs w:val="24"/>
        </w:rPr>
      </w:pPr>
      <w:r w:rsidRPr="001335C8">
        <w:rPr>
          <w:b/>
          <w:sz w:val="24"/>
          <w:szCs w:val="24"/>
        </w:rPr>
        <w:t>Ab-initio Molecular Dynamics</w:t>
      </w:r>
    </w:p>
    <w:p w:rsidR="00A87B42" w:rsidRDefault="00A87B42">
      <w:pPr>
        <w:rPr>
          <w:sz w:val="24"/>
          <w:szCs w:val="24"/>
        </w:rPr>
      </w:pPr>
      <w:r>
        <w:rPr>
          <w:sz w:val="24"/>
          <w:szCs w:val="24"/>
        </w:rPr>
        <w:t>Ab-initio Molecular Dynamics</w:t>
      </w:r>
      <w:r w:rsidR="00FD7F5C">
        <w:rPr>
          <w:sz w:val="24"/>
          <w:szCs w:val="24"/>
        </w:rPr>
        <w:t xml:space="preserve"> refers to a class of molecular simulation techniques which derive the forces in a molecular simulation via a quantum mechanical (electronic structure) calculation.</w:t>
      </w:r>
      <w:r w:rsidR="000C6F33">
        <w:rPr>
          <w:sz w:val="24"/>
          <w:szCs w:val="24"/>
        </w:rPr>
        <w:t xml:space="preserve"> In the Born-Oppenheimer approximation, the electrons follow the nuclear </w:t>
      </w:r>
      <w:r w:rsidR="000C6F33">
        <w:rPr>
          <w:sz w:val="24"/>
          <w:szCs w:val="24"/>
        </w:rPr>
        <w:lastRenderedPageBreak/>
        <w:t>coordinates adiabatically, such that their instantaneous configuration is in the ground state.</w:t>
      </w:r>
      <w:r w:rsidR="003B5083">
        <w:rPr>
          <w:sz w:val="24"/>
          <w:szCs w:val="24"/>
        </w:rPr>
        <w:t xml:space="preserve"> The eq</w:t>
      </w:r>
      <w:r w:rsidR="00B748B5">
        <w:rPr>
          <w:sz w:val="24"/>
          <w:szCs w:val="24"/>
        </w:rPr>
        <w:t>uation</w:t>
      </w:r>
      <w:r w:rsidR="00502C46">
        <w:rPr>
          <w:sz w:val="24"/>
          <w:szCs w:val="24"/>
        </w:rPr>
        <w:t>s</w:t>
      </w:r>
      <w:r w:rsidR="003B5083">
        <w:rPr>
          <w:sz w:val="24"/>
          <w:szCs w:val="24"/>
        </w:rPr>
        <w:t xml:space="preserve"> of motion for Born-O</w:t>
      </w:r>
      <w:r w:rsidR="00502C46">
        <w:rPr>
          <w:sz w:val="24"/>
          <w:szCs w:val="24"/>
        </w:rPr>
        <w:t>ppenheimer molecular dynamics are</w:t>
      </w:r>
      <w:r w:rsidR="003B5083">
        <w:rPr>
          <w:sz w:val="24"/>
          <w:szCs w:val="24"/>
        </w:rPr>
        <w:t>:</w:t>
      </w:r>
    </w:p>
    <w:p w:rsidR="00F64A40" w:rsidRDefault="00595C73">
      <w:pPr>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acc>
        </m:oMath>
      </m:oMathPara>
    </w:p>
    <w:p w:rsidR="004C51BE" w:rsidRDefault="003B5083">
      <w:pPr>
        <w:rPr>
          <w:sz w:val="24"/>
          <w:szCs w:val="24"/>
        </w:rPr>
      </w:pPr>
      <w:r>
        <w:rPr>
          <w:sz w:val="24"/>
          <w:szCs w:val="24"/>
        </w:rPr>
        <w:t xml:space="preserve">Where the subscript </w:t>
      </w:r>
      <w:r w:rsidRPr="00E13E8F">
        <w:rPr>
          <w:rFonts w:asciiTheme="majorHAnsi" w:hAnsiTheme="majorHAnsi" w:cs="Times New Roman"/>
          <w:i/>
          <w:sz w:val="24"/>
          <w:szCs w:val="24"/>
        </w:rPr>
        <w:t>I</w:t>
      </w:r>
      <w:r>
        <w:rPr>
          <w:sz w:val="24"/>
          <w:szCs w:val="24"/>
        </w:rPr>
        <w:t xml:space="preserve"> indicates the coordinate of nuclei </w:t>
      </w:r>
      <w:r w:rsidRPr="00E13E8F">
        <w:rPr>
          <w:rFonts w:asciiTheme="majorHAnsi" w:hAnsiTheme="majorHAnsi" w:cs="Times New Roman"/>
          <w:i/>
          <w:sz w:val="24"/>
          <w:szCs w:val="24"/>
        </w:rPr>
        <w:t>I</w:t>
      </w:r>
      <w:r>
        <w:rPr>
          <w:sz w:val="24"/>
          <w:szCs w:val="24"/>
        </w:rPr>
        <w:t>. Here the energy is that calculated from an electronic structure simulation, w</w:t>
      </w:r>
      <w:r w:rsidR="000D3DEF">
        <w:rPr>
          <w:sz w:val="24"/>
          <w:szCs w:val="24"/>
        </w:rPr>
        <w:t>hich is a function of the nuclear</w:t>
      </w:r>
      <w:r>
        <w:rPr>
          <w:sz w:val="24"/>
          <w:szCs w:val="24"/>
        </w:rPr>
        <w:t xml:space="preserve"> coordinates and the electronic wavefunction.</w:t>
      </w:r>
      <w:r w:rsidR="00896AE3">
        <w:rPr>
          <w:sz w:val="24"/>
          <w:szCs w:val="24"/>
        </w:rPr>
        <w:t xml:space="preserve"> This</w:t>
      </w:r>
      <w:r w:rsidR="008B1AD5">
        <w:rPr>
          <w:sz w:val="24"/>
          <w:szCs w:val="24"/>
        </w:rPr>
        <w:t xml:space="preserve"> expression is based on the Feynman-Hellman theorem, which</w:t>
      </w:r>
      <w:r w:rsidR="0008755B">
        <w:rPr>
          <w:sz w:val="24"/>
          <w:szCs w:val="24"/>
        </w:rPr>
        <w:t xml:space="preserve"> is the quantum analogue</w:t>
      </w:r>
      <w:r w:rsidR="00C912AD">
        <w:rPr>
          <w:sz w:val="24"/>
          <w:szCs w:val="24"/>
        </w:rPr>
        <w:t xml:space="preserve"> of Newton’s second law. </w:t>
      </w:r>
      <w:r w:rsidR="00E72093">
        <w:rPr>
          <w:sz w:val="24"/>
          <w:szCs w:val="24"/>
        </w:rPr>
        <w:t xml:space="preserve">Here the assumption is that for any general nuclei configuration, the electronic wavefunction is the ground state wavefunction. This allows the calculation of the forces on the nuclei as the derivative of the energy obtained from the electronic structure calculation with respect to the nuclear coordinates. </w:t>
      </w:r>
      <w:r w:rsidR="0034529E">
        <w:rPr>
          <w:sz w:val="24"/>
          <w:szCs w:val="24"/>
        </w:rPr>
        <w:t>There are many choices for calculating the ground state wavefunction for the system, but</w:t>
      </w:r>
      <w:r w:rsidR="00470CE5">
        <w:rPr>
          <w:sz w:val="24"/>
          <w:szCs w:val="24"/>
        </w:rPr>
        <w:t xml:space="preserve"> the most popul</w:t>
      </w:r>
      <w:r w:rsidR="007262CD">
        <w:rPr>
          <w:sz w:val="24"/>
          <w:szCs w:val="24"/>
        </w:rPr>
        <w:t xml:space="preserve">ar </w:t>
      </w:r>
      <w:r w:rsidR="00E938D6">
        <w:rPr>
          <w:sz w:val="24"/>
          <w:szCs w:val="24"/>
        </w:rPr>
        <w:t>is Density Functional Theory</w:t>
      </w:r>
      <w:r w:rsidR="00977D98">
        <w:rPr>
          <w:sz w:val="24"/>
          <w:szCs w:val="24"/>
        </w:rPr>
        <w:t xml:space="preserve"> (DFT)</w:t>
      </w:r>
      <w:r w:rsidR="00E938D6">
        <w:rPr>
          <w:sz w:val="24"/>
          <w:szCs w:val="24"/>
        </w:rPr>
        <w:t xml:space="preserve"> because of its computational efficiency. </w:t>
      </w:r>
      <w:r w:rsidR="00616B0F">
        <w:rPr>
          <w:sz w:val="24"/>
          <w:szCs w:val="24"/>
        </w:rPr>
        <w:t xml:space="preserve">This method of force calculation makes </w:t>
      </w:r>
      <w:r w:rsidR="00A54F06">
        <w:rPr>
          <w:sz w:val="24"/>
          <w:szCs w:val="24"/>
        </w:rPr>
        <w:t xml:space="preserve">it possible </w:t>
      </w:r>
      <w:r w:rsidR="005E417F">
        <w:rPr>
          <w:sz w:val="24"/>
          <w:szCs w:val="24"/>
        </w:rPr>
        <w:t>to simulate</w:t>
      </w:r>
      <w:r w:rsidR="00616B0F">
        <w:rPr>
          <w:sz w:val="24"/>
          <w:szCs w:val="24"/>
        </w:rPr>
        <w:t xml:space="preserve"> systems with widely varying compo</w:t>
      </w:r>
      <w:r w:rsidR="00311B92">
        <w:rPr>
          <w:sz w:val="24"/>
          <w:szCs w:val="24"/>
        </w:rPr>
        <w:t>sition and electronic structure without the need to parameterize interatomic potentials.</w:t>
      </w:r>
      <w:r w:rsidR="004C51BE">
        <w:rPr>
          <w:sz w:val="24"/>
          <w:szCs w:val="24"/>
        </w:rPr>
        <w:t xml:space="preserve"> </w:t>
      </w:r>
      <w:r w:rsidR="00E938D6">
        <w:rPr>
          <w:sz w:val="24"/>
          <w:szCs w:val="24"/>
        </w:rPr>
        <w:t xml:space="preserve">Once the forces are calculated, the molecular simulation can </w:t>
      </w:r>
      <w:r w:rsidR="00F33860">
        <w:rPr>
          <w:sz w:val="24"/>
          <w:szCs w:val="24"/>
        </w:rPr>
        <w:t>be carried out by evolving the positions of the nuclei</w:t>
      </w:r>
      <w:r w:rsidR="002F6C1E">
        <w:rPr>
          <w:sz w:val="24"/>
          <w:szCs w:val="24"/>
        </w:rPr>
        <w:t xml:space="preserve"> using any number of integration algorithms (Verlet, Runge-Kutta, etc.)</w:t>
      </w:r>
      <w:r w:rsidR="00F33860">
        <w:rPr>
          <w:sz w:val="24"/>
          <w:szCs w:val="24"/>
        </w:rPr>
        <w:t xml:space="preserve"> in any number </w:t>
      </w:r>
      <w:r w:rsidR="00A416FB">
        <w:rPr>
          <w:sz w:val="24"/>
          <w:szCs w:val="24"/>
        </w:rPr>
        <w:t>of ensembles (NVE, NVT, NPT, etc.).</w:t>
      </w:r>
      <w:r w:rsidR="00563270">
        <w:rPr>
          <w:sz w:val="24"/>
          <w:szCs w:val="24"/>
        </w:rPr>
        <w:t xml:space="preserve"> </w:t>
      </w:r>
    </w:p>
    <w:p w:rsidR="00B75E22" w:rsidRPr="002277CA" w:rsidRDefault="00974097">
      <w:pPr>
        <w:rPr>
          <w:b/>
          <w:sz w:val="24"/>
          <w:szCs w:val="24"/>
        </w:rPr>
      </w:pPr>
      <w:r w:rsidRPr="002277CA">
        <w:rPr>
          <w:b/>
          <w:sz w:val="24"/>
          <w:szCs w:val="24"/>
        </w:rPr>
        <w:t>Measurement of Struct</w:t>
      </w:r>
      <w:r w:rsidR="00B75E22" w:rsidRPr="002277CA">
        <w:rPr>
          <w:b/>
          <w:sz w:val="24"/>
          <w:szCs w:val="24"/>
        </w:rPr>
        <w:t>u</w:t>
      </w:r>
      <w:r w:rsidRPr="002277CA">
        <w:rPr>
          <w:b/>
          <w:sz w:val="24"/>
          <w:szCs w:val="24"/>
        </w:rPr>
        <w:t>r</w:t>
      </w:r>
      <w:r w:rsidR="00B75E22" w:rsidRPr="002277CA">
        <w:rPr>
          <w:b/>
          <w:sz w:val="24"/>
          <w:szCs w:val="24"/>
        </w:rPr>
        <w:t>e</w:t>
      </w:r>
    </w:p>
    <w:p w:rsidR="00B75E22" w:rsidRDefault="0033360E">
      <w:pPr>
        <w:rPr>
          <w:sz w:val="24"/>
          <w:szCs w:val="24"/>
        </w:rPr>
      </w:pPr>
      <w:r>
        <w:rPr>
          <w:sz w:val="24"/>
          <w:szCs w:val="24"/>
        </w:rPr>
        <w:t>In [</w:t>
      </w:r>
      <w:r w:rsidR="00D01E95">
        <w:rPr>
          <w:sz w:val="24"/>
          <w:szCs w:val="24"/>
        </w:rPr>
        <w:t>1-</w:t>
      </w:r>
      <w:r w:rsidR="00CF2D2C">
        <w:rPr>
          <w:sz w:val="24"/>
          <w:szCs w:val="24"/>
        </w:rPr>
        <w:t>3</w:t>
      </w:r>
      <w:r>
        <w:rPr>
          <w:sz w:val="24"/>
          <w:szCs w:val="24"/>
        </w:rPr>
        <w:t>], t</w:t>
      </w:r>
      <w:r w:rsidR="00B75E22">
        <w:rPr>
          <w:sz w:val="24"/>
          <w:szCs w:val="24"/>
        </w:rPr>
        <w:t>he</w:t>
      </w:r>
      <w:r>
        <w:rPr>
          <w:sz w:val="24"/>
          <w:szCs w:val="24"/>
        </w:rPr>
        <w:t>re are several</w:t>
      </w:r>
      <w:r w:rsidR="00B75E22">
        <w:rPr>
          <w:sz w:val="24"/>
          <w:szCs w:val="24"/>
        </w:rPr>
        <w:t xml:space="preserve"> measurement</w:t>
      </w:r>
      <w:r>
        <w:rPr>
          <w:sz w:val="24"/>
          <w:szCs w:val="24"/>
        </w:rPr>
        <w:t>s made to quantify the liquid and amorphous</w:t>
      </w:r>
      <w:r w:rsidR="00B75E22">
        <w:rPr>
          <w:sz w:val="24"/>
          <w:szCs w:val="24"/>
        </w:rPr>
        <w:t xml:space="preserve"> structure</w:t>
      </w:r>
      <w:r>
        <w:rPr>
          <w:sz w:val="24"/>
          <w:szCs w:val="24"/>
        </w:rPr>
        <w:t xml:space="preserve"> of </w:t>
      </w:r>
      <w:r w:rsidR="003939BF">
        <w:rPr>
          <w:sz w:val="24"/>
          <w:szCs w:val="24"/>
        </w:rPr>
        <w:t>Ge-Te</w:t>
      </w:r>
      <w:r>
        <w:rPr>
          <w:sz w:val="24"/>
          <w:szCs w:val="24"/>
        </w:rPr>
        <w:t xml:space="preserve"> and GST. Perhaps the most elucidating is the measurement of the Radial Distribution Function (RDF), defined as:</w:t>
      </w:r>
    </w:p>
    <w:p w:rsidR="00B75E22" w:rsidRDefault="00B75E22">
      <w:pPr>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=n(r)/(ρ4π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dr)</m:t>
          </m:r>
        </m:oMath>
      </m:oMathPara>
    </w:p>
    <w:p w:rsidR="00F906E1" w:rsidRDefault="0033360E">
      <w:pPr>
        <w:rPr>
          <w:rFonts w:eastAsiaTheme="minorEastAsia"/>
          <w:sz w:val="24"/>
          <w:szCs w:val="24"/>
        </w:rPr>
      </w:pPr>
      <w:r>
        <w:rPr>
          <w:sz w:val="24"/>
          <w:szCs w:val="24"/>
        </w:rPr>
        <w:t xml:space="preserve">Here, n(r) is the number of atoms inside a shell of radius size r and volume </w:t>
      </w:r>
      <m:oMath>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dr</m:t>
        </m:r>
      </m:oMath>
      <w:r>
        <w:rPr>
          <w:sz w:val="24"/>
          <w:szCs w:val="24"/>
        </w:rPr>
        <w:t xml:space="preserve"> around a given atom. This is normalized by the bulk density </w:t>
      </w:r>
      <m:oMath>
        <m:r>
          <w:rPr>
            <w:rFonts w:ascii="Cambria Math" w:hAnsi="Cambria Math"/>
            <w:sz w:val="24"/>
            <w:szCs w:val="24"/>
          </w:rPr>
          <m:t>ρ</m:t>
        </m:r>
      </m:oMath>
      <w:r>
        <w:rPr>
          <w:rFonts w:eastAsiaTheme="minorEastAsia"/>
          <w:sz w:val="24"/>
          <w:szCs w:val="24"/>
        </w:rPr>
        <w:t xml:space="preserve"> such that in the large r limit, g(r)=1.</w:t>
      </w:r>
      <w:r w:rsidR="00130983">
        <w:rPr>
          <w:rFonts w:eastAsiaTheme="minorEastAsia"/>
          <w:sz w:val="24"/>
          <w:szCs w:val="24"/>
        </w:rPr>
        <w:t xml:space="preserve"> Measurement of g(r) is done by ensemble averaging over all atoms in the system.  Partial RDFs can be defined by measuring g(r)</w:t>
      </w:r>
      <w:r w:rsidR="009821FA">
        <w:rPr>
          <w:rFonts w:eastAsiaTheme="minorEastAsia"/>
          <w:sz w:val="24"/>
          <w:szCs w:val="24"/>
        </w:rPr>
        <w:t xml:space="preserve"> around, say, Ge</w:t>
      </w:r>
      <w:r w:rsidR="00130983">
        <w:rPr>
          <w:rFonts w:eastAsiaTheme="minorEastAsia"/>
          <w:sz w:val="24"/>
          <w:szCs w:val="24"/>
        </w:rPr>
        <w:t xml:space="preserve"> and counting only other Ge atoms inside the shell.</w:t>
      </w:r>
      <w:r w:rsidR="00F906E1">
        <w:rPr>
          <w:rFonts w:eastAsiaTheme="minorEastAsia"/>
          <w:sz w:val="24"/>
          <w:szCs w:val="24"/>
        </w:rPr>
        <w:t xml:space="preserve"> For multi-species systems many partial RDFs can be defined</w:t>
      </w:r>
      <w:r w:rsidR="001243D0">
        <w:rPr>
          <w:rFonts w:eastAsiaTheme="minorEastAsia"/>
          <w:sz w:val="24"/>
          <w:szCs w:val="24"/>
        </w:rPr>
        <w:t xml:space="preserve"> (which are difficult</w:t>
      </w:r>
      <w:r w:rsidR="00652F0A">
        <w:rPr>
          <w:rFonts w:eastAsiaTheme="minorEastAsia"/>
          <w:sz w:val="24"/>
          <w:szCs w:val="24"/>
        </w:rPr>
        <w:t xml:space="preserve"> or impossible</w:t>
      </w:r>
      <w:r w:rsidR="001243D0">
        <w:rPr>
          <w:rFonts w:eastAsiaTheme="minorEastAsia"/>
          <w:sz w:val="24"/>
          <w:szCs w:val="24"/>
        </w:rPr>
        <w:t xml:space="preserve"> to measure experimentally)</w:t>
      </w:r>
      <w:r w:rsidR="00AA2300">
        <w:rPr>
          <w:rFonts w:eastAsiaTheme="minorEastAsia"/>
          <w:sz w:val="24"/>
          <w:szCs w:val="24"/>
        </w:rPr>
        <w:t>.</w:t>
      </w:r>
      <w:r w:rsidR="0074563B">
        <w:rPr>
          <w:rFonts w:eastAsiaTheme="minorEastAsia"/>
          <w:sz w:val="24"/>
          <w:szCs w:val="24"/>
        </w:rPr>
        <w:t xml:space="preserve"> These partial RDFs contain</w:t>
      </w:r>
      <w:r w:rsidR="000420C0">
        <w:rPr>
          <w:rFonts w:eastAsiaTheme="minorEastAsia"/>
          <w:sz w:val="24"/>
          <w:szCs w:val="24"/>
        </w:rPr>
        <w:t xml:space="preserve"> information about bonding on a species-by-species basis</w:t>
      </w:r>
      <w:r w:rsidR="00E07522">
        <w:rPr>
          <w:rFonts w:eastAsiaTheme="minorEastAsia"/>
          <w:sz w:val="24"/>
          <w:szCs w:val="24"/>
        </w:rPr>
        <w:t>, and can be valuable for analysis</w:t>
      </w:r>
      <w:r w:rsidR="000420C0">
        <w:rPr>
          <w:rFonts w:eastAsiaTheme="minorEastAsia"/>
          <w:sz w:val="24"/>
          <w:szCs w:val="24"/>
        </w:rPr>
        <w:t>.</w:t>
      </w:r>
    </w:p>
    <w:p w:rsidR="00B75E22" w:rsidRDefault="00F906E1">
      <w:pPr>
        <w:rPr>
          <w:sz w:val="24"/>
          <w:szCs w:val="24"/>
        </w:rPr>
      </w:pPr>
      <w:r>
        <w:rPr>
          <w:rFonts w:eastAsiaTheme="minorEastAsia"/>
          <w:sz w:val="24"/>
          <w:szCs w:val="24"/>
        </w:rPr>
        <w:t>In the crystal phase, RDFs display multiple well defined peaks corresponding to the first, second, and larger nearest neighbor distances. In amorphous and liquid phases, RDFs usually display a first (and possibly a second) nearest neighbor peak, after which g(r)</w:t>
      </w:r>
      <w:r w:rsidR="00831D74">
        <w:rPr>
          <w:rFonts w:eastAsiaTheme="minorEastAsia"/>
          <w:sz w:val="24"/>
          <w:szCs w:val="24"/>
        </w:rPr>
        <w:t xml:space="preserve"> decreases sharply </w:t>
      </w:r>
      <w:r w:rsidR="00831D74">
        <w:rPr>
          <w:rFonts w:eastAsiaTheme="minorEastAsia"/>
          <w:sz w:val="24"/>
          <w:szCs w:val="24"/>
        </w:rPr>
        <w:lastRenderedPageBreak/>
        <w:t>to its large r limit of 1.</w:t>
      </w:r>
      <w:r w:rsidR="00E31272">
        <w:rPr>
          <w:rFonts w:eastAsiaTheme="minorEastAsia"/>
          <w:sz w:val="24"/>
          <w:szCs w:val="24"/>
        </w:rPr>
        <w:t xml:space="preserve"> This is an indication of a lack of long-range order</w:t>
      </w:r>
      <w:r w:rsidR="007D0930">
        <w:rPr>
          <w:rFonts w:eastAsiaTheme="minorEastAsia"/>
          <w:sz w:val="24"/>
          <w:szCs w:val="24"/>
        </w:rPr>
        <w:t>,</w:t>
      </w:r>
      <w:r w:rsidR="00E31272">
        <w:rPr>
          <w:rFonts w:eastAsiaTheme="minorEastAsia"/>
          <w:sz w:val="24"/>
          <w:szCs w:val="24"/>
        </w:rPr>
        <w:t xml:space="preserve"> which is the signature of a disordered/amorphous structure.</w:t>
      </w:r>
    </w:p>
    <w:p w:rsidR="0086423C" w:rsidRPr="00CB09F2" w:rsidRDefault="00AB5AF3">
      <w:pPr>
        <w:rPr>
          <w:b/>
          <w:sz w:val="28"/>
          <w:szCs w:val="28"/>
        </w:rPr>
      </w:pPr>
      <w:r w:rsidRPr="00CB09F2">
        <w:rPr>
          <w:b/>
          <w:sz w:val="28"/>
          <w:szCs w:val="28"/>
        </w:rPr>
        <w:t>Liquid Phase Simula</w:t>
      </w:r>
      <w:r w:rsidR="001B2E4F" w:rsidRPr="00CB09F2">
        <w:rPr>
          <w:b/>
          <w:sz w:val="28"/>
          <w:szCs w:val="28"/>
        </w:rPr>
        <w:t>tion</w:t>
      </w:r>
    </w:p>
    <w:p w:rsidR="002110AB" w:rsidRPr="00CB09F2" w:rsidRDefault="002110AB">
      <w:pPr>
        <w:rPr>
          <w:b/>
          <w:sz w:val="24"/>
          <w:szCs w:val="24"/>
        </w:rPr>
      </w:pPr>
      <w:r w:rsidRPr="00CB09F2">
        <w:rPr>
          <w:b/>
          <w:sz w:val="24"/>
          <w:szCs w:val="24"/>
        </w:rPr>
        <w:t>Simulation Details</w:t>
      </w:r>
    </w:p>
    <w:p w:rsidR="005A34BD" w:rsidRDefault="00563270">
      <w:pPr>
        <w:rPr>
          <w:sz w:val="24"/>
          <w:szCs w:val="24"/>
        </w:rPr>
      </w:pPr>
      <w:r>
        <w:rPr>
          <w:sz w:val="24"/>
          <w:szCs w:val="24"/>
        </w:rPr>
        <w:t>The</w:t>
      </w:r>
      <w:r w:rsidR="00F8133A">
        <w:rPr>
          <w:sz w:val="24"/>
          <w:szCs w:val="24"/>
        </w:rPr>
        <w:t xml:space="preserve"> liquid</w:t>
      </w:r>
      <w:r>
        <w:rPr>
          <w:sz w:val="24"/>
          <w:szCs w:val="24"/>
        </w:rPr>
        <w:t xml:space="preserve"> simulation</w:t>
      </w:r>
      <w:r w:rsidR="009017F9">
        <w:rPr>
          <w:sz w:val="24"/>
          <w:szCs w:val="24"/>
        </w:rPr>
        <w:t>s</w:t>
      </w:r>
      <w:r>
        <w:rPr>
          <w:sz w:val="24"/>
          <w:szCs w:val="24"/>
        </w:rPr>
        <w:t xml:space="preserve"> in [</w:t>
      </w:r>
      <w:r w:rsidR="00CF2D2C">
        <w:rPr>
          <w:sz w:val="24"/>
          <w:szCs w:val="24"/>
        </w:rPr>
        <w:t>3</w:t>
      </w:r>
      <w:r w:rsidR="004307DB">
        <w:rPr>
          <w:sz w:val="24"/>
          <w:szCs w:val="24"/>
        </w:rPr>
        <w:t>]</w:t>
      </w:r>
      <w:r>
        <w:rPr>
          <w:sz w:val="24"/>
          <w:szCs w:val="24"/>
        </w:rPr>
        <w:t xml:space="preserve"> </w:t>
      </w:r>
      <w:r w:rsidR="009017F9">
        <w:rPr>
          <w:sz w:val="24"/>
          <w:szCs w:val="24"/>
        </w:rPr>
        <w:t>we carried out in an NVT ensemble using the Lagevin thermostat.</w:t>
      </w:r>
      <w:r w:rsidR="00B00E0A">
        <w:rPr>
          <w:sz w:val="24"/>
          <w:szCs w:val="24"/>
        </w:rPr>
        <w:t xml:space="preserve"> Data collection was taken in an NVE ensemble.</w:t>
      </w:r>
      <w:r w:rsidR="00977D98">
        <w:rPr>
          <w:sz w:val="24"/>
          <w:szCs w:val="24"/>
        </w:rPr>
        <w:t xml:space="preserve"> The forces were calculate</w:t>
      </w:r>
      <w:r w:rsidR="001D3B83">
        <w:rPr>
          <w:sz w:val="24"/>
          <w:szCs w:val="24"/>
        </w:rPr>
        <w:t>d using DFT and pseudo-potentials within the local density approximation (LDA)</w:t>
      </w:r>
      <w:r w:rsidR="007751FE">
        <w:rPr>
          <w:sz w:val="24"/>
          <w:szCs w:val="24"/>
        </w:rPr>
        <w:t>.</w:t>
      </w:r>
      <w:r w:rsidR="00424A3D">
        <w:rPr>
          <w:sz w:val="24"/>
          <w:szCs w:val="24"/>
        </w:rPr>
        <w:t xml:space="preserve"> The </w:t>
      </w:r>
      <w:r w:rsidR="004A3654">
        <w:rPr>
          <w:sz w:val="24"/>
          <w:szCs w:val="24"/>
        </w:rPr>
        <w:t xml:space="preserve">system contained 64 atoms of </w:t>
      </w:r>
      <w:r w:rsidR="003939BF">
        <w:rPr>
          <w:sz w:val="24"/>
          <w:szCs w:val="24"/>
        </w:rPr>
        <w:t>Ge-Te</w:t>
      </w:r>
      <w:r w:rsidR="00424A3D">
        <w:rPr>
          <w:sz w:val="24"/>
          <w:szCs w:val="24"/>
        </w:rPr>
        <w:t xml:space="preserve"> in a cubic supercell of side length 12.4 Angstroms to reproduce the experimental liquid density (0.0335 atoms/Angstroms</w:t>
      </w:r>
      <w:r w:rsidR="00424A3D">
        <w:rPr>
          <w:sz w:val="24"/>
          <w:szCs w:val="24"/>
          <w:vertAlign w:val="superscript"/>
        </w:rPr>
        <w:t>3</w:t>
      </w:r>
      <w:r w:rsidR="00424A3D">
        <w:rPr>
          <w:sz w:val="24"/>
          <w:szCs w:val="24"/>
        </w:rPr>
        <w:t xml:space="preserve">). </w:t>
      </w:r>
      <w:r w:rsidR="001661DA">
        <w:rPr>
          <w:sz w:val="24"/>
          <w:szCs w:val="24"/>
        </w:rPr>
        <w:t xml:space="preserve">A time step size of 7.2 fs was used to </w:t>
      </w:r>
      <w:r w:rsidR="004C512B">
        <w:rPr>
          <w:sz w:val="24"/>
          <w:szCs w:val="24"/>
        </w:rPr>
        <w:t>“thermalize”</w:t>
      </w:r>
      <w:r w:rsidR="00BE5A15">
        <w:rPr>
          <w:sz w:val="24"/>
          <w:szCs w:val="24"/>
        </w:rPr>
        <w:t xml:space="preserve"> a liquid at 6000K for 3 ps to remove memory of the initial crystal phase. </w:t>
      </w:r>
      <w:r w:rsidR="00C60849">
        <w:rPr>
          <w:sz w:val="24"/>
          <w:szCs w:val="24"/>
        </w:rPr>
        <w:t xml:space="preserve">The system was cooled to the melt temperature of 1000K in 3 ps where data was taken for another 3 ps. </w:t>
      </w:r>
    </w:p>
    <w:p w:rsidR="00E938D6" w:rsidRDefault="00C35FD5">
      <w:pPr>
        <w:rPr>
          <w:sz w:val="24"/>
          <w:szCs w:val="24"/>
        </w:rPr>
      </w:pPr>
      <w:r>
        <w:rPr>
          <w:sz w:val="24"/>
          <w:szCs w:val="24"/>
        </w:rPr>
        <w:t>The entire melt process (from crystal to liquid at the melt temperature) was performed over</w:t>
      </w:r>
      <w:r w:rsidR="00374BD5">
        <w:rPr>
          <w:sz w:val="24"/>
          <w:szCs w:val="24"/>
        </w:rPr>
        <w:t xml:space="preserve"> (roughly)</w:t>
      </w:r>
      <w:r>
        <w:rPr>
          <w:sz w:val="24"/>
          <w:szCs w:val="24"/>
        </w:rPr>
        <w:t xml:space="preserve"> 8 ps, which is (at least) 2 orders of magnitude less than the entire</w:t>
      </w:r>
      <w:r w:rsidR="00903234">
        <w:rPr>
          <w:sz w:val="24"/>
          <w:szCs w:val="24"/>
        </w:rPr>
        <w:t xml:space="preserve"> experimental</w:t>
      </w:r>
      <w:r>
        <w:rPr>
          <w:sz w:val="24"/>
          <w:szCs w:val="24"/>
        </w:rPr>
        <w:t xml:space="preserve"> quench process from crystal to amorphous phase</w:t>
      </w:r>
      <w:r w:rsidR="00446939">
        <w:rPr>
          <w:sz w:val="24"/>
          <w:szCs w:val="24"/>
        </w:rPr>
        <w:t>.</w:t>
      </w:r>
      <w:r w:rsidR="00012E18">
        <w:rPr>
          <w:sz w:val="24"/>
          <w:szCs w:val="24"/>
        </w:rPr>
        <w:t xml:space="preserve"> Here one must trust that the author’s tested to ensure that the results did not depend on this short melting time. </w:t>
      </w:r>
      <w:r w:rsidR="005A34BD">
        <w:rPr>
          <w:sz w:val="24"/>
          <w:szCs w:val="24"/>
        </w:rPr>
        <w:t>Also, the size of the system is only 64 atoms, and the simulation cell contains only 2 repeat units of the dist</w:t>
      </w:r>
      <w:r w:rsidR="005D2671">
        <w:rPr>
          <w:sz w:val="24"/>
          <w:szCs w:val="24"/>
        </w:rPr>
        <w:t>orted rocksalt bond alternation present in the crystal phase.</w:t>
      </w:r>
    </w:p>
    <w:p w:rsidR="001F6DC1" w:rsidRPr="00CB09F2" w:rsidRDefault="001F6DC1">
      <w:pPr>
        <w:rPr>
          <w:b/>
          <w:sz w:val="24"/>
          <w:szCs w:val="24"/>
        </w:rPr>
      </w:pPr>
      <w:r w:rsidRPr="00CB09F2">
        <w:rPr>
          <w:b/>
          <w:sz w:val="24"/>
          <w:szCs w:val="24"/>
        </w:rPr>
        <w:t>Results</w:t>
      </w:r>
    </w:p>
    <w:p w:rsidR="00734262" w:rsidRDefault="00B21143">
      <w:pPr>
        <w:rPr>
          <w:sz w:val="24"/>
          <w:szCs w:val="24"/>
        </w:rPr>
      </w:pPr>
      <w:r>
        <w:rPr>
          <w:sz w:val="24"/>
          <w:szCs w:val="24"/>
        </w:rPr>
        <w:t>The simulation results are compared with neutron-diffraction measurements of the liquid phase Radial Distribution Function (RDF)</w:t>
      </w:r>
      <w:r w:rsidR="00411FC0">
        <w:rPr>
          <w:sz w:val="24"/>
          <w:szCs w:val="24"/>
        </w:rPr>
        <w:t xml:space="preserve"> in Fig.</w:t>
      </w:r>
      <w:r>
        <w:rPr>
          <w:sz w:val="24"/>
          <w:szCs w:val="24"/>
        </w:rPr>
        <w:t xml:space="preserve"> 1 (6)</w:t>
      </w:r>
      <w:r w:rsidR="00411FC0">
        <w:rPr>
          <w:sz w:val="24"/>
          <w:szCs w:val="24"/>
        </w:rPr>
        <w:t>.  Only the total RDF is available experimentally, and the simulation is in good agreement (top Fig. 1).</w:t>
      </w:r>
      <w:r w:rsidR="00C641C2">
        <w:rPr>
          <w:sz w:val="24"/>
          <w:szCs w:val="24"/>
        </w:rPr>
        <w:t xml:space="preserve"> One sees an overall shortening of bond lengths in the liquid phase (2.85, 3.15 Angstrom bond lengths in crystal) to 2.72 Angstroms</w:t>
      </w:r>
      <w:r w:rsidR="002C65E9">
        <w:rPr>
          <w:sz w:val="24"/>
          <w:szCs w:val="24"/>
        </w:rPr>
        <w:t>. With the simulation</w:t>
      </w:r>
      <w:r w:rsidR="008D77AF">
        <w:rPr>
          <w:sz w:val="24"/>
          <w:szCs w:val="24"/>
        </w:rPr>
        <w:t xml:space="preserve"> results</w:t>
      </w:r>
      <w:r w:rsidR="002C65E9">
        <w:rPr>
          <w:sz w:val="24"/>
          <w:szCs w:val="24"/>
        </w:rPr>
        <w:t>, partial RDFs were measured</w:t>
      </w:r>
      <w:r w:rsidR="008D77AF">
        <w:rPr>
          <w:sz w:val="24"/>
          <w:szCs w:val="24"/>
        </w:rPr>
        <w:t xml:space="preserve"> </w:t>
      </w:r>
      <w:r w:rsidR="00772FF5">
        <w:rPr>
          <w:sz w:val="24"/>
          <w:szCs w:val="24"/>
        </w:rPr>
        <w:t>to</w:t>
      </w:r>
      <w:r w:rsidR="008D77AF">
        <w:rPr>
          <w:sz w:val="24"/>
          <w:szCs w:val="24"/>
        </w:rPr>
        <w:t xml:space="preserve"> show</w:t>
      </w:r>
      <w:r w:rsidR="002C65E9">
        <w:rPr>
          <w:sz w:val="24"/>
          <w:szCs w:val="24"/>
        </w:rPr>
        <w:t xml:space="preserve"> </w:t>
      </w:r>
      <w:r w:rsidR="00772FF5">
        <w:rPr>
          <w:sz w:val="24"/>
          <w:szCs w:val="24"/>
        </w:rPr>
        <w:t>that Ge-Te and Ge-Ge experience much shorter bonding (2.72 and</w:t>
      </w:r>
      <w:r w:rsidR="00D559E6">
        <w:rPr>
          <w:sz w:val="24"/>
          <w:szCs w:val="24"/>
        </w:rPr>
        <w:t xml:space="preserve"> 2.6 Angstroms, respectively)</w:t>
      </w:r>
      <w:r w:rsidR="00A102A3">
        <w:rPr>
          <w:sz w:val="24"/>
          <w:szCs w:val="24"/>
        </w:rPr>
        <w:t xml:space="preserve"> than in the crystal phase (2.85/3.15 and 4.3, respectively)</w:t>
      </w:r>
      <w:r w:rsidR="00D559E6">
        <w:rPr>
          <w:sz w:val="24"/>
          <w:szCs w:val="24"/>
        </w:rPr>
        <w:t>.</w:t>
      </w:r>
      <w:r w:rsidR="00AC5338">
        <w:rPr>
          <w:sz w:val="24"/>
          <w:szCs w:val="24"/>
        </w:rPr>
        <w:t xml:space="preserve"> The coordination f</w:t>
      </w:r>
      <w:r w:rsidR="002F2A05">
        <w:rPr>
          <w:sz w:val="24"/>
          <w:szCs w:val="24"/>
        </w:rPr>
        <w:t>or Ge-Ge is also larger than</w:t>
      </w:r>
      <w:r w:rsidR="00AC5338">
        <w:rPr>
          <w:sz w:val="24"/>
          <w:szCs w:val="24"/>
        </w:rPr>
        <w:t xml:space="preserve"> Te-Te, while Te atoms repel each other outside the first coordination shell of the crystal phase (r&lt;3.15 Angstroms). </w:t>
      </w:r>
      <w:r w:rsidR="00B938F9">
        <w:rPr>
          <w:sz w:val="24"/>
          <w:szCs w:val="24"/>
        </w:rPr>
        <w:t>This leads the authors to reject the proposal that the liquid phase should show tetrahedral order</w:t>
      </w:r>
      <w:r w:rsidR="00633BA5">
        <w:rPr>
          <w:sz w:val="24"/>
          <w:szCs w:val="24"/>
        </w:rPr>
        <w:t xml:space="preserve"> [</w:t>
      </w:r>
      <w:r w:rsidR="00715012">
        <w:rPr>
          <w:sz w:val="24"/>
          <w:szCs w:val="24"/>
        </w:rPr>
        <w:t>6</w:t>
      </w:r>
      <w:r w:rsidR="00633BA5">
        <w:rPr>
          <w:sz w:val="24"/>
          <w:szCs w:val="24"/>
        </w:rPr>
        <w:t>]</w:t>
      </w:r>
      <w:r w:rsidR="00E91676">
        <w:rPr>
          <w:sz w:val="24"/>
          <w:szCs w:val="24"/>
        </w:rPr>
        <w:t>, although the total coordination is close to 4.</w:t>
      </w:r>
      <w:r w:rsidR="003E3FA8">
        <w:rPr>
          <w:sz w:val="24"/>
          <w:szCs w:val="24"/>
        </w:rPr>
        <w:t xml:space="preserve"> </w:t>
      </w:r>
      <w:r w:rsidR="00DC7EAA">
        <w:rPr>
          <w:sz w:val="24"/>
          <w:szCs w:val="24"/>
        </w:rPr>
        <w:t>Overall, much shorter bonding is present in the liquid phase.</w:t>
      </w:r>
    </w:p>
    <w:p w:rsidR="00CB09F2" w:rsidRPr="00DF7BB4" w:rsidRDefault="003939BF">
      <w:pPr>
        <w:rPr>
          <w:b/>
          <w:sz w:val="24"/>
          <w:szCs w:val="24"/>
        </w:rPr>
      </w:pPr>
      <w:r w:rsidRPr="00DF7BB4">
        <w:rPr>
          <w:b/>
          <w:sz w:val="24"/>
          <w:szCs w:val="24"/>
        </w:rPr>
        <w:t>Criticism</w:t>
      </w:r>
    </w:p>
    <w:p w:rsidR="007B7F2F" w:rsidRDefault="003E3FA8">
      <w:pPr>
        <w:rPr>
          <w:sz w:val="24"/>
          <w:szCs w:val="24"/>
        </w:rPr>
      </w:pPr>
      <w:r>
        <w:rPr>
          <w:sz w:val="24"/>
          <w:szCs w:val="24"/>
        </w:rPr>
        <w:t xml:space="preserve">The author’s claim that the Peierl’s distortion (characterized by alternating short and long bonds) that is present at low temperature in the crystal phase, reenters in the liquid phase.  </w:t>
      </w:r>
      <w:r>
        <w:rPr>
          <w:sz w:val="24"/>
          <w:szCs w:val="24"/>
        </w:rPr>
        <w:lastRenderedPageBreak/>
        <w:t>There are serious</w:t>
      </w:r>
      <w:r w:rsidR="003D419C">
        <w:rPr>
          <w:sz w:val="24"/>
          <w:szCs w:val="24"/>
        </w:rPr>
        <w:t xml:space="preserve"> questions about the validity of this claim considering that the simulation cell used contains only 2 repeat units</w:t>
      </w:r>
      <w:r w:rsidR="009811B5">
        <w:rPr>
          <w:sz w:val="24"/>
          <w:szCs w:val="24"/>
        </w:rPr>
        <w:t xml:space="preserve"> of the distorted rocksalt unit. The Peierl’s distortion is dependent on the broken rocksalt symmetry which opens a gap at the Fermi surface.  This gap opens at the Fermi wavevector, which is</w:t>
      </w:r>
      <w:r w:rsidR="00734262">
        <w:rPr>
          <w:sz w:val="24"/>
          <w:szCs w:val="24"/>
        </w:rPr>
        <w:t xml:space="preserve"> only</w:t>
      </w:r>
      <w:r w:rsidR="009811B5">
        <w:rPr>
          <w:sz w:val="24"/>
          <w:szCs w:val="24"/>
        </w:rPr>
        <w:t xml:space="preserve"> </w:t>
      </w:r>
      <w:r w:rsidR="00734262">
        <w:rPr>
          <w:sz w:val="24"/>
          <w:szCs w:val="24"/>
        </w:rPr>
        <w:t>(</w:t>
      </w:r>
      <w:r w:rsidR="009811B5">
        <w:rPr>
          <w:sz w:val="24"/>
          <w:szCs w:val="24"/>
        </w:rPr>
        <w:t>roughly</w:t>
      </w:r>
      <w:r w:rsidR="00734262">
        <w:rPr>
          <w:sz w:val="24"/>
          <w:szCs w:val="24"/>
        </w:rPr>
        <w:t>)</w:t>
      </w:r>
      <w:r w:rsidR="009811B5">
        <w:rPr>
          <w:sz w:val="24"/>
          <w:szCs w:val="24"/>
        </w:rPr>
        <w:t xml:space="preserve"> a factor 2 larger than the wavenumer of the simulation cell size. This brings up serious questions about the effect of periodicity on the simulation results, particularly with regards to electronic structure.</w:t>
      </w:r>
    </w:p>
    <w:p w:rsidR="00B21143" w:rsidRDefault="00B21143" w:rsidP="00B21143">
      <w:pPr>
        <w:jc w:val="center"/>
        <w:rPr>
          <w:sz w:val="24"/>
          <w:szCs w:val="24"/>
        </w:rPr>
      </w:pPr>
      <w:r>
        <w:rPr>
          <w:noProof/>
          <w:sz w:val="24"/>
          <w:szCs w:val="24"/>
        </w:rPr>
        <w:drawing>
          <wp:inline distT="0" distB="0" distL="0" distR="0">
            <wp:extent cx="3061798" cy="2962275"/>
            <wp:effectExtent l="19050" t="0" r="525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61798" cy="2962275"/>
                    </a:xfrm>
                    <a:prstGeom prst="rect">
                      <a:avLst/>
                    </a:prstGeom>
                    <a:noFill/>
                    <a:ln w="9525">
                      <a:noFill/>
                      <a:miter lim="800000"/>
                      <a:headEnd/>
                      <a:tailEnd/>
                    </a:ln>
                  </pic:spPr>
                </pic:pic>
              </a:graphicData>
            </a:graphic>
          </wp:inline>
        </w:drawing>
      </w:r>
    </w:p>
    <w:p w:rsidR="00013DC4" w:rsidRDefault="00013DC4" w:rsidP="00013DC4">
      <w:pPr>
        <w:pStyle w:val="Caption"/>
        <w:jc w:val="center"/>
        <w:rPr>
          <w:sz w:val="24"/>
          <w:szCs w:val="24"/>
        </w:rPr>
      </w:pPr>
      <w:r>
        <w:t xml:space="preserve">Figure </w:t>
      </w:r>
      <w:fldSimple w:instr=" SEQ Figure \* ARABIC ">
        <w:r w:rsidR="00E932CE">
          <w:rPr>
            <w:noProof/>
          </w:rPr>
          <w:t>1</w:t>
        </w:r>
      </w:fldSimple>
      <w:r>
        <w:t>: Total and partial pair RDFs from the neutron diffraction experiment and simulations.</w:t>
      </w:r>
    </w:p>
    <w:p w:rsidR="0057474C" w:rsidRDefault="00130CC1" w:rsidP="0057474C">
      <w:pPr>
        <w:rPr>
          <w:b/>
          <w:sz w:val="28"/>
          <w:szCs w:val="28"/>
        </w:rPr>
      </w:pPr>
      <w:r w:rsidRPr="009C7CCA">
        <w:rPr>
          <w:b/>
          <w:sz w:val="28"/>
          <w:szCs w:val="28"/>
        </w:rPr>
        <w:t>Amorphous Phase Simulation</w:t>
      </w:r>
      <w:r w:rsidR="005015E1" w:rsidRPr="009C7CCA">
        <w:rPr>
          <w:b/>
          <w:sz w:val="28"/>
          <w:szCs w:val="28"/>
        </w:rPr>
        <w:t xml:space="preserve"> of </w:t>
      </w:r>
      <w:r w:rsidR="003939BF">
        <w:rPr>
          <w:b/>
          <w:sz w:val="28"/>
          <w:szCs w:val="28"/>
        </w:rPr>
        <w:t>Ge-Te</w:t>
      </w:r>
    </w:p>
    <w:p w:rsidR="009C7CCA" w:rsidRPr="009C7CCA" w:rsidRDefault="00CE764C" w:rsidP="0057474C">
      <w:pPr>
        <w:rPr>
          <w:b/>
          <w:sz w:val="24"/>
          <w:szCs w:val="24"/>
        </w:rPr>
      </w:pPr>
      <w:r>
        <w:rPr>
          <w:b/>
          <w:sz w:val="24"/>
          <w:szCs w:val="24"/>
        </w:rPr>
        <w:t>Simula</w:t>
      </w:r>
      <w:r w:rsidR="009C7CCA">
        <w:rPr>
          <w:b/>
          <w:sz w:val="24"/>
          <w:szCs w:val="24"/>
        </w:rPr>
        <w:t>tion Details</w:t>
      </w:r>
    </w:p>
    <w:p w:rsidR="00130CC1" w:rsidRDefault="00B02F0B" w:rsidP="0057474C">
      <w:pPr>
        <w:rPr>
          <w:sz w:val="24"/>
          <w:szCs w:val="24"/>
        </w:rPr>
      </w:pPr>
      <w:r>
        <w:rPr>
          <w:sz w:val="24"/>
          <w:szCs w:val="24"/>
        </w:rPr>
        <w:t>The simulations in [</w:t>
      </w:r>
      <w:r w:rsidR="00CF2D2C">
        <w:rPr>
          <w:sz w:val="24"/>
          <w:szCs w:val="24"/>
        </w:rPr>
        <w:t>1</w:t>
      </w:r>
      <w:r>
        <w:rPr>
          <w:sz w:val="24"/>
          <w:szCs w:val="24"/>
        </w:rPr>
        <w:t xml:space="preserve">] </w:t>
      </w:r>
      <w:r w:rsidR="00845E03">
        <w:rPr>
          <w:sz w:val="24"/>
          <w:szCs w:val="24"/>
        </w:rPr>
        <w:t>cover the entire crystal-liquid-amorphous quench cycle.</w:t>
      </w:r>
      <w:r>
        <w:rPr>
          <w:sz w:val="24"/>
          <w:szCs w:val="24"/>
        </w:rPr>
        <w:t xml:space="preserve"> </w:t>
      </w:r>
      <w:r w:rsidR="000E1DAE">
        <w:rPr>
          <w:sz w:val="24"/>
          <w:szCs w:val="24"/>
        </w:rPr>
        <w:t>The author’</w:t>
      </w:r>
      <w:r w:rsidR="004A3654">
        <w:rPr>
          <w:sz w:val="24"/>
          <w:szCs w:val="24"/>
        </w:rPr>
        <w:t xml:space="preserve">s study both </w:t>
      </w:r>
      <w:r w:rsidR="003939BF">
        <w:rPr>
          <w:sz w:val="24"/>
          <w:szCs w:val="24"/>
        </w:rPr>
        <w:t>Ge-Te</w:t>
      </w:r>
      <w:r w:rsidR="000E1DAE">
        <w:rPr>
          <w:sz w:val="24"/>
          <w:szCs w:val="24"/>
        </w:rPr>
        <w:t xml:space="preserve"> and the eutectic composition Ge</w:t>
      </w:r>
      <w:r w:rsidR="000E1DAE">
        <w:rPr>
          <w:sz w:val="24"/>
          <w:szCs w:val="24"/>
          <w:vertAlign w:val="subscript"/>
        </w:rPr>
        <w:t>15</w:t>
      </w:r>
      <w:r w:rsidR="000E1DAE">
        <w:rPr>
          <w:sz w:val="24"/>
          <w:szCs w:val="24"/>
        </w:rPr>
        <w:t>Te</w:t>
      </w:r>
      <w:r w:rsidR="000E1DAE">
        <w:rPr>
          <w:sz w:val="24"/>
          <w:szCs w:val="24"/>
          <w:vertAlign w:val="subscript"/>
        </w:rPr>
        <w:t>85</w:t>
      </w:r>
      <w:r w:rsidR="000E1DAE">
        <w:rPr>
          <w:sz w:val="24"/>
          <w:szCs w:val="24"/>
        </w:rPr>
        <w:t xml:space="preserve">. </w:t>
      </w:r>
      <w:r w:rsidR="00A23BCF">
        <w:rPr>
          <w:sz w:val="24"/>
          <w:szCs w:val="24"/>
        </w:rPr>
        <w:t xml:space="preserve">There are several </w:t>
      </w:r>
      <w:r w:rsidR="00BD1264">
        <w:rPr>
          <w:sz w:val="24"/>
          <w:szCs w:val="24"/>
        </w:rPr>
        <w:t xml:space="preserve">sharp changes to the eutectic composition upon melting, including a semiconductor to metal transition, </w:t>
      </w:r>
      <w:r w:rsidR="00DD4E6B">
        <w:rPr>
          <w:sz w:val="24"/>
          <w:szCs w:val="24"/>
        </w:rPr>
        <w:t>deviations from linearity in the</w:t>
      </w:r>
      <w:r w:rsidR="00BD1264">
        <w:rPr>
          <w:sz w:val="24"/>
          <w:szCs w:val="24"/>
        </w:rPr>
        <w:t xml:space="preserve"> sound velocity, and</w:t>
      </w:r>
      <w:r w:rsidR="00416F9A">
        <w:rPr>
          <w:sz w:val="24"/>
          <w:szCs w:val="24"/>
        </w:rPr>
        <w:t xml:space="preserve"> an anomalous density increase (</w:t>
      </w:r>
      <w:r w:rsidR="004A3654">
        <w:rPr>
          <w:sz w:val="24"/>
          <w:szCs w:val="24"/>
        </w:rPr>
        <w:t xml:space="preserve">all of which are not seen in </w:t>
      </w:r>
      <w:r w:rsidR="003939BF">
        <w:rPr>
          <w:sz w:val="24"/>
          <w:szCs w:val="24"/>
        </w:rPr>
        <w:t>Ge-Te</w:t>
      </w:r>
      <w:r w:rsidR="00416F9A">
        <w:rPr>
          <w:sz w:val="24"/>
          <w:szCs w:val="24"/>
        </w:rPr>
        <w:t>). The authors are concerned with identifying the structural differenc</w:t>
      </w:r>
      <w:r w:rsidR="004A3654">
        <w:rPr>
          <w:sz w:val="24"/>
          <w:szCs w:val="24"/>
        </w:rPr>
        <w:t xml:space="preserve">es between </w:t>
      </w:r>
      <w:r w:rsidR="003939BF">
        <w:rPr>
          <w:sz w:val="24"/>
          <w:szCs w:val="24"/>
        </w:rPr>
        <w:t>Ge-Te</w:t>
      </w:r>
      <w:r w:rsidR="00416F9A">
        <w:rPr>
          <w:sz w:val="24"/>
          <w:szCs w:val="24"/>
        </w:rPr>
        <w:t xml:space="preserve"> and the eutectic composition to account for</w:t>
      </w:r>
      <w:r w:rsidR="00DD3DF9">
        <w:rPr>
          <w:sz w:val="24"/>
          <w:szCs w:val="24"/>
        </w:rPr>
        <w:t xml:space="preserve"> these </w:t>
      </w:r>
      <w:r w:rsidR="003939BF">
        <w:rPr>
          <w:sz w:val="24"/>
          <w:szCs w:val="24"/>
        </w:rPr>
        <w:t>discrepancies</w:t>
      </w:r>
      <w:r w:rsidR="00DD3DF9">
        <w:rPr>
          <w:sz w:val="24"/>
          <w:szCs w:val="24"/>
        </w:rPr>
        <w:t xml:space="preserve">. </w:t>
      </w:r>
    </w:p>
    <w:p w:rsidR="00B02F0B" w:rsidRDefault="001B0863" w:rsidP="0057474C">
      <w:pPr>
        <w:rPr>
          <w:sz w:val="24"/>
          <w:szCs w:val="24"/>
        </w:rPr>
      </w:pPr>
      <w:r>
        <w:rPr>
          <w:sz w:val="24"/>
          <w:szCs w:val="24"/>
        </w:rPr>
        <w:t>The simulations</w:t>
      </w:r>
      <w:r w:rsidR="00B02F0B">
        <w:rPr>
          <w:sz w:val="24"/>
          <w:szCs w:val="24"/>
        </w:rPr>
        <w:t xml:space="preserve"> were performed using Born-Oppenheimer molecular dynamics with a Nose-Hoover thermostat.</w:t>
      </w:r>
      <w:r w:rsidR="006912CE">
        <w:rPr>
          <w:sz w:val="24"/>
          <w:szCs w:val="24"/>
        </w:rPr>
        <w:t xml:space="preserve"> The forces were derived from a DFT electronic structure calculation using the generalize</w:t>
      </w:r>
      <w:r w:rsidR="00D47E8B">
        <w:rPr>
          <w:sz w:val="24"/>
          <w:szCs w:val="24"/>
        </w:rPr>
        <w:t>d</w:t>
      </w:r>
      <w:r w:rsidR="006912CE">
        <w:rPr>
          <w:sz w:val="24"/>
          <w:szCs w:val="24"/>
        </w:rPr>
        <w:t xml:space="preserve"> gradient approximation (GGA) of PBE for the exchange-correlation functional.</w:t>
      </w:r>
      <w:r w:rsidR="00A75498">
        <w:rPr>
          <w:sz w:val="24"/>
          <w:szCs w:val="24"/>
        </w:rPr>
        <w:t xml:space="preserve"> The simulation contained 216 atoms</w:t>
      </w:r>
      <w:r w:rsidR="000E1620">
        <w:rPr>
          <w:sz w:val="24"/>
          <w:szCs w:val="24"/>
        </w:rPr>
        <w:t xml:space="preserve"> with a cubic simulatio</w:t>
      </w:r>
      <w:r w:rsidR="00303F2B">
        <w:rPr>
          <w:sz w:val="24"/>
          <w:szCs w:val="24"/>
        </w:rPr>
        <w:t>n cell size corresponding to the</w:t>
      </w:r>
      <w:r w:rsidR="000E1620">
        <w:rPr>
          <w:sz w:val="24"/>
          <w:szCs w:val="24"/>
        </w:rPr>
        <w:t xml:space="preserve"> expe</w:t>
      </w:r>
      <w:r w:rsidR="004A3654">
        <w:rPr>
          <w:sz w:val="24"/>
          <w:szCs w:val="24"/>
        </w:rPr>
        <w:t xml:space="preserve">rimental liquid densities of </w:t>
      </w:r>
      <w:r w:rsidR="003939BF">
        <w:rPr>
          <w:sz w:val="24"/>
          <w:szCs w:val="24"/>
        </w:rPr>
        <w:t>Ge-Te</w:t>
      </w:r>
      <w:r w:rsidR="000E1620">
        <w:rPr>
          <w:sz w:val="24"/>
          <w:szCs w:val="24"/>
        </w:rPr>
        <w:t xml:space="preserve"> (18.61 </w:t>
      </w:r>
      <w:r w:rsidR="003939BF">
        <w:rPr>
          <w:sz w:val="24"/>
          <w:szCs w:val="24"/>
        </w:rPr>
        <w:t>Angstroms</w:t>
      </w:r>
      <w:r w:rsidR="00071344">
        <w:rPr>
          <w:sz w:val="24"/>
          <w:szCs w:val="24"/>
        </w:rPr>
        <w:t>, 0.0335 atoms/Angstrom^3</w:t>
      </w:r>
      <w:r w:rsidR="0001646E">
        <w:rPr>
          <w:sz w:val="24"/>
          <w:szCs w:val="24"/>
        </w:rPr>
        <w:t>) and Ge</w:t>
      </w:r>
      <w:r w:rsidR="0001646E">
        <w:rPr>
          <w:sz w:val="24"/>
          <w:szCs w:val="24"/>
          <w:vertAlign w:val="subscript"/>
        </w:rPr>
        <w:t>15</w:t>
      </w:r>
      <w:r w:rsidR="0001646E">
        <w:rPr>
          <w:sz w:val="24"/>
          <w:szCs w:val="24"/>
        </w:rPr>
        <w:t>Te</w:t>
      </w:r>
      <w:r w:rsidR="0001646E">
        <w:rPr>
          <w:sz w:val="24"/>
          <w:szCs w:val="24"/>
          <w:vertAlign w:val="subscript"/>
        </w:rPr>
        <w:t>85</w:t>
      </w:r>
      <w:r w:rsidR="0001646E">
        <w:rPr>
          <w:sz w:val="24"/>
          <w:szCs w:val="24"/>
        </w:rPr>
        <w:t xml:space="preserve"> (19.70 Angstroms, 0.02827 atoms/Angstrom^3). </w:t>
      </w:r>
      <w:r w:rsidR="006C6B7D">
        <w:rPr>
          <w:sz w:val="24"/>
          <w:szCs w:val="24"/>
        </w:rPr>
        <w:t xml:space="preserve">Starting with the distorted rocksalt </w:t>
      </w:r>
      <w:r w:rsidR="006C6B7D">
        <w:rPr>
          <w:sz w:val="24"/>
          <w:szCs w:val="24"/>
        </w:rPr>
        <w:lastRenderedPageBreak/>
        <w:t>crystal, the</w:t>
      </w:r>
      <w:r w:rsidR="004A3654">
        <w:rPr>
          <w:sz w:val="24"/>
          <w:szCs w:val="24"/>
        </w:rPr>
        <w:t xml:space="preserve"> </w:t>
      </w:r>
      <w:r w:rsidR="003939BF">
        <w:rPr>
          <w:sz w:val="24"/>
          <w:szCs w:val="24"/>
        </w:rPr>
        <w:t>Ge-Te</w:t>
      </w:r>
      <w:r w:rsidR="006C6B7D">
        <w:rPr>
          <w:sz w:val="24"/>
          <w:szCs w:val="24"/>
        </w:rPr>
        <w:t xml:space="preserve"> system was superheatead (in a similar way to [</w:t>
      </w:r>
      <w:r w:rsidR="00A21C9E">
        <w:rPr>
          <w:sz w:val="24"/>
          <w:szCs w:val="24"/>
        </w:rPr>
        <w:t>3</w:t>
      </w:r>
      <w:r w:rsidR="006C6B7D">
        <w:rPr>
          <w:sz w:val="24"/>
          <w:szCs w:val="24"/>
        </w:rPr>
        <w:t>]) to 5000K. It was then</w:t>
      </w:r>
      <w:r w:rsidR="0001646E">
        <w:rPr>
          <w:sz w:val="24"/>
          <w:szCs w:val="24"/>
        </w:rPr>
        <w:t xml:space="preserve"> </w:t>
      </w:r>
      <w:r w:rsidR="001815D9">
        <w:rPr>
          <w:sz w:val="24"/>
          <w:szCs w:val="24"/>
        </w:rPr>
        <w:t xml:space="preserve">cooled to the melt temperature (1000K) in 50 ps, where data was then collected for 29 ps. </w:t>
      </w:r>
      <w:r w:rsidR="00012959">
        <w:rPr>
          <w:sz w:val="24"/>
          <w:szCs w:val="24"/>
        </w:rPr>
        <w:t>The amorphous phase was then produced by quenching to 300K in 115 ps, where data was collected for 26 ps. Finally the temperature was lowered to 100K (96 ps) and the structure was optimized.  A similar procedure was performed for the eutectic composition, and the RDF results</w:t>
      </w:r>
      <w:r w:rsidR="0092425F">
        <w:rPr>
          <w:sz w:val="24"/>
          <w:szCs w:val="24"/>
        </w:rPr>
        <w:t xml:space="preserve"> for the amorphous phase</w:t>
      </w:r>
      <w:r w:rsidR="00012959">
        <w:rPr>
          <w:sz w:val="24"/>
          <w:szCs w:val="24"/>
        </w:rPr>
        <w:t xml:space="preserve"> are shown in Fig. 2 (1).</w:t>
      </w:r>
    </w:p>
    <w:p w:rsidR="009E0FBC" w:rsidRPr="009E0FBC" w:rsidRDefault="009E0FBC" w:rsidP="0057474C">
      <w:pPr>
        <w:rPr>
          <w:b/>
          <w:sz w:val="24"/>
          <w:szCs w:val="24"/>
        </w:rPr>
      </w:pPr>
      <w:r w:rsidRPr="009E0FBC">
        <w:rPr>
          <w:b/>
          <w:sz w:val="24"/>
          <w:szCs w:val="24"/>
        </w:rPr>
        <w:t>Results</w:t>
      </w:r>
    </w:p>
    <w:p w:rsidR="00012959" w:rsidRDefault="00C30FDA" w:rsidP="0057474C">
      <w:pPr>
        <w:rPr>
          <w:sz w:val="24"/>
          <w:szCs w:val="24"/>
        </w:rPr>
      </w:pPr>
      <w:r>
        <w:rPr>
          <w:sz w:val="24"/>
          <w:szCs w:val="24"/>
        </w:rPr>
        <w:t>The results for the liquid phase RDFs are qua</w:t>
      </w:r>
      <w:r w:rsidR="00A419C1">
        <w:rPr>
          <w:sz w:val="24"/>
          <w:szCs w:val="24"/>
        </w:rPr>
        <w:t>lit</w:t>
      </w:r>
      <w:r>
        <w:rPr>
          <w:sz w:val="24"/>
          <w:szCs w:val="24"/>
        </w:rPr>
        <w:t>at</w:t>
      </w:r>
      <w:r w:rsidR="00A419C1">
        <w:rPr>
          <w:sz w:val="24"/>
          <w:szCs w:val="24"/>
        </w:rPr>
        <w:t>i</w:t>
      </w:r>
      <w:r>
        <w:rPr>
          <w:sz w:val="24"/>
          <w:szCs w:val="24"/>
        </w:rPr>
        <w:t>vely similar to the liquid phase results in [</w:t>
      </w:r>
      <w:r w:rsidR="00CF2D2C">
        <w:rPr>
          <w:sz w:val="24"/>
          <w:szCs w:val="24"/>
        </w:rPr>
        <w:t>3</w:t>
      </w:r>
      <w:r>
        <w:rPr>
          <w:sz w:val="24"/>
          <w:szCs w:val="24"/>
        </w:rPr>
        <w:t xml:space="preserve">]. </w:t>
      </w:r>
      <w:r w:rsidR="004A3654">
        <w:rPr>
          <w:sz w:val="24"/>
          <w:szCs w:val="24"/>
        </w:rPr>
        <w:t xml:space="preserve">For the </w:t>
      </w:r>
      <w:r w:rsidR="003939BF">
        <w:rPr>
          <w:sz w:val="24"/>
          <w:szCs w:val="24"/>
        </w:rPr>
        <w:t>Ge-Te</w:t>
      </w:r>
      <w:r w:rsidR="00A419C1">
        <w:rPr>
          <w:sz w:val="24"/>
          <w:szCs w:val="24"/>
        </w:rPr>
        <w:t xml:space="preserve"> composition, the Ge-Te and Ge-Ge RDFs show much shorter bond l</w:t>
      </w:r>
      <w:r w:rsidR="00795DF4">
        <w:rPr>
          <w:sz w:val="24"/>
          <w:szCs w:val="24"/>
        </w:rPr>
        <w:t>engths (2.8 and 2.7</w:t>
      </w:r>
      <w:r w:rsidR="00A419C1">
        <w:rPr>
          <w:sz w:val="24"/>
          <w:szCs w:val="24"/>
        </w:rPr>
        <w:t xml:space="preserve"> Angstroms, respectively).</w:t>
      </w:r>
      <w:r w:rsidR="00532A85">
        <w:rPr>
          <w:sz w:val="24"/>
          <w:szCs w:val="24"/>
        </w:rPr>
        <w:t xml:space="preserve"> This is consistent with the experimental measurements of the total R</w:t>
      </w:r>
      <w:r w:rsidR="004A3654">
        <w:rPr>
          <w:sz w:val="24"/>
          <w:szCs w:val="24"/>
        </w:rPr>
        <w:t xml:space="preserve">DF of the amorphous phase of </w:t>
      </w:r>
      <w:r w:rsidR="003939BF">
        <w:rPr>
          <w:sz w:val="24"/>
          <w:szCs w:val="24"/>
        </w:rPr>
        <w:t>Ge-Te</w:t>
      </w:r>
      <w:r w:rsidR="00532A85">
        <w:rPr>
          <w:sz w:val="24"/>
          <w:szCs w:val="24"/>
        </w:rPr>
        <w:t xml:space="preserve"> [</w:t>
      </w:r>
      <w:r w:rsidR="00715012">
        <w:rPr>
          <w:sz w:val="24"/>
          <w:szCs w:val="24"/>
        </w:rPr>
        <w:t>4</w:t>
      </w:r>
      <w:r w:rsidR="00D24821" w:rsidRPr="00ED427C">
        <w:rPr>
          <w:sz w:val="24"/>
          <w:szCs w:val="24"/>
        </w:rPr>
        <w:t xml:space="preserve">, </w:t>
      </w:r>
      <w:r w:rsidR="00715012">
        <w:rPr>
          <w:sz w:val="24"/>
          <w:szCs w:val="24"/>
        </w:rPr>
        <w:t>5</w:t>
      </w:r>
      <w:r w:rsidR="00532A85">
        <w:rPr>
          <w:sz w:val="24"/>
          <w:szCs w:val="24"/>
        </w:rPr>
        <w:t>]</w:t>
      </w:r>
      <w:r w:rsidR="005D1724">
        <w:rPr>
          <w:sz w:val="24"/>
          <w:szCs w:val="24"/>
        </w:rPr>
        <w:t xml:space="preserve"> The Te-Te amorphous bond lengths are comparable to the bonding in the crystal phase (4.1 Angstroms versus 4.3 Angstroms)</w:t>
      </w:r>
      <w:r w:rsidR="00304D59">
        <w:rPr>
          <w:sz w:val="24"/>
          <w:szCs w:val="24"/>
        </w:rPr>
        <w:t xml:space="preserve">. </w:t>
      </w:r>
      <w:r w:rsidR="005D1CFA">
        <w:rPr>
          <w:sz w:val="24"/>
          <w:szCs w:val="24"/>
        </w:rPr>
        <w:t>For the eutectic composition, the Te-Te bonding is much shorter (3.0 Angstroms), owing to the reduced Ge composition.</w:t>
      </w:r>
    </w:p>
    <w:p w:rsidR="00CD16D9" w:rsidRDefault="00637F4C" w:rsidP="0057474C">
      <w:pPr>
        <w:rPr>
          <w:sz w:val="24"/>
          <w:szCs w:val="24"/>
        </w:rPr>
      </w:pPr>
      <w:r>
        <w:rPr>
          <w:sz w:val="24"/>
          <w:szCs w:val="24"/>
        </w:rPr>
        <w:t>Order in the amorphous phase is quantified by the order parameter α</w:t>
      </w:r>
      <w:r w:rsidR="006D3F8C">
        <w:rPr>
          <w:sz w:val="24"/>
          <w:szCs w:val="24"/>
        </w:rPr>
        <w:t>, which is a ratio of concentrations and coordinations of the species in the system</w:t>
      </w:r>
      <w:r w:rsidR="00A64F47">
        <w:rPr>
          <w:sz w:val="24"/>
          <w:szCs w:val="24"/>
        </w:rPr>
        <w:t xml:space="preserve"> [</w:t>
      </w:r>
      <w:r w:rsidR="00CF2D2C">
        <w:rPr>
          <w:sz w:val="24"/>
          <w:szCs w:val="24"/>
        </w:rPr>
        <w:t>2</w:t>
      </w:r>
      <w:r w:rsidR="00A64F47">
        <w:rPr>
          <w:sz w:val="24"/>
          <w:szCs w:val="24"/>
        </w:rPr>
        <w:t>]</w:t>
      </w:r>
      <w:r w:rsidR="006D3F8C">
        <w:rPr>
          <w:sz w:val="24"/>
          <w:szCs w:val="24"/>
        </w:rPr>
        <w:t xml:space="preserve">. The parameter α can range from -1 (segregated species) to 0 (completely random mixture) to +1 (perfect Ge-Te alternation). </w:t>
      </w:r>
      <w:r w:rsidR="00D8637B">
        <w:rPr>
          <w:sz w:val="24"/>
          <w:szCs w:val="24"/>
        </w:rPr>
        <w:t>Amorphous Ge-Te is shown to be semi-ordered (α&gt;0.5), and even the liquid shows significant Ge-Te alternation (α&gt;0.3).</w:t>
      </w:r>
      <w:r w:rsidR="005863E8">
        <w:rPr>
          <w:sz w:val="24"/>
          <w:szCs w:val="24"/>
        </w:rPr>
        <w:t xml:space="preserve"> The author’s observe that this order in the liquid tends to increase as simulation times proceed, which could explain the lower order parameter (α&lt;0.3) measured in [</w:t>
      </w:r>
      <w:r w:rsidR="00CF2D2C">
        <w:rPr>
          <w:sz w:val="24"/>
          <w:szCs w:val="24"/>
        </w:rPr>
        <w:t>3</w:t>
      </w:r>
      <w:r w:rsidR="005863E8">
        <w:rPr>
          <w:sz w:val="24"/>
          <w:szCs w:val="24"/>
        </w:rPr>
        <w:t>].</w:t>
      </w:r>
      <w:r w:rsidR="00CD16D9">
        <w:rPr>
          <w:sz w:val="24"/>
          <w:szCs w:val="24"/>
        </w:rPr>
        <w:t xml:space="preserve"> However, this also brings into question the simulation time used in [</w:t>
      </w:r>
      <w:r w:rsidR="00CF2D2C">
        <w:rPr>
          <w:sz w:val="24"/>
          <w:szCs w:val="24"/>
        </w:rPr>
        <w:t>1</w:t>
      </w:r>
      <w:r w:rsidR="00CD16D9">
        <w:rPr>
          <w:sz w:val="24"/>
          <w:szCs w:val="24"/>
        </w:rPr>
        <w:t>], which could</w:t>
      </w:r>
      <w:r w:rsidR="001969D7">
        <w:rPr>
          <w:sz w:val="24"/>
          <w:szCs w:val="24"/>
        </w:rPr>
        <w:t xml:space="preserve"> have</w:t>
      </w:r>
      <w:r w:rsidR="00CD16D9">
        <w:rPr>
          <w:sz w:val="24"/>
          <w:szCs w:val="24"/>
        </w:rPr>
        <w:t xml:space="preserve"> affect</w:t>
      </w:r>
      <w:r w:rsidR="001969D7">
        <w:rPr>
          <w:sz w:val="24"/>
          <w:szCs w:val="24"/>
        </w:rPr>
        <w:t>ed the order parameter results for the same reason.</w:t>
      </w:r>
    </w:p>
    <w:p w:rsidR="004F3064" w:rsidRPr="002250D0" w:rsidRDefault="004F3064" w:rsidP="0057474C">
      <w:pPr>
        <w:rPr>
          <w:b/>
          <w:sz w:val="24"/>
          <w:szCs w:val="24"/>
        </w:rPr>
      </w:pPr>
      <w:r w:rsidRPr="002250D0">
        <w:rPr>
          <w:b/>
          <w:sz w:val="24"/>
          <w:szCs w:val="24"/>
        </w:rPr>
        <w:t>Criticism</w:t>
      </w:r>
    </w:p>
    <w:p w:rsidR="002F4073" w:rsidRDefault="002614CD" w:rsidP="0057474C">
      <w:pPr>
        <w:rPr>
          <w:sz w:val="24"/>
          <w:szCs w:val="24"/>
        </w:rPr>
      </w:pPr>
      <w:r>
        <w:rPr>
          <w:sz w:val="24"/>
          <w:szCs w:val="24"/>
        </w:rPr>
        <w:t>The small number of atoms (216) used in the simulations calls into question the finite system size and its role in the calculation of the order parameter</w:t>
      </w:r>
      <w:r w:rsidR="00CA1DF5">
        <w:rPr>
          <w:sz w:val="24"/>
          <w:szCs w:val="24"/>
        </w:rPr>
        <w:t>.</w:t>
      </w:r>
      <w:r w:rsidR="004157B3">
        <w:rPr>
          <w:sz w:val="24"/>
          <w:szCs w:val="24"/>
        </w:rPr>
        <w:t xml:space="preserve"> Also, the entire melt/quench process was performed over (roughly) 225 ps, which is a factor of 5 less than the experimental melt/quench cycle. This is, however, a much more realistic time span than that used in [</w:t>
      </w:r>
      <w:r w:rsidR="00CF2D2C">
        <w:rPr>
          <w:sz w:val="24"/>
          <w:szCs w:val="24"/>
        </w:rPr>
        <w:t>3</w:t>
      </w:r>
      <w:r w:rsidR="004157B3">
        <w:rPr>
          <w:sz w:val="24"/>
          <w:szCs w:val="24"/>
        </w:rPr>
        <w:t>].</w:t>
      </w:r>
      <w:r w:rsidR="00B35590">
        <w:rPr>
          <w:sz w:val="24"/>
          <w:szCs w:val="24"/>
        </w:rPr>
        <w:t xml:space="preserve"> The results in [</w:t>
      </w:r>
      <w:r w:rsidR="00CF2D2C">
        <w:rPr>
          <w:sz w:val="24"/>
          <w:szCs w:val="24"/>
        </w:rPr>
        <w:t>1</w:t>
      </w:r>
      <w:r w:rsidR="00B35590">
        <w:rPr>
          <w:sz w:val="24"/>
          <w:szCs w:val="24"/>
        </w:rPr>
        <w:t>] show the Ge-Te amor</w:t>
      </w:r>
      <w:r w:rsidR="002D3530">
        <w:rPr>
          <w:sz w:val="24"/>
          <w:szCs w:val="24"/>
        </w:rPr>
        <w:t>phous phase has the same qualitati</w:t>
      </w:r>
      <w:r w:rsidR="00B35590">
        <w:rPr>
          <w:sz w:val="24"/>
          <w:szCs w:val="24"/>
        </w:rPr>
        <w:t>ve bonding as the liquid phase; shortened Ge-Te and Ge-Ge bonds and long</w:t>
      </w:r>
      <w:r w:rsidR="00EA0CC5">
        <w:rPr>
          <w:sz w:val="24"/>
          <w:szCs w:val="24"/>
        </w:rPr>
        <w:t xml:space="preserve"> Te-Te bonding similar to the crystal phase.</w:t>
      </w:r>
    </w:p>
    <w:p w:rsidR="00012959" w:rsidRDefault="00012959" w:rsidP="00012959">
      <w:pPr>
        <w:jc w:val="center"/>
        <w:rPr>
          <w:sz w:val="24"/>
          <w:szCs w:val="24"/>
        </w:rPr>
      </w:pPr>
      <w:r>
        <w:rPr>
          <w:noProof/>
          <w:sz w:val="24"/>
          <w:szCs w:val="24"/>
        </w:rPr>
        <w:lastRenderedPageBreak/>
        <w:drawing>
          <wp:inline distT="0" distB="0" distL="0" distR="0">
            <wp:extent cx="3076575" cy="427073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76575" cy="4270733"/>
                    </a:xfrm>
                    <a:prstGeom prst="rect">
                      <a:avLst/>
                    </a:prstGeom>
                    <a:noFill/>
                    <a:ln w="9525">
                      <a:noFill/>
                      <a:miter lim="800000"/>
                      <a:headEnd/>
                      <a:tailEnd/>
                    </a:ln>
                  </pic:spPr>
                </pic:pic>
              </a:graphicData>
            </a:graphic>
          </wp:inline>
        </w:drawing>
      </w:r>
    </w:p>
    <w:p w:rsidR="001458DC" w:rsidRDefault="00012959" w:rsidP="00B83ACC">
      <w:pPr>
        <w:pStyle w:val="Caption"/>
        <w:jc w:val="center"/>
      </w:pPr>
      <w:r>
        <w:t xml:space="preserve">Figure </w:t>
      </w:r>
      <w:fldSimple w:instr=" SEQ Figure \* ARABIC ">
        <w:r w:rsidR="00E932CE">
          <w:rPr>
            <w:noProof/>
          </w:rPr>
          <w:t>2</w:t>
        </w:r>
      </w:fldSimple>
      <w:r>
        <w:t>: Total and partial pair RDFs of the quenched amorphous phase for Ge-Te and the eutectic composition.</w:t>
      </w:r>
    </w:p>
    <w:p w:rsidR="00B83ACC" w:rsidRPr="00B83ACC" w:rsidRDefault="00B83ACC" w:rsidP="00B83ACC"/>
    <w:p w:rsidR="00B83ACC" w:rsidRPr="00533883" w:rsidRDefault="00B83ACC" w:rsidP="00B83ACC">
      <w:pPr>
        <w:rPr>
          <w:b/>
          <w:sz w:val="28"/>
          <w:szCs w:val="28"/>
        </w:rPr>
      </w:pPr>
      <w:r w:rsidRPr="00533883">
        <w:rPr>
          <w:b/>
          <w:sz w:val="28"/>
          <w:szCs w:val="28"/>
        </w:rPr>
        <w:t xml:space="preserve">Amorphous Phase Simulation of </w:t>
      </w:r>
      <w:r w:rsidR="003939BF">
        <w:rPr>
          <w:b/>
          <w:sz w:val="28"/>
          <w:szCs w:val="28"/>
        </w:rPr>
        <w:t>Ge-Te</w:t>
      </w:r>
      <w:r w:rsidRPr="00533883">
        <w:rPr>
          <w:b/>
          <w:sz w:val="28"/>
          <w:szCs w:val="28"/>
        </w:rPr>
        <w:t xml:space="preserve"> and GST</w:t>
      </w:r>
    </w:p>
    <w:p w:rsidR="00D43371" w:rsidRPr="00533883" w:rsidRDefault="00D43371" w:rsidP="0057474C">
      <w:pPr>
        <w:rPr>
          <w:b/>
          <w:sz w:val="24"/>
          <w:szCs w:val="24"/>
        </w:rPr>
      </w:pPr>
      <w:r w:rsidRPr="00533883">
        <w:rPr>
          <w:b/>
          <w:sz w:val="24"/>
          <w:szCs w:val="24"/>
        </w:rPr>
        <w:t>Simulation Details</w:t>
      </w:r>
    </w:p>
    <w:p w:rsidR="00B138A9" w:rsidRDefault="002766D2" w:rsidP="0057474C">
      <w:pPr>
        <w:rPr>
          <w:sz w:val="24"/>
          <w:szCs w:val="24"/>
        </w:rPr>
      </w:pPr>
      <w:r>
        <w:rPr>
          <w:sz w:val="24"/>
          <w:szCs w:val="24"/>
        </w:rPr>
        <w:t>Finally, the study in [</w:t>
      </w:r>
      <w:r w:rsidR="00CF2D2C">
        <w:rPr>
          <w:sz w:val="24"/>
          <w:szCs w:val="24"/>
        </w:rPr>
        <w:t>2</w:t>
      </w:r>
      <w:r>
        <w:rPr>
          <w:sz w:val="24"/>
          <w:szCs w:val="24"/>
        </w:rPr>
        <w:t>]</w:t>
      </w:r>
      <w:r w:rsidR="00BF4B65">
        <w:rPr>
          <w:sz w:val="24"/>
          <w:szCs w:val="24"/>
        </w:rPr>
        <w:t xml:space="preserve"> compares the amorphous phases of Ge</w:t>
      </w:r>
      <w:r w:rsidR="00BF4B65">
        <w:rPr>
          <w:sz w:val="24"/>
          <w:szCs w:val="24"/>
          <w:vertAlign w:val="subscript"/>
        </w:rPr>
        <w:t>2</w:t>
      </w:r>
      <w:r w:rsidR="00BF4B65">
        <w:rPr>
          <w:sz w:val="24"/>
          <w:szCs w:val="24"/>
        </w:rPr>
        <w:t>Sb</w:t>
      </w:r>
      <w:r w:rsidR="00BF4B65">
        <w:rPr>
          <w:sz w:val="24"/>
          <w:szCs w:val="24"/>
          <w:vertAlign w:val="subscript"/>
        </w:rPr>
        <w:t>2</w:t>
      </w:r>
      <w:r w:rsidR="00BF4B65">
        <w:rPr>
          <w:sz w:val="24"/>
          <w:szCs w:val="24"/>
        </w:rPr>
        <w:t>Te</w:t>
      </w:r>
      <w:r w:rsidR="00BF4B65">
        <w:rPr>
          <w:sz w:val="24"/>
          <w:szCs w:val="24"/>
          <w:vertAlign w:val="subscript"/>
        </w:rPr>
        <w:t>5</w:t>
      </w:r>
      <w:r w:rsidR="00BF4B65">
        <w:rPr>
          <w:sz w:val="24"/>
          <w:szCs w:val="24"/>
        </w:rPr>
        <w:t xml:space="preserve"> </w:t>
      </w:r>
      <w:r w:rsidR="007917A2">
        <w:rPr>
          <w:sz w:val="24"/>
          <w:szCs w:val="24"/>
        </w:rPr>
        <w:t xml:space="preserve">(GST) </w:t>
      </w:r>
      <w:r w:rsidR="002F0AA7">
        <w:rPr>
          <w:sz w:val="24"/>
          <w:szCs w:val="24"/>
        </w:rPr>
        <w:t xml:space="preserve">and </w:t>
      </w:r>
      <w:r w:rsidR="003939BF">
        <w:rPr>
          <w:sz w:val="24"/>
          <w:szCs w:val="24"/>
        </w:rPr>
        <w:t>Ge-Te</w:t>
      </w:r>
      <w:r w:rsidR="007917A2">
        <w:rPr>
          <w:sz w:val="24"/>
          <w:szCs w:val="24"/>
        </w:rPr>
        <w:t xml:space="preserve">. GST is the more popular PC material, which is composed of building blocks of </w:t>
      </w:r>
      <w:r w:rsidR="003939BF">
        <w:rPr>
          <w:sz w:val="24"/>
          <w:szCs w:val="24"/>
        </w:rPr>
        <w:t>Ge-Te</w:t>
      </w:r>
      <w:r w:rsidR="007917A2">
        <w:rPr>
          <w:sz w:val="24"/>
          <w:szCs w:val="24"/>
        </w:rPr>
        <w:t xml:space="preserve"> and Sb</w:t>
      </w:r>
      <w:r w:rsidR="007917A2">
        <w:rPr>
          <w:sz w:val="24"/>
          <w:szCs w:val="24"/>
          <w:vertAlign w:val="subscript"/>
        </w:rPr>
        <w:t>2</w:t>
      </w:r>
      <w:r w:rsidR="007917A2">
        <w:rPr>
          <w:sz w:val="24"/>
          <w:szCs w:val="24"/>
        </w:rPr>
        <w:t xml:space="preserve"> Te</w:t>
      </w:r>
      <w:r w:rsidR="00700479">
        <w:rPr>
          <w:sz w:val="24"/>
          <w:szCs w:val="24"/>
          <w:vertAlign w:val="subscript"/>
        </w:rPr>
        <w:t>3</w:t>
      </w:r>
      <w:r w:rsidR="007917A2">
        <w:rPr>
          <w:sz w:val="24"/>
          <w:szCs w:val="24"/>
        </w:rPr>
        <w:t>.</w:t>
      </w:r>
      <w:r w:rsidR="00EB5FC8">
        <w:rPr>
          <w:sz w:val="24"/>
          <w:szCs w:val="24"/>
        </w:rPr>
        <w:t xml:space="preserve"> </w:t>
      </w:r>
      <w:r w:rsidR="00B138A9">
        <w:rPr>
          <w:sz w:val="24"/>
          <w:szCs w:val="24"/>
        </w:rPr>
        <w:t>The results will show qualitatively similar bonding between the two alloys.</w:t>
      </w:r>
    </w:p>
    <w:p w:rsidR="00052040" w:rsidRDefault="00B138A9" w:rsidP="0057474C">
      <w:pPr>
        <w:rPr>
          <w:sz w:val="24"/>
          <w:szCs w:val="24"/>
        </w:rPr>
      </w:pPr>
      <w:r>
        <w:rPr>
          <w:sz w:val="24"/>
          <w:szCs w:val="24"/>
        </w:rPr>
        <w:t xml:space="preserve">The simulations were performed using Born-Oppenheimer molecular dynamics with a Nose-Hoover thermostat. </w:t>
      </w:r>
      <w:r w:rsidR="003939BF">
        <w:rPr>
          <w:sz w:val="24"/>
          <w:szCs w:val="24"/>
        </w:rPr>
        <w:t xml:space="preserve">The forces were derived from a DFT electronic structure calculation using the generalized gradient approximation (GGA) of PBE for the exchange-correlation functional. </w:t>
      </w:r>
      <w:r w:rsidR="00C15684">
        <w:rPr>
          <w:sz w:val="24"/>
          <w:szCs w:val="24"/>
        </w:rPr>
        <w:t>The GST system contained 460 atoms (512 atomic sites) at the metastable crystal (6.35 g/cm^3) and the amorphous (5.88 g/cm^3) densities.</w:t>
      </w:r>
      <w:r w:rsidR="000C0D6F">
        <w:rPr>
          <w:sz w:val="24"/>
          <w:szCs w:val="24"/>
        </w:rPr>
        <w:t xml:space="preserve"> The </w:t>
      </w:r>
      <w:r w:rsidR="003939BF">
        <w:rPr>
          <w:sz w:val="24"/>
          <w:szCs w:val="24"/>
        </w:rPr>
        <w:t>Ge-Te</w:t>
      </w:r>
      <w:r w:rsidR="000C0D6F">
        <w:rPr>
          <w:sz w:val="24"/>
          <w:szCs w:val="24"/>
        </w:rPr>
        <w:t xml:space="preserve"> system contained</w:t>
      </w:r>
      <w:r w:rsidR="00C15684">
        <w:rPr>
          <w:sz w:val="24"/>
          <w:szCs w:val="24"/>
        </w:rPr>
        <w:t xml:space="preserve"> 216 atoms with a cubic simulation cell size corresponding to the experimental liquid densit</w:t>
      </w:r>
      <w:r w:rsidR="004B4AF2">
        <w:rPr>
          <w:sz w:val="24"/>
          <w:szCs w:val="24"/>
        </w:rPr>
        <w:t>y</w:t>
      </w:r>
      <w:r w:rsidR="00C15684">
        <w:rPr>
          <w:sz w:val="24"/>
          <w:szCs w:val="24"/>
        </w:rPr>
        <w:t xml:space="preserve"> of </w:t>
      </w:r>
      <w:r w:rsidR="00A81F3B">
        <w:rPr>
          <w:sz w:val="24"/>
          <w:szCs w:val="24"/>
        </w:rPr>
        <w:t>5.61 g/cm^3</w:t>
      </w:r>
      <w:r w:rsidR="00C15684">
        <w:rPr>
          <w:sz w:val="24"/>
          <w:szCs w:val="24"/>
        </w:rPr>
        <w:t xml:space="preserve">. </w:t>
      </w:r>
      <w:r w:rsidR="00C25860">
        <w:rPr>
          <w:sz w:val="24"/>
          <w:szCs w:val="24"/>
        </w:rPr>
        <w:t>A similar melting procedure to [</w:t>
      </w:r>
      <w:r w:rsidR="00CF2D2C">
        <w:rPr>
          <w:sz w:val="24"/>
          <w:szCs w:val="24"/>
        </w:rPr>
        <w:t>1</w:t>
      </w:r>
      <w:r w:rsidR="00C25860">
        <w:rPr>
          <w:sz w:val="24"/>
          <w:szCs w:val="24"/>
        </w:rPr>
        <w:t xml:space="preserve">] was used for both GST and </w:t>
      </w:r>
      <w:r w:rsidR="003939BF">
        <w:rPr>
          <w:sz w:val="24"/>
          <w:szCs w:val="24"/>
        </w:rPr>
        <w:t>Ge-Te</w:t>
      </w:r>
      <w:r w:rsidR="00C25860">
        <w:rPr>
          <w:sz w:val="24"/>
          <w:szCs w:val="24"/>
        </w:rPr>
        <w:t xml:space="preserve">, and the entire melt/quench </w:t>
      </w:r>
      <w:r w:rsidR="00C25860">
        <w:rPr>
          <w:sz w:val="24"/>
          <w:szCs w:val="24"/>
        </w:rPr>
        <w:lastRenderedPageBreak/>
        <w:t>cycle was performed in 297 ps (GST) and 340 ps (</w:t>
      </w:r>
      <w:r w:rsidR="003939BF">
        <w:rPr>
          <w:sz w:val="24"/>
          <w:szCs w:val="24"/>
        </w:rPr>
        <w:t>Ge-Te</w:t>
      </w:r>
      <w:r w:rsidR="00C25860">
        <w:rPr>
          <w:sz w:val="24"/>
          <w:szCs w:val="24"/>
        </w:rPr>
        <w:t>)</w:t>
      </w:r>
      <w:r w:rsidR="00697386">
        <w:rPr>
          <w:sz w:val="24"/>
          <w:szCs w:val="24"/>
        </w:rPr>
        <w:t>.</w:t>
      </w:r>
      <w:r w:rsidR="00C15684">
        <w:rPr>
          <w:sz w:val="24"/>
          <w:szCs w:val="24"/>
        </w:rPr>
        <w:t xml:space="preserve"> </w:t>
      </w:r>
      <w:r w:rsidR="00E932CE">
        <w:rPr>
          <w:sz w:val="24"/>
          <w:szCs w:val="24"/>
        </w:rPr>
        <w:t>The</w:t>
      </w:r>
      <w:r w:rsidR="00C15684">
        <w:rPr>
          <w:sz w:val="24"/>
          <w:szCs w:val="24"/>
        </w:rPr>
        <w:t xml:space="preserve"> RDF results for the amorphous phase</w:t>
      </w:r>
      <w:r w:rsidR="00146098">
        <w:rPr>
          <w:sz w:val="24"/>
          <w:szCs w:val="24"/>
        </w:rPr>
        <w:t xml:space="preserve"> are shown in Fig. 3 (2</w:t>
      </w:r>
      <w:r w:rsidR="00C15684">
        <w:rPr>
          <w:sz w:val="24"/>
          <w:szCs w:val="24"/>
        </w:rPr>
        <w:t>)</w:t>
      </w:r>
      <w:r w:rsidR="00146098">
        <w:rPr>
          <w:sz w:val="24"/>
          <w:szCs w:val="24"/>
        </w:rPr>
        <w:t xml:space="preserve"> for both GST and </w:t>
      </w:r>
      <w:r w:rsidR="003939BF">
        <w:rPr>
          <w:sz w:val="24"/>
          <w:szCs w:val="24"/>
        </w:rPr>
        <w:t>Ge-Te</w:t>
      </w:r>
      <w:r w:rsidR="00C15684">
        <w:rPr>
          <w:sz w:val="24"/>
          <w:szCs w:val="24"/>
        </w:rPr>
        <w:t>.</w:t>
      </w:r>
    </w:p>
    <w:p w:rsidR="00C57B81" w:rsidRPr="005134D4" w:rsidRDefault="00C57B81" w:rsidP="0057474C">
      <w:pPr>
        <w:rPr>
          <w:b/>
          <w:sz w:val="24"/>
          <w:szCs w:val="24"/>
        </w:rPr>
      </w:pPr>
      <w:r w:rsidRPr="005134D4">
        <w:rPr>
          <w:b/>
          <w:sz w:val="24"/>
          <w:szCs w:val="24"/>
        </w:rPr>
        <w:t>Results</w:t>
      </w:r>
    </w:p>
    <w:p w:rsidR="001458DC" w:rsidRDefault="003A2BC2" w:rsidP="0057474C">
      <w:pPr>
        <w:rPr>
          <w:sz w:val="24"/>
          <w:szCs w:val="24"/>
        </w:rPr>
      </w:pPr>
      <w:r>
        <w:rPr>
          <w:sz w:val="24"/>
          <w:szCs w:val="24"/>
        </w:rPr>
        <w:t>From the Fig. 3(1) (a), one sees long range order of the Te-T</w:t>
      </w:r>
      <w:r w:rsidR="0074532E">
        <w:rPr>
          <w:sz w:val="24"/>
          <w:szCs w:val="24"/>
        </w:rPr>
        <w:t>e bond</w:t>
      </w:r>
      <w:r w:rsidR="00D14A05">
        <w:rPr>
          <w:sz w:val="24"/>
          <w:szCs w:val="24"/>
        </w:rPr>
        <w:t xml:space="preserve"> in both GST and </w:t>
      </w:r>
      <w:r w:rsidR="003939BF">
        <w:rPr>
          <w:sz w:val="24"/>
          <w:szCs w:val="24"/>
        </w:rPr>
        <w:t>Ge-Te</w:t>
      </w:r>
      <w:r w:rsidR="0074532E">
        <w:rPr>
          <w:sz w:val="24"/>
          <w:szCs w:val="24"/>
        </w:rPr>
        <w:t>, and a bond length (4.1 Angstrom) which is close to the crystal value (4.3 Angstrom).</w:t>
      </w:r>
      <w:r w:rsidR="007F69E0">
        <w:rPr>
          <w:sz w:val="24"/>
          <w:szCs w:val="24"/>
        </w:rPr>
        <w:t xml:space="preserve"> Again, this is in agreement with [</w:t>
      </w:r>
      <w:r w:rsidR="003939BF">
        <w:rPr>
          <w:sz w:val="24"/>
          <w:szCs w:val="24"/>
        </w:rPr>
        <w:t>1,3</w:t>
      </w:r>
      <w:r w:rsidR="007F69E0">
        <w:rPr>
          <w:sz w:val="24"/>
          <w:szCs w:val="24"/>
        </w:rPr>
        <w:t xml:space="preserve">] which show long Te-Te bonds in amorphous and liquid </w:t>
      </w:r>
      <w:r w:rsidR="003939BF">
        <w:rPr>
          <w:sz w:val="24"/>
          <w:szCs w:val="24"/>
        </w:rPr>
        <w:t>Ge-Te</w:t>
      </w:r>
      <w:r w:rsidR="007F69E0">
        <w:rPr>
          <w:sz w:val="24"/>
          <w:szCs w:val="24"/>
        </w:rPr>
        <w:t>.</w:t>
      </w:r>
      <w:r w:rsidR="0092175F">
        <w:rPr>
          <w:sz w:val="24"/>
          <w:szCs w:val="24"/>
        </w:rPr>
        <w:t xml:space="preserve"> The Te-Te RDF shows long range order (up to 10 Angstroms), which indicates the importance of large simulation cell sizes for these systems.</w:t>
      </w:r>
      <w:r w:rsidR="007F69E0">
        <w:rPr>
          <w:sz w:val="24"/>
          <w:szCs w:val="24"/>
        </w:rPr>
        <w:t xml:space="preserve"> </w:t>
      </w:r>
      <w:r w:rsidR="00D334F5">
        <w:rPr>
          <w:sz w:val="24"/>
          <w:szCs w:val="24"/>
        </w:rPr>
        <w:t xml:space="preserve">For GST, Ge-Te and Sb-Te show shorter bonds (2.8 and 3.1 Angstrom) in the amorphous phase, which is qualitatively similar to the shortened Ge-Te and Ge-Ge bonds in amorphous </w:t>
      </w:r>
      <w:r w:rsidR="003939BF">
        <w:rPr>
          <w:sz w:val="24"/>
          <w:szCs w:val="24"/>
        </w:rPr>
        <w:t>Ge-Te</w:t>
      </w:r>
      <w:r w:rsidR="00D334F5">
        <w:rPr>
          <w:sz w:val="24"/>
          <w:szCs w:val="24"/>
        </w:rPr>
        <w:t xml:space="preserve">. </w:t>
      </w:r>
    </w:p>
    <w:p w:rsidR="00A94D28" w:rsidRPr="00DF7BB4" w:rsidRDefault="002D4967" w:rsidP="0057474C">
      <w:pPr>
        <w:rPr>
          <w:b/>
          <w:sz w:val="24"/>
          <w:szCs w:val="24"/>
        </w:rPr>
      </w:pPr>
      <w:r w:rsidRPr="00DF7BB4">
        <w:rPr>
          <w:b/>
          <w:sz w:val="24"/>
          <w:szCs w:val="24"/>
        </w:rPr>
        <w:t>Criticism</w:t>
      </w:r>
    </w:p>
    <w:p w:rsidR="00A94D28" w:rsidRDefault="00A94D28" w:rsidP="0057474C">
      <w:pPr>
        <w:rPr>
          <w:sz w:val="24"/>
          <w:szCs w:val="24"/>
        </w:rPr>
      </w:pPr>
      <w:r>
        <w:rPr>
          <w:sz w:val="24"/>
          <w:szCs w:val="24"/>
        </w:rPr>
        <w:t>The same questions about finite system size and simulation time length can be asked about this study.  However, the results seem to be in good agreement with both experiment and previous simulations [</w:t>
      </w:r>
      <w:r w:rsidR="00532FD6">
        <w:rPr>
          <w:sz w:val="24"/>
          <w:szCs w:val="24"/>
        </w:rPr>
        <w:t>1,3</w:t>
      </w:r>
      <w:r>
        <w:rPr>
          <w:sz w:val="24"/>
          <w:szCs w:val="24"/>
        </w:rPr>
        <w:t xml:space="preserve">].  Also, the results seem consistent from </w:t>
      </w:r>
      <w:r w:rsidR="003939BF">
        <w:rPr>
          <w:sz w:val="24"/>
          <w:szCs w:val="24"/>
        </w:rPr>
        <w:t>Ge-Te</w:t>
      </w:r>
      <w:r>
        <w:rPr>
          <w:sz w:val="24"/>
          <w:szCs w:val="24"/>
        </w:rPr>
        <w:t xml:space="preserve"> to GST. However, to probe more interesting</w:t>
      </w:r>
      <w:r w:rsidR="008C75EC">
        <w:rPr>
          <w:sz w:val="24"/>
          <w:szCs w:val="24"/>
        </w:rPr>
        <w:t xml:space="preserve"> (experimental)</w:t>
      </w:r>
      <w:r>
        <w:rPr>
          <w:sz w:val="24"/>
          <w:szCs w:val="24"/>
        </w:rPr>
        <w:t xml:space="preserve"> properties one would like a simulation size of (roughly) 10s nm and 10s ns.</w:t>
      </w:r>
    </w:p>
    <w:p w:rsidR="0015534E" w:rsidRDefault="0015534E" w:rsidP="0015534E">
      <w:pPr>
        <w:jc w:val="center"/>
        <w:rPr>
          <w:sz w:val="24"/>
          <w:szCs w:val="24"/>
        </w:rPr>
      </w:pPr>
      <w:r>
        <w:rPr>
          <w:noProof/>
          <w:sz w:val="24"/>
          <w:szCs w:val="24"/>
        </w:rPr>
        <w:drawing>
          <wp:inline distT="0" distB="0" distL="0" distR="0">
            <wp:extent cx="3018446" cy="3733800"/>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018446" cy="3733800"/>
                    </a:xfrm>
                    <a:prstGeom prst="rect">
                      <a:avLst/>
                    </a:prstGeom>
                    <a:noFill/>
                    <a:ln w="9525">
                      <a:noFill/>
                      <a:miter lim="800000"/>
                      <a:headEnd/>
                      <a:tailEnd/>
                    </a:ln>
                  </pic:spPr>
                </pic:pic>
              </a:graphicData>
            </a:graphic>
          </wp:inline>
        </w:drawing>
      </w:r>
    </w:p>
    <w:p w:rsidR="0015534E" w:rsidRDefault="0015534E" w:rsidP="0015534E">
      <w:pPr>
        <w:pStyle w:val="Caption"/>
        <w:jc w:val="center"/>
        <w:rPr>
          <w:sz w:val="24"/>
          <w:szCs w:val="24"/>
        </w:rPr>
      </w:pPr>
      <w:r>
        <w:t xml:space="preserve">Figure </w:t>
      </w:r>
      <w:fldSimple w:instr=" SEQ Figure \* ARABIC ">
        <w:r>
          <w:rPr>
            <w:noProof/>
          </w:rPr>
          <w:t>3</w:t>
        </w:r>
      </w:fldSimple>
      <w:r>
        <w:t xml:space="preserve">: amorphous phase RDFs of </w:t>
      </w:r>
      <w:r w:rsidR="003939BF">
        <w:t>Ge-Te</w:t>
      </w:r>
      <w:r>
        <w:t xml:space="preserve"> and GST, showing partial pair RDFs.</w:t>
      </w:r>
    </w:p>
    <w:p w:rsidR="00135DBB" w:rsidRPr="00F62B5C" w:rsidRDefault="00DC7CE7" w:rsidP="0057474C">
      <w:pPr>
        <w:rPr>
          <w:b/>
          <w:sz w:val="24"/>
          <w:szCs w:val="24"/>
        </w:rPr>
      </w:pPr>
      <w:r w:rsidRPr="00F62B5C">
        <w:rPr>
          <w:b/>
          <w:sz w:val="24"/>
          <w:szCs w:val="24"/>
        </w:rPr>
        <w:lastRenderedPageBreak/>
        <w:t>Summary</w:t>
      </w:r>
    </w:p>
    <w:p w:rsidR="0040262F" w:rsidRDefault="00DC7CE7" w:rsidP="0057474C">
      <w:pPr>
        <w:rPr>
          <w:sz w:val="24"/>
          <w:szCs w:val="24"/>
        </w:rPr>
      </w:pPr>
      <w:r>
        <w:rPr>
          <w:sz w:val="24"/>
          <w:szCs w:val="24"/>
        </w:rPr>
        <w:t>The simulations performed in [</w:t>
      </w:r>
      <w:r w:rsidR="004F5F79">
        <w:rPr>
          <w:sz w:val="24"/>
          <w:szCs w:val="24"/>
        </w:rPr>
        <w:t>1-3</w:t>
      </w:r>
      <w:r>
        <w:rPr>
          <w:sz w:val="24"/>
          <w:szCs w:val="24"/>
        </w:rPr>
        <w:t xml:space="preserve">] show a qualitatively similar trend in the liquid and amorphous phases of </w:t>
      </w:r>
      <w:r w:rsidR="003939BF">
        <w:rPr>
          <w:sz w:val="24"/>
          <w:szCs w:val="24"/>
        </w:rPr>
        <w:t>Ge-Te</w:t>
      </w:r>
      <w:r>
        <w:rPr>
          <w:sz w:val="24"/>
          <w:szCs w:val="24"/>
        </w:rPr>
        <w:t>, and also GST.</w:t>
      </w:r>
      <w:r w:rsidR="00EB6B6F">
        <w:rPr>
          <w:sz w:val="24"/>
          <w:szCs w:val="24"/>
        </w:rPr>
        <w:t xml:space="preserve"> Withi</w:t>
      </w:r>
      <w:r w:rsidR="009B72A1">
        <w:rPr>
          <w:sz w:val="24"/>
          <w:szCs w:val="24"/>
        </w:rPr>
        <w:t>n the DFT framework, both LDA [3</w:t>
      </w:r>
      <w:r w:rsidR="00EB6B6F">
        <w:rPr>
          <w:sz w:val="24"/>
          <w:szCs w:val="24"/>
        </w:rPr>
        <w:t>] and GGA [</w:t>
      </w:r>
      <w:r w:rsidR="009B72A1">
        <w:rPr>
          <w:sz w:val="24"/>
          <w:szCs w:val="24"/>
        </w:rPr>
        <w:t>1,2</w:t>
      </w:r>
      <w:r w:rsidR="00EB6B6F">
        <w:rPr>
          <w:sz w:val="24"/>
          <w:szCs w:val="24"/>
        </w:rPr>
        <w:t xml:space="preserve">] exchange-correlation </w:t>
      </w:r>
      <w:r w:rsidR="003939BF">
        <w:rPr>
          <w:sz w:val="24"/>
          <w:szCs w:val="24"/>
        </w:rPr>
        <w:t>functionals</w:t>
      </w:r>
      <w:r w:rsidR="00EB6B6F">
        <w:rPr>
          <w:sz w:val="24"/>
          <w:szCs w:val="24"/>
        </w:rPr>
        <w:t xml:space="preserve"> were used, and the results between the two seem to be consistent.</w:t>
      </w:r>
      <w:r>
        <w:rPr>
          <w:sz w:val="24"/>
          <w:szCs w:val="24"/>
        </w:rPr>
        <w:t xml:space="preserve"> </w:t>
      </w:r>
      <w:r w:rsidR="0040262F">
        <w:rPr>
          <w:sz w:val="24"/>
          <w:szCs w:val="24"/>
        </w:rPr>
        <w:t>Thus, there is little concern for the validity of the results (at least within DFT).</w:t>
      </w:r>
      <w:r w:rsidR="00835605">
        <w:rPr>
          <w:sz w:val="24"/>
          <w:szCs w:val="24"/>
        </w:rPr>
        <w:t xml:space="preserve"> These ab-initio</w:t>
      </w:r>
      <w:r w:rsidR="00FD0EAD">
        <w:rPr>
          <w:sz w:val="24"/>
          <w:szCs w:val="24"/>
        </w:rPr>
        <w:t xml:space="preserve"> molecular simulation methods are versatile and can be easily be generalized to systems with diverse composition.</w:t>
      </w:r>
    </w:p>
    <w:p w:rsidR="00755DE8" w:rsidRDefault="00DC7CE7" w:rsidP="0057474C">
      <w:pPr>
        <w:rPr>
          <w:sz w:val="24"/>
          <w:szCs w:val="24"/>
        </w:rPr>
      </w:pPr>
      <w:r>
        <w:rPr>
          <w:sz w:val="24"/>
          <w:szCs w:val="24"/>
        </w:rPr>
        <w:t>There are stark structural differences in the crystalli</w:t>
      </w:r>
      <w:r w:rsidR="00DF7BB4">
        <w:rPr>
          <w:sz w:val="24"/>
          <w:szCs w:val="24"/>
        </w:rPr>
        <w:t>ne and amorphous phases which are</w:t>
      </w:r>
      <w:r>
        <w:rPr>
          <w:sz w:val="24"/>
          <w:szCs w:val="24"/>
        </w:rPr>
        <w:t xml:space="preserve"> characterized by shortened Ge-Te and Ge-Ge bonds and long, crystalline-like Te-Te bonds with long-range order</w:t>
      </w:r>
      <w:r w:rsidR="00CD52A6">
        <w:rPr>
          <w:sz w:val="24"/>
          <w:szCs w:val="24"/>
        </w:rPr>
        <w:t xml:space="preserve"> in the amorphous phase</w:t>
      </w:r>
      <w:r>
        <w:rPr>
          <w:sz w:val="24"/>
          <w:szCs w:val="24"/>
        </w:rPr>
        <w:t>.</w:t>
      </w:r>
      <w:r w:rsidR="000E1CB9">
        <w:rPr>
          <w:sz w:val="24"/>
          <w:szCs w:val="24"/>
        </w:rPr>
        <w:t xml:space="preserve"> This type of bond shortening is</w:t>
      </w:r>
      <w:r w:rsidR="0068028C">
        <w:rPr>
          <w:sz w:val="24"/>
          <w:szCs w:val="24"/>
        </w:rPr>
        <w:t xml:space="preserve"> also observed experimentally [4,5</w:t>
      </w:r>
      <w:r w:rsidR="000E1CB9">
        <w:rPr>
          <w:sz w:val="24"/>
          <w:szCs w:val="24"/>
        </w:rPr>
        <w:t>,8], providing further validity to the simulations.</w:t>
      </w:r>
      <w:r w:rsidR="00DB4739">
        <w:rPr>
          <w:sz w:val="24"/>
          <w:szCs w:val="24"/>
        </w:rPr>
        <w:t xml:space="preserve"> This</w:t>
      </w:r>
      <w:r w:rsidR="008A2509">
        <w:rPr>
          <w:sz w:val="24"/>
          <w:szCs w:val="24"/>
        </w:rPr>
        <w:t xml:space="preserve"> type of bond shortening is also seen in GST, where the Te-Te bond lengths remain crystalline-like. </w:t>
      </w:r>
      <w:r w:rsidR="00F46D42">
        <w:rPr>
          <w:sz w:val="24"/>
          <w:szCs w:val="24"/>
        </w:rPr>
        <w:t>Thus, ab-initio simulations were able to identify the species which is responsible (Ge) for the large</w:t>
      </w:r>
      <w:r w:rsidR="00061CB5">
        <w:rPr>
          <w:sz w:val="24"/>
          <w:szCs w:val="24"/>
        </w:rPr>
        <w:t xml:space="preserve"> amorphous</w:t>
      </w:r>
      <w:r w:rsidR="00F46D42">
        <w:rPr>
          <w:sz w:val="24"/>
          <w:szCs w:val="24"/>
        </w:rPr>
        <w:t xml:space="preserve"> structural changes</w:t>
      </w:r>
      <w:r w:rsidR="00061CB5">
        <w:rPr>
          <w:sz w:val="24"/>
          <w:szCs w:val="24"/>
        </w:rPr>
        <w:t>.</w:t>
      </w:r>
    </w:p>
    <w:p w:rsidR="00DC7CE7" w:rsidRDefault="00825C5E" w:rsidP="0057474C">
      <w:pPr>
        <w:rPr>
          <w:sz w:val="24"/>
          <w:szCs w:val="24"/>
        </w:rPr>
      </w:pPr>
      <w:r>
        <w:rPr>
          <w:sz w:val="24"/>
          <w:szCs w:val="24"/>
        </w:rPr>
        <w:t>The effects of finite simulation size and short simulation times are exemplified in the short range order seen in [</w:t>
      </w:r>
      <w:r w:rsidR="00CF2D2C">
        <w:rPr>
          <w:sz w:val="24"/>
          <w:szCs w:val="24"/>
        </w:rPr>
        <w:t>1</w:t>
      </w:r>
      <w:r>
        <w:rPr>
          <w:sz w:val="24"/>
          <w:szCs w:val="24"/>
        </w:rPr>
        <w:t>], which is reduced in the shorter and smaller simulations in [</w:t>
      </w:r>
      <w:r w:rsidR="00CF2D2C">
        <w:rPr>
          <w:sz w:val="24"/>
          <w:szCs w:val="24"/>
        </w:rPr>
        <w:t>3</w:t>
      </w:r>
      <w:r>
        <w:rPr>
          <w:sz w:val="24"/>
          <w:szCs w:val="24"/>
        </w:rPr>
        <w:t xml:space="preserve">]. </w:t>
      </w:r>
      <w:r w:rsidR="001B67BE">
        <w:rPr>
          <w:sz w:val="24"/>
          <w:szCs w:val="24"/>
        </w:rPr>
        <w:t>The simulations carried out in [</w:t>
      </w:r>
      <w:r w:rsidR="00A26438">
        <w:rPr>
          <w:sz w:val="24"/>
          <w:szCs w:val="24"/>
        </w:rPr>
        <w:t>1-3</w:t>
      </w:r>
      <w:r w:rsidR="001B67BE">
        <w:rPr>
          <w:sz w:val="24"/>
          <w:szCs w:val="24"/>
        </w:rPr>
        <w:t>] are also several orders of magnitude smaller (in both time and space) than the experimental scales</w:t>
      </w:r>
      <w:r w:rsidR="00852C41">
        <w:rPr>
          <w:sz w:val="24"/>
          <w:szCs w:val="24"/>
        </w:rPr>
        <w:t xml:space="preserve">. This prohibits simulation of these materials under experimental conditions, which limits how informative atomistic modeling of PC materials can be. Thus, there is a great </w:t>
      </w:r>
      <w:r w:rsidR="00186376">
        <w:rPr>
          <w:sz w:val="24"/>
          <w:szCs w:val="24"/>
        </w:rPr>
        <w:t>need for more efficient simulation techniques to study PC materials.</w:t>
      </w:r>
    </w:p>
    <w:p w:rsidR="00E932CE" w:rsidRDefault="00E932CE" w:rsidP="0057474C">
      <w:pPr>
        <w:rPr>
          <w:sz w:val="24"/>
          <w:szCs w:val="24"/>
        </w:rPr>
      </w:pPr>
    </w:p>
    <w:p w:rsidR="003C1914" w:rsidRPr="006C2EA4" w:rsidRDefault="003C1914" w:rsidP="00547A0F">
      <w:pPr>
        <w:pStyle w:val="Heading2"/>
        <w:spacing w:before="0" w:beforeAutospacing="0" w:after="0" w:afterAutospacing="0"/>
        <w:rPr>
          <w:rFonts w:asciiTheme="minorHAnsi" w:hAnsiTheme="minorHAnsi"/>
          <w:b w:val="0"/>
          <w:sz w:val="24"/>
          <w:szCs w:val="24"/>
        </w:rPr>
      </w:pPr>
      <w:r w:rsidRPr="006C2EA4">
        <w:rPr>
          <w:rFonts w:asciiTheme="minorHAnsi" w:hAnsiTheme="minorHAnsi"/>
          <w:b w:val="0"/>
          <w:sz w:val="24"/>
          <w:szCs w:val="24"/>
        </w:rPr>
        <w:t>[</w:t>
      </w:r>
      <w:r w:rsidR="00CF2D2C">
        <w:rPr>
          <w:rFonts w:asciiTheme="minorHAnsi" w:hAnsiTheme="minorHAnsi"/>
          <w:b w:val="0"/>
          <w:sz w:val="24"/>
          <w:szCs w:val="24"/>
        </w:rPr>
        <w:t>1</w:t>
      </w:r>
      <w:r w:rsidRPr="006C2EA4">
        <w:rPr>
          <w:rFonts w:asciiTheme="minorHAnsi" w:hAnsiTheme="minorHAnsi"/>
          <w:b w:val="0"/>
          <w:sz w:val="24"/>
          <w:szCs w:val="24"/>
        </w:rPr>
        <w:t>] J. Akola, R.O. Jones Phys. Rev. Lett. 100, 205502 (2008)</w:t>
      </w:r>
      <w:r w:rsidR="006C2EA4">
        <w:rPr>
          <w:rFonts w:asciiTheme="minorHAnsi" w:hAnsiTheme="minorHAnsi"/>
          <w:b w:val="0"/>
          <w:sz w:val="24"/>
          <w:szCs w:val="24"/>
        </w:rPr>
        <w:t>.</w:t>
      </w:r>
    </w:p>
    <w:p w:rsidR="001E7297" w:rsidRDefault="00AB53B3" w:rsidP="00547A0F">
      <w:pPr>
        <w:pStyle w:val="Heading2"/>
        <w:spacing w:before="0" w:beforeAutospacing="0" w:after="0" w:afterAutospacing="0"/>
        <w:rPr>
          <w:rFonts w:asciiTheme="minorHAnsi" w:hAnsiTheme="minorHAnsi"/>
          <w:b w:val="0"/>
          <w:sz w:val="24"/>
          <w:szCs w:val="24"/>
        </w:rPr>
      </w:pPr>
      <w:r>
        <w:rPr>
          <w:rFonts w:asciiTheme="minorHAnsi" w:hAnsiTheme="minorHAnsi"/>
          <w:b w:val="0"/>
          <w:sz w:val="24"/>
          <w:szCs w:val="24"/>
        </w:rPr>
        <w:t>[</w:t>
      </w:r>
      <w:r w:rsidR="00CF2D2C">
        <w:rPr>
          <w:rFonts w:asciiTheme="minorHAnsi" w:hAnsiTheme="minorHAnsi"/>
          <w:b w:val="0"/>
          <w:sz w:val="24"/>
          <w:szCs w:val="24"/>
        </w:rPr>
        <w:t>2</w:t>
      </w:r>
      <w:r w:rsidR="003C1914" w:rsidRPr="00754DE8">
        <w:rPr>
          <w:rFonts w:asciiTheme="minorHAnsi" w:hAnsiTheme="minorHAnsi"/>
          <w:b w:val="0"/>
          <w:sz w:val="24"/>
          <w:szCs w:val="24"/>
        </w:rPr>
        <w:t>]</w:t>
      </w:r>
      <w:r w:rsidR="006C2EA4" w:rsidRPr="00754DE8">
        <w:rPr>
          <w:rFonts w:asciiTheme="minorHAnsi" w:hAnsiTheme="minorHAnsi"/>
          <w:b w:val="0"/>
          <w:sz w:val="24"/>
          <w:szCs w:val="24"/>
        </w:rPr>
        <w:t xml:space="preserve"> J. Akola, R.O. Jones</w:t>
      </w:r>
      <w:r w:rsidR="00D83C51" w:rsidRPr="00754DE8">
        <w:rPr>
          <w:rFonts w:asciiTheme="minorHAnsi" w:hAnsiTheme="minorHAnsi"/>
          <w:b w:val="0"/>
          <w:sz w:val="24"/>
          <w:szCs w:val="24"/>
        </w:rPr>
        <w:t xml:space="preserve"> </w:t>
      </w:r>
      <w:r w:rsidR="006C2EA4" w:rsidRPr="00754DE8">
        <w:rPr>
          <w:rFonts w:asciiTheme="minorHAnsi" w:hAnsiTheme="minorHAnsi"/>
          <w:b w:val="0"/>
          <w:sz w:val="24"/>
          <w:szCs w:val="24"/>
        </w:rPr>
        <w:t>Phys. Rev. B 76, 235201 (2007).</w:t>
      </w:r>
    </w:p>
    <w:p w:rsidR="00CF2D2C" w:rsidRDefault="00CF2D2C" w:rsidP="00547A0F">
      <w:pPr>
        <w:pStyle w:val="Heading2"/>
        <w:spacing w:before="0" w:beforeAutospacing="0" w:after="0" w:afterAutospacing="0"/>
        <w:rPr>
          <w:rFonts w:asciiTheme="minorHAnsi" w:hAnsiTheme="minorHAnsi"/>
          <w:b w:val="0"/>
          <w:sz w:val="24"/>
          <w:szCs w:val="24"/>
        </w:rPr>
      </w:pPr>
      <w:r w:rsidRPr="002A6AF1">
        <w:rPr>
          <w:rFonts w:asciiTheme="minorHAnsi" w:hAnsiTheme="minorHAnsi"/>
          <w:b w:val="0"/>
          <w:sz w:val="24"/>
          <w:szCs w:val="24"/>
        </w:rPr>
        <w:t>[</w:t>
      </w:r>
      <w:r>
        <w:rPr>
          <w:rFonts w:asciiTheme="minorHAnsi" w:hAnsiTheme="minorHAnsi"/>
          <w:b w:val="0"/>
          <w:sz w:val="24"/>
          <w:szCs w:val="24"/>
        </w:rPr>
        <w:t>3</w:t>
      </w:r>
      <w:r w:rsidRPr="002A6AF1">
        <w:rPr>
          <w:rFonts w:asciiTheme="minorHAnsi" w:hAnsiTheme="minorHAnsi"/>
          <w:b w:val="0"/>
          <w:sz w:val="24"/>
          <w:szCs w:val="24"/>
        </w:rPr>
        <w:t xml:space="preserve">] J. Y. Raty </w:t>
      </w:r>
      <w:r w:rsidRPr="002A6AF1">
        <w:rPr>
          <w:rStyle w:val="Emphasis"/>
          <w:rFonts w:asciiTheme="minorHAnsi" w:hAnsiTheme="minorHAnsi"/>
          <w:b w:val="0"/>
          <w:i w:val="0"/>
          <w:sz w:val="24"/>
          <w:szCs w:val="24"/>
        </w:rPr>
        <w:t xml:space="preserve">et al., </w:t>
      </w:r>
      <w:r w:rsidRPr="002A6AF1">
        <w:rPr>
          <w:rFonts w:asciiTheme="minorHAnsi" w:hAnsiTheme="minorHAnsi"/>
          <w:b w:val="0"/>
          <w:sz w:val="24"/>
          <w:szCs w:val="24"/>
        </w:rPr>
        <w:t>Phys. Rev. B 65, 115205 (2002).</w:t>
      </w:r>
    </w:p>
    <w:p w:rsidR="00715012" w:rsidRDefault="00715012" w:rsidP="00547A0F">
      <w:pPr>
        <w:pStyle w:val="Heading2"/>
        <w:spacing w:before="0" w:beforeAutospacing="0" w:after="0" w:afterAutospacing="0"/>
        <w:rPr>
          <w:rFonts w:asciiTheme="minorHAnsi" w:hAnsiTheme="minorHAnsi"/>
          <w:b w:val="0"/>
          <w:sz w:val="24"/>
          <w:szCs w:val="24"/>
        </w:rPr>
      </w:pPr>
      <w:r w:rsidRPr="002A6AF1">
        <w:rPr>
          <w:rFonts w:asciiTheme="minorHAnsi" w:hAnsiTheme="minorHAnsi"/>
          <w:b w:val="0"/>
          <w:sz w:val="24"/>
          <w:szCs w:val="24"/>
        </w:rPr>
        <w:t>[</w:t>
      </w:r>
      <w:r>
        <w:rPr>
          <w:rFonts w:asciiTheme="minorHAnsi" w:hAnsiTheme="minorHAnsi"/>
          <w:b w:val="0"/>
          <w:sz w:val="24"/>
          <w:szCs w:val="24"/>
        </w:rPr>
        <w:t>4</w:t>
      </w:r>
      <w:r w:rsidRPr="002A6AF1">
        <w:rPr>
          <w:rFonts w:asciiTheme="minorHAnsi" w:hAnsiTheme="minorHAnsi"/>
          <w:b w:val="0"/>
          <w:sz w:val="24"/>
          <w:szCs w:val="24"/>
        </w:rPr>
        <w:t>] K. Hirota, et al., J. Appl. Phys. 82(1), 1997.</w:t>
      </w:r>
    </w:p>
    <w:p w:rsidR="00715012" w:rsidRDefault="00715012" w:rsidP="00547A0F">
      <w:pPr>
        <w:pStyle w:val="Heading2"/>
        <w:spacing w:before="0" w:beforeAutospacing="0" w:after="0" w:afterAutospacing="0"/>
        <w:rPr>
          <w:rFonts w:asciiTheme="minorHAnsi" w:hAnsiTheme="minorHAnsi"/>
          <w:b w:val="0"/>
          <w:sz w:val="24"/>
          <w:szCs w:val="24"/>
        </w:rPr>
      </w:pPr>
      <w:r w:rsidRPr="002A6AF1">
        <w:rPr>
          <w:rFonts w:asciiTheme="minorHAnsi" w:hAnsiTheme="minorHAnsi"/>
          <w:b w:val="0"/>
          <w:sz w:val="24"/>
          <w:szCs w:val="24"/>
        </w:rPr>
        <w:t>[</w:t>
      </w:r>
      <w:r>
        <w:rPr>
          <w:rFonts w:asciiTheme="minorHAnsi" w:hAnsiTheme="minorHAnsi"/>
          <w:b w:val="0"/>
          <w:sz w:val="24"/>
          <w:szCs w:val="24"/>
        </w:rPr>
        <w:t>5</w:t>
      </w:r>
      <w:r w:rsidRPr="002A6AF1">
        <w:rPr>
          <w:rFonts w:asciiTheme="minorHAnsi" w:hAnsiTheme="minorHAnsi"/>
          <w:b w:val="0"/>
          <w:sz w:val="24"/>
          <w:szCs w:val="24"/>
        </w:rPr>
        <w:t>] D.B. Dove, et al., Appl. Phys. Lett. 16, 3 (1970).</w:t>
      </w:r>
    </w:p>
    <w:p w:rsidR="00715012" w:rsidRDefault="00715012" w:rsidP="00715012">
      <w:pPr>
        <w:autoSpaceDE w:val="0"/>
        <w:autoSpaceDN w:val="0"/>
        <w:adjustRightInd w:val="0"/>
        <w:spacing w:after="0" w:line="240" w:lineRule="auto"/>
        <w:rPr>
          <w:rFonts w:cs="Times New Roman"/>
          <w:sz w:val="24"/>
          <w:szCs w:val="24"/>
        </w:rPr>
      </w:pPr>
      <w:r w:rsidRPr="00DE0022">
        <w:rPr>
          <w:sz w:val="24"/>
          <w:szCs w:val="24"/>
        </w:rPr>
        <w:t>[</w:t>
      </w:r>
      <w:r>
        <w:rPr>
          <w:sz w:val="24"/>
          <w:szCs w:val="24"/>
        </w:rPr>
        <w:t>6</w:t>
      </w:r>
      <w:r w:rsidRPr="00DE0022">
        <w:rPr>
          <w:sz w:val="24"/>
          <w:szCs w:val="24"/>
        </w:rPr>
        <w:t>]</w:t>
      </w:r>
      <w:r>
        <w:rPr>
          <w:sz w:val="24"/>
          <w:szCs w:val="24"/>
        </w:rPr>
        <w:t xml:space="preserve"> </w:t>
      </w:r>
      <w:r w:rsidRPr="00DE0022">
        <w:rPr>
          <w:rFonts w:cs="Times New Roman"/>
          <w:sz w:val="24"/>
          <w:szCs w:val="24"/>
        </w:rPr>
        <w:t xml:space="preserve">S. Hosokawa, et al., J. Phys.: Condens. Matter </w:t>
      </w:r>
      <w:r w:rsidRPr="00DE0022">
        <w:rPr>
          <w:rFonts w:cs="Times New Roman"/>
          <w:bCs/>
          <w:sz w:val="24"/>
          <w:szCs w:val="24"/>
        </w:rPr>
        <w:t>10</w:t>
      </w:r>
      <w:r w:rsidRPr="00DE0022">
        <w:rPr>
          <w:rFonts w:cs="Times New Roman"/>
          <w:sz w:val="24"/>
          <w:szCs w:val="24"/>
        </w:rPr>
        <w:t xml:space="preserve">, 1931 </w:t>
      </w:r>
      <w:r>
        <w:rPr>
          <w:rFonts w:cs="Universal-GreekwithMathPi"/>
          <w:sz w:val="24"/>
          <w:szCs w:val="24"/>
        </w:rPr>
        <w:t>(</w:t>
      </w:r>
      <w:r w:rsidRPr="00DE0022">
        <w:rPr>
          <w:rFonts w:cs="Times New Roman"/>
          <w:sz w:val="24"/>
          <w:szCs w:val="24"/>
        </w:rPr>
        <w:t>1998</w:t>
      </w:r>
      <w:r>
        <w:rPr>
          <w:rFonts w:cs="Times New Roman"/>
          <w:sz w:val="24"/>
          <w:szCs w:val="24"/>
        </w:rPr>
        <w:t>).</w:t>
      </w:r>
    </w:p>
    <w:p w:rsidR="00715012" w:rsidRPr="00715012" w:rsidRDefault="00715012" w:rsidP="00715012">
      <w:pPr>
        <w:autoSpaceDE w:val="0"/>
        <w:autoSpaceDN w:val="0"/>
        <w:adjustRightInd w:val="0"/>
        <w:spacing w:after="0" w:line="240" w:lineRule="auto"/>
        <w:rPr>
          <w:rFonts w:cs="Times New Roman"/>
          <w:sz w:val="24"/>
          <w:szCs w:val="24"/>
        </w:rPr>
      </w:pPr>
      <w:r>
        <w:rPr>
          <w:rFonts w:cs="Times New Roman"/>
          <w:sz w:val="24"/>
          <w:szCs w:val="24"/>
        </w:rPr>
        <w:t xml:space="preserve">[7] </w:t>
      </w:r>
      <w:r>
        <w:rPr>
          <w:bCs/>
          <w:sz w:val="24"/>
          <w:szCs w:val="24"/>
        </w:rPr>
        <w:t xml:space="preserve">G. Burr, et al., </w:t>
      </w:r>
      <w:r w:rsidRPr="00F2310D">
        <w:rPr>
          <w:sz w:val="24"/>
          <w:szCs w:val="24"/>
        </w:rPr>
        <w:t>arXiv:1001.1164v2 [cond-mat.mtrl-sci] 29 Mar 2010</w:t>
      </w:r>
      <w:r>
        <w:rPr>
          <w:sz w:val="24"/>
          <w:szCs w:val="24"/>
        </w:rPr>
        <w:t>.</w:t>
      </w:r>
    </w:p>
    <w:p w:rsidR="00E3465F" w:rsidRPr="00715012" w:rsidRDefault="005334EB" w:rsidP="00715012">
      <w:pPr>
        <w:spacing w:after="0" w:line="240" w:lineRule="auto"/>
        <w:rPr>
          <w:sz w:val="24"/>
          <w:szCs w:val="24"/>
        </w:rPr>
      </w:pPr>
      <w:r>
        <w:rPr>
          <w:sz w:val="24"/>
          <w:szCs w:val="24"/>
        </w:rPr>
        <w:t>[</w:t>
      </w:r>
      <w:r w:rsidR="00061B44">
        <w:rPr>
          <w:sz w:val="24"/>
          <w:szCs w:val="24"/>
        </w:rPr>
        <w:t>8</w:t>
      </w:r>
      <w:r w:rsidR="00754DE8" w:rsidRPr="00754DE8">
        <w:rPr>
          <w:sz w:val="24"/>
          <w:szCs w:val="24"/>
        </w:rPr>
        <w:t xml:space="preserve">] A V Kolobov </w:t>
      </w:r>
      <w:r w:rsidR="00754DE8" w:rsidRPr="00754DE8">
        <w:rPr>
          <w:rStyle w:val="Emphasis"/>
          <w:i w:val="0"/>
          <w:sz w:val="24"/>
          <w:szCs w:val="24"/>
        </w:rPr>
        <w:t>et al</w:t>
      </w:r>
      <w:r w:rsidR="002772EA">
        <w:rPr>
          <w:rStyle w:val="Emphasis"/>
          <w:i w:val="0"/>
          <w:sz w:val="24"/>
          <w:szCs w:val="24"/>
        </w:rPr>
        <w:t>.</w:t>
      </w:r>
      <w:r w:rsidR="00754DE8">
        <w:rPr>
          <w:rStyle w:val="Emphasis"/>
          <w:i w:val="0"/>
          <w:sz w:val="24"/>
          <w:szCs w:val="24"/>
        </w:rPr>
        <w:t>,</w:t>
      </w:r>
      <w:r w:rsidR="00754DE8" w:rsidRPr="00754DE8">
        <w:rPr>
          <w:i/>
          <w:sz w:val="24"/>
          <w:szCs w:val="24"/>
        </w:rPr>
        <w:t xml:space="preserve"> </w:t>
      </w:r>
      <w:r w:rsidR="00754DE8" w:rsidRPr="00754DE8">
        <w:rPr>
          <w:rStyle w:val="Emphasis"/>
          <w:i w:val="0"/>
          <w:sz w:val="24"/>
          <w:szCs w:val="24"/>
        </w:rPr>
        <w:t>J. Phys.: Condens. Matter</w:t>
      </w:r>
      <w:r w:rsidR="00754DE8" w:rsidRPr="00754DE8">
        <w:rPr>
          <w:i/>
          <w:sz w:val="24"/>
          <w:szCs w:val="24"/>
        </w:rPr>
        <w:t xml:space="preserve"> </w:t>
      </w:r>
      <w:r w:rsidR="00754DE8" w:rsidRPr="00297A9D">
        <w:rPr>
          <w:bCs/>
          <w:sz w:val="24"/>
          <w:szCs w:val="24"/>
        </w:rPr>
        <w:t>16</w:t>
      </w:r>
      <w:r w:rsidR="00754DE8" w:rsidRPr="00754DE8">
        <w:rPr>
          <w:sz w:val="24"/>
          <w:szCs w:val="24"/>
        </w:rPr>
        <w:t xml:space="preserve"> S5103</w:t>
      </w:r>
      <w:r w:rsidR="00562567">
        <w:rPr>
          <w:sz w:val="24"/>
          <w:szCs w:val="24"/>
        </w:rPr>
        <w:t xml:space="preserve"> (</w:t>
      </w:r>
      <w:r w:rsidR="00562567" w:rsidRPr="00754DE8">
        <w:rPr>
          <w:sz w:val="24"/>
          <w:szCs w:val="24"/>
        </w:rPr>
        <w:t>2004</w:t>
      </w:r>
      <w:r w:rsidR="00562567">
        <w:rPr>
          <w:sz w:val="24"/>
          <w:szCs w:val="24"/>
        </w:rPr>
        <w:t>)</w:t>
      </w:r>
      <w:r w:rsidR="00D40AC3">
        <w:rPr>
          <w:sz w:val="24"/>
          <w:szCs w:val="24"/>
        </w:rPr>
        <w:t>.</w:t>
      </w:r>
    </w:p>
    <w:sectPr w:rsidR="00E3465F" w:rsidRPr="00715012" w:rsidSect="008C7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Universal-GreekwithMathPi">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497C"/>
    <w:rsid w:val="00004E0E"/>
    <w:rsid w:val="00012959"/>
    <w:rsid w:val="00012E18"/>
    <w:rsid w:val="00013DC4"/>
    <w:rsid w:val="0001646E"/>
    <w:rsid w:val="00022E5B"/>
    <w:rsid w:val="00030EC6"/>
    <w:rsid w:val="000420C0"/>
    <w:rsid w:val="00052040"/>
    <w:rsid w:val="00056D9A"/>
    <w:rsid w:val="00061B44"/>
    <w:rsid w:val="00061CB5"/>
    <w:rsid w:val="00071344"/>
    <w:rsid w:val="000812C5"/>
    <w:rsid w:val="0008755B"/>
    <w:rsid w:val="0009497C"/>
    <w:rsid w:val="000C0D6F"/>
    <w:rsid w:val="000C1824"/>
    <w:rsid w:val="000C6F33"/>
    <w:rsid w:val="000D3DEF"/>
    <w:rsid w:val="000E1620"/>
    <w:rsid w:val="000E1CB9"/>
    <w:rsid w:val="000E1DAE"/>
    <w:rsid w:val="001021A7"/>
    <w:rsid w:val="001243D0"/>
    <w:rsid w:val="00130983"/>
    <w:rsid w:val="00130CC1"/>
    <w:rsid w:val="001335C8"/>
    <w:rsid w:val="00135606"/>
    <w:rsid w:val="00135DBB"/>
    <w:rsid w:val="001458DC"/>
    <w:rsid w:val="00146098"/>
    <w:rsid w:val="0015534E"/>
    <w:rsid w:val="001661DA"/>
    <w:rsid w:val="00166A09"/>
    <w:rsid w:val="001815D9"/>
    <w:rsid w:val="00186376"/>
    <w:rsid w:val="00192212"/>
    <w:rsid w:val="001969D7"/>
    <w:rsid w:val="001A6A31"/>
    <w:rsid w:val="001B0863"/>
    <w:rsid w:val="001B2E4F"/>
    <w:rsid w:val="001B67BE"/>
    <w:rsid w:val="001C2DCA"/>
    <w:rsid w:val="001C5E0E"/>
    <w:rsid w:val="001C7F27"/>
    <w:rsid w:val="001D3B83"/>
    <w:rsid w:val="001D46BE"/>
    <w:rsid w:val="001E7297"/>
    <w:rsid w:val="001F65AC"/>
    <w:rsid w:val="001F6DC1"/>
    <w:rsid w:val="002110AB"/>
    <w:rsid w:val="002250D0"/>
    <w:rsid w:val="002277CA"/>
    <w:rsid w:val="00234E7F"/>
    <w:rsid w:val="002469D4"/>
    <w:rsid w:val="002614CD"/>
    <w:rsid w:val="002766D2"/>
    <w:rsid w:val="002772EA"/>
    <w:rsid w:val="00283F0E"/>
    <w:rsid w:val="00297A9D"/>
    <w:rsid w:val="002A6AF1"/>
    <w:rsid w:val="002C65E9"/>
    <w:rsid w:val="002D3530"/>
    <w:rsid w:val="002D4967"/>
    <w:rsid w:val="002D5955"/>
    <w:rsid w:val="002E7111"/>
    <w:rsid w:val="002F0AA7"/>
    <w:rsid w:val="002F2A05"/>
    <w:rsid w:val="002F4073"/>
    <w:rsid w:val="002F6C1E"/>
    <w:rsid w:val="00303F2B"/>
    <w:rsid w:val="00304D59"/>
    <w:rsid w:val="0030762E"/>
    <w:rsid w:val="00311B92"/>
    <w:rsid w:val="0033360E"/>
    <w:rsid w:val="00333F64"/>
    <w:rsid w:val="0034529E"/>
    <w:rsid w:val="00352793"/>
    <w:rsid w:val="00374BD5"/>
    <w:rsid w:val="003939BF"/>
    <w:rsid w:val="003A2BC2"/>
    <w:rsid w:val="003B4E7D"/>
    <w:rsid w:val="003B5083"/>
    <w:rsid w:val="003C0E2A"/>
    <w:rsid w:val="003C1914"/>
    <w:rsid w:val="003D419C"/>
    <w:rsid w:val="003D7376"/>
    <w:rsid w:val="003E3FA8"/>
    <w:rsid w:val="0040262F"/>
    <w:rsid w:val="00405604"/>
    <w:rsid w:val="00411E46"/>
    <w:rsid w:val="00411FC0"/>
    <w:rsid w:val="004157B3"/>
    <w:rsid w:val="00416F9A"/>
    <w:rsid w:val="00424A3D"/>
    <w:rsid w:val="004307DB"/>
    <w:rsid w:val="00435725"/>
    <w:rsid w:val="004463D3"/>
    <w:rsid w:val="00446939"/>
    <w:rsid w:val="00455AEC"/>
    <w:rsid w:val="004636CE"/>
    <w:rsid w:val="004648D5"/>
    <w:rsid w:val="00470CE5"/>
    <w:rsid w:val="004733D1"/>
    <w:rsid w:val="004849DA"/>
    <w:rsid w:val="004A3654"/>
    <w:rsid w:val="004B4AF2"/>
    <w:rsid w:val="004B4C35"/>
    <w:rsid w:val="004C512B"/>
    <w:rsid w:val="004C51BE"/>
    <w:rsid w:val="004D0DA7"/>
    <w:rsid w:val="004F287E"/>
    <w:rsid w:val="004F3064"/>
    <w:rsid w:val="004F5F79"/>
    <w:rsid w:val="00500B52"/>
    <w:rsid w:val="005015E1"/>
    <w:rsid w:val="00502C46"/>
    <w:rsid w:val="005134D4"/>
    <w:rsid w:val="00515830"/>
    <w:rsid w:val="00532A85"/>
    <w:rsid w:val="00532FD6"/>
    <w:rsid w:val="005334EB"/>
    <w:rsid w:val="00533883"/>
    <w:rsid w:val="00544806"/>
    <w:rsid w:val="00544BB4"/>
    <w:rsid w:val="00547A0F"/>
    <w:rsid w:val="00562567"/>
    <w:rsid w:val="00563270"/>
    <w:rsid w:val="00571E13"/>
    <w:rsid w:val="0057474C"/>
    <w:rsid w:val="005863E8"/>
    <w:rsid w:val="00595C73"/>
    <w:rsid w:val="005A34BD"/>
    <w:rsid w:val="005D1724"/>
    <w:rsid w:val="005D1CFA"/>
    <w:rsid w:val="005D2671"/>
    <w:rsid w:val="005E417F"/>
    <w:rsid w:val="00600D7A"/>
    <w:rsid w:val="006055EC"/>
    <w:rsid w:val="0061228C"/>
    <w:rsid w:val="00616B0F"/>
    <w:rsid w:val="00617061"/>
    <w:rsid w:val="00633BA5"/>
    <w:rsid w:val="00637F4C"/>
    <w:rsid w:val="00641380"/>
    <w:rsid w:val="00652B58"/>
    <w:rsid w:val="00652F0A"/>
    <w:rsid w:val="0065551E"/>
    <w:rsid w:val="006737E5"/>
    <w:rsid w:val="0068028C"/>
    <w:rsid w:val="00683C36"/>
    <w:rsid w:val="006912CE"/>
    <w:rsid w:val="00697386"/>
    <w:rsid w:val="006C273E"/>
    <w:rsid w:val="006C2EA4"/>
    <w:rsid w:val="006C6B7D"/>
    <w:rsid w:val="006D3F8C"/>
    <w:rsid w:val="006F5D4E"/>
    <w:rsid w:val="00700479"/>
    <w:rsid w:val="00704B0E"/>
    <w:rsid w:val="00715012"/>
    <w:rsid w:val="007262CD"/>
    <w:rsid w:val="007337BD"/>
    <w:rsid w:val="00734262"/>
    <w:rsid w:val="0074532E"/>
    <w:rsid w:val="0074563B"/>
    <w:rsid w:val="00754DE8"/>
    <w:rsid w:val="00755DE8"/>
    <w:rsid w:val="0075624E"/>
    <w:rsid w:val="00772FF5"/>
    <w:rsid w:val="007751FE"/>
    <w:rsid w:val="007917A2"/>
    <w:rsid w:val="00795DF4"/>
    <w:rsid w:val="007B0EBA"/>
    <w:rsid w:val="007B73DA"/>
    <w:rsid w:val="007B7F2F"/>
    <w:rsid w:val="007D0930"/>
    <w:rsid w:val="007D38D2"/>
    <w:rsid w:val="007F69E0"/>
    <w:rsid w:val="00804D26"/>
    <w:rsid w:val="0081524D"/>
    <w:rsid w:val="00825C5E"/>
    <w:rsid w:val="00831D74"/>
    <w:rsid w:val="00835605"/>
    <w:rsid w:val="00845E03"/>
    <w:rsid w:val="00852C41"/>
    <w:rsid w:val="0086423C"/>
    <w:rsid w:val="00896AE3"/>
    <w:rsid w:val="008A2509"/>
    <w:rsid w:val="008B1AD5"/>
    <w:rsid w:val="008B1F40"/>
    <w:rsid w:val="008C72AC"/>
    <w:rsid w:val="008C75EC"/>
    <w:rsid w:val="008D77AF"/>
    <w:rsid w:val="008E521A"/>
    <w:rsid w:val="00900164"/>
    <w:rsid w:val="009012FB"/>
    <w:rsid w:val="009017F9"/>
    <w:rsid w:val="00903234"/>
    <w:rsid w:val="0092175F"/>
    <w:rsid w:val="0092425F"/>
    <w:rsid w:val="00934264"/>
    <w:rsid w:val="00941606"/>
    <w:rsid w:val="00947A92"/>
    <w:rsid w:val="00966F24"/>
    <w:rsid w:val="00974097"/>
    <w:rsid w:val="009755C8"/>
    <w:rsid w:val="00977D98"/>
    <w:rsid w:val="009811B5"/>
    <w:rsid w:val="009821FA"/>
    <w:rsid w:val="00995094"/>
    <w:rsid w:val="00996E19"/>
    <w:rsid w:val="009B72A1"/>
    <w:rsid w:val="009C6FBD"/>
    <w:rsid w:val="009C7CCA"/>
    <w:rsid w:val="009D1229"/>
    <w:rsid w:val="009E0FBC"/>
    <w:rsid w:val="009E56DD"/>
    <w:rsid w:val="00A102A3"/>
    <w:rsid w:val="00A1596D"/>
    <w:rsid w:val="00A21C9E"/>
    <w:rsid w:val="00A23BCF"/>
    <w:rsid w:val="00A26438"/>
    <w:rsid w:val="00A416FB"/>
    <w:rsid w:val="00A419C1"/>
    <w:rsid w:val="00A54F06"/>
    <w:rsid w:val="00A64F47"/>
    <w:rsid w:val="00A75498"/>
    <w:rsid w:val="00A758DF"/>
    <w:rsid w:val="00A81F3B"/>
    <w:rsid w:val="00A848F0"/>
    <w:rsid w:val="00A87B42"/>
    <w:rsid w:val="00A94D28"/>
    <w:rsid w:val="00AA2300"/>
    <w:rsid w:val="00AB53B3"/>
    <w:rsid w:val="00AB5AF3"/>
    <w:rsid w:val="00AC0FC4"/>
    <w:rsid w:val="00AC5338"/>
    <w:rsid w:val="00AE6BBB"/>
    <w:rsid w:val="00B007AD"/>
    <w:rsid w:val="00B00E0A"/>
    <w:rsid w:val="00B00F38"/>
    <w:rsid w:val="00B02F0B"/>
    <w:rsid w:val="00B138A9"/>
    <w:rsid w:val="00B21143"/>
    <w:rsid w:val="00B35590"/>
    <w:rsid w:val="00B748B5"/>
    <w:rsid w:val="00B75E22"/>
    <w:rsid w:val="00B83ACC"/>
    <w:rsid w:val="00B938F9"/>
    <w:rsid w:val="00BA4AC9"/>
    <w:rsid w:val="00BD1264"/>
    <w:rsid w:val="00BE088C"/>
    <w:rsid w:val="00BE45CC"/>
    <w:rsid w:val="00BE5A15"/>
    <w:rsid w:val="00BF4B65"/>
    <w:rsid w:val="00C15684"/>
    <w:rsid w:val="00C25860"/>
    <w:rsid w:val="00C30FDA"/>
    <w:rsid w:val="00C34C2F"/>
    <w:rsid w:val="00C35FD5"/>
    <w:rsid w:val="00C57B81"/>
    <w:rsid w:val="00C60849"/>
    <w:rsid w:val="00C641C2"/>
    <w:rsid w:val="00C704D7"/>
    <w:rsid w:val="00C73544"/>
    <w:rsid w:val="00C912AD"/>
    <w:rsid w:val="00CA1DF5"/>
    <w:rsid w:val="00CB09F2"/>
    <w:rsid w:val="00CD053D"/>
    <w:rsid w:val="00CD16D9"/>
    <w:rsid w:val="00CD52A6"/>
    <w:rsid w:val="00CD722B"/>
    <w:rsid w:val="00CE6FD4"/>
    <w:rsid w:val="00CE764C"/>
    <w:rsid w:val="00CF2D2C"/>
    <w:rsid w:val="00D01E95"/>
    <w:rsid w:val="00D13262"/>
    <w:rsid w:val="00D14A05"/>
    <w:rsid w:val="00D24821"/>
    <w:rsid w:val="00D334F5"/>
    <w:rsid w:val="00D35663"/>
    <w:rsid w:val="00D40AC3"/>
    <w:rsid w:val="00D432D8"/>
    <w:rsid w:val="00D43371"/>
    <w:rsid w:val="00D47E8B"/>
    <w:rsid w:val="00D52099"/>
    <w:rsid w:val="00D559E6"/>
    <w:rsid w:val="00D75870"/>
    <w:rsid w:val="00D77C6D"/>
    <w:rsid w:val="00D81780"/>
    <w:rsid w:val="00D83C51"/>
    <w:rsid w:val="00D8637B"/>
    <w:rsid w:val="00DB4739"/>
    <w:rsid w:val="00DC1E88"/>
    <w:rsid w:val="00DC7CE7"/>
    <w:rsid w:val="00DC7EAA"/>
    <w:rsid w:val="00DD3DF9"/>
    <w:rsid w:val="00DD4E6B"/>
    <w:rsid w:val="00DD764F"/>
    <w:rsid w:val="00DE0022"/>
    <w:rsid w:val="00DF7BB4"/>
    <w:rsid w:val="00E07522"/>
    <w:rsid w:val="00E13E8F"/>
    <w:rsid w:val="00E1484B"/>
    <w:rsid w:val="00E31272"/>
    <w:rsid w:val="00E3465F"/>
    <w:rsid w:val="00E72093"/>
    <w:rsid w:val="00E75145"/>
    <w:rsid w:val="00E91676"/>
    <w:rsid w:val="00E932CE"/>
    <w:rsid w:val="00E938D6"/>
    <w:rsid w:val="00E94750"/>
    <w:rsid w:val="00E94C76"/>
    <w:rsid w:val="00EA0CC5"/>
    <w:rsid w:val="00EB23F1"/>
    <w:rsid w:val="00EB5FC8"/>
    <w:rsid w:val="00EB6B6F"/>
    <w:rsid w:val="00EC7F44"/>
    <w:rsid w:val="00ED427C"/>
    <w:rsid w:val="00F03C51"/>
    <w:rsid w:val="00F26FCD"/>
    <w:rsid w:val="00F33860"/>
    <w:rsid w:val="00F4097B"/>
    <w:rsid w:val="00F46D42"/>
    <w:rsid w:val="00F62B5C"/>
    <w:rsid w:val="00F64A40"/>
    <w:rsid w:val="00F80CD7"/>
    <w:rsid w:val="00F8133A"/>
    <w:rsid w:val="00F906E1"/>
    <w:rsid w:val="00FC280B"/>
    <w:rsid w:val="00FD0EAD"/>
    <w:rsid w:val="00FD419C"/>
    <w:rsid w:val="00FD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2AC"/>
  </w:style>
  <w:style w:type="paragraph" w:styleId="Heading2">
    <w:name w:val="heading 2"/>
    <w:basedOn w:val="Normal"/>
    <w:link w:val="Heading2Char"/>
    <w:uiPriority w:val="9"/>
    <w:qFormat/>
    <w:rsid w:val="003C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914"/>
    <w:rPr>
      <w:rFonts w:ascii="Times New Roman" w:eastAsia="Times New Roman" w:hAnsi="Times New Roman" w:cs="Times New Roman"/>
      <w:b/>
      <w:bCs/>
      <w:sz w:val="36"/>
      <w:szCs w:val="36"/>
    </w:rPr>
  </w:style>
  <w:style w:type="character" w:styleId="Emphasis">
    <w:name w:val="Emphasis"/>
    <w:basedOn w:val="DefaultParagraphFont"/>
    <w:uiPriority w:val="20"/>
    <w:qFormat/>
    <w:rsid w:val="00754DE8"/>
    <w:rPr>
      <w:i/>
      <w:iCs/>
    </w:rPr>
  </w:style>
  <w:style w:type="character" w:styleId="Hyperlink">
    <w:name w:val="Hyperlink"/>
    <w:basedOn w:val="DefaultParagraphFont"/>
    <w:uiPriority w:val="99"/>
    <w:semiHidden/>
    <w:unhideWhenUsed/>
    <w:rsid w:val="00D40AC3"/>
    <w:rPr>
      <w:color w:val="0000FF"/>
      <w:u w:val="single"/>
    </w:rPr>
  </w:style>
  <w:style w:type="character" w:styleId="PlaceholderText">
    <w:name w:val="Placeholder Text"/>
    <w:basedOn w:val="DefaultParagraphFont"/>
    <w:uiPriority w:val="99"/>
    <w:semiHidden/>
    <w:rsid w:val="00F64A40"/>
    <w:rPr>
      <w:color w:val="808080"/>
    </w:rPr>
  </w:style>
  <w:style w:type="paragraph" w:styleId="BalloonText">
    <w:name w:val="Balloon Text"/>
    <w:basedOn w:val="Normal"/>
    <w:link w:val="BalloonTextChar"/>
    <w:uiPriority w:val="99"/>
    <w:semiHidden/>
    <w:unhideWhenUsed/>
    <w:rsid w:val="00F64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40"/>
    <w:rPr>
      <w:rFonts w:ascii="Tahoma" w:hAnsi="Tahoma" w:cs="Tahoma"/>
      <w:sz w:val="16"/>
      <w:szCs w:val="16"/>
    </w:rPr>
  </w:style>
  <w:style w:type="paragraph" w:styleId="Caption">
    <w:name w:val="caption"/>
    <w:basedOn w:val="Normal"/>
    <w:next w:val="Normal"/>
    <w:uiPriority w:val="35"/>
    <w:unhideWhenUsed/>
    <w:qFormat/>
    <w:rsid w:val="00013DC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6099409">
      <w:bodyDiv w:val="1"/>
      <w:marLeft w:val="0"/>
      <w:marRight w:val="0"/>
      <w:marTop w:val="0"/>
      <w:marBottom w:val="0"/>
      <w:divBdr>
        <w:top w:val="none" w:sz="0" w:space="0" w:color="auto"/>
        <w:left w:val="none" w:sz="0" w:space="0" w:color="auto"/>
        <w:bottom w:val="none" w:sz="0" w:space="0" w:color="auto"/>
        <w:right w:val="none" w:sz="0" w:space="0" w:color="auto"/>
      </w:divBdr>
    </w:div>
    <w:div w:id="267662689">
      <w:bodyDiv w:val="1"/>
      <w:marLeft w:val="0"/>
      <w:marRight w:val="0"/>
      <w:marTop w:val="0"/>
      <w:marBottom w:val="0"/>
      <w:divBdr>
        <w:top w:val="none" w:sz="0" w:space="0" w:color="auto"/>
        <w:left w:val="none" w:sz="0" w:space="0" w:color="auto"/>
        <w:bottom w:val="none" w:sz="0" w:space="0" w:color="auto"/>
        <w:right w:val="none" w:sz="0" w:space="0" w:color="auto"/>
      </w:divBdr>
    </w:div>
    <w:div w:id="1033070092">
      <w:bodyDiv w:val="1"/>
      <w:marLeft w:val="0"/>
      <w:marRight w:val="0"/>
      <w:marTop w:val="0"/>
      <w:marBottom w:val="0"/>
      <w:divBdr>
        <w:top w:val="none" w:sz="0" w:space="0" w:color="auto"/>
        <w:left w:val="none" w:sz="0" w:space="0" w:color="auto"/>
        <w:bottom w:val="none" w:sz="0" w:space="0" w:color="auto"/>
        <w:right w:val="none" w:sz="0" w:space="0" w:color="auto"/>
      </w:divBdr>
    </w:div>
    <w:div w:id="1253857896">
      <w:bodyDiv w:val="1"/>
      <w:marLeft w:val="0"/>
      <w:marRight w:val="0"/>
      <w:marTop w:val="0"/>
      <w:marBottom w:val="0"/>
      <w:divBdr>
        <w:top w:val="none" w:sz="0" w:space="0" w:color="auto"/>
        <w:left w:val="none" w:sz="0" w:space="0" w:color="auto"/>
        <w:bottom w:val="none" w:sz="0" w:space="0" w:color="auto"/>
        <w:right w:val="none" w:sz="0" w:space="0" w:color="auto"/>
      </w:divBdr>
    </w:div>
    <w:div w:id="16781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1880F-84D4-45E1-A34B-2410E5DD7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8</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337</cp:revision>
  <cp:lastPrinted>2010-05-03T21:03:00Z</cp:lastPrinted>
  <dcterms:created xsi:type="dcterms:W3CDTF">2010-05-03T14:32:00Z</dcterms:created>
  <dcterms:modified xsi:type="dcterms:W3CDTF">2010-05-05T14:40:00Z</dcterms:modified>
</cp:coreProperties>
</file>