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108"/>
        <w:tblBorders>
          <w:bottom w:color="999999" w:space="0" w:sz="4" w:val="single"/>
        </w:tblBorders>
      </w:tblPr>
      <w:tblGrid>
        <w:gridCol w:w="4484"/>
        <w:gridCol w:w="1500"/>
      </w:tblGrid>
      <w:tr>
        <w:trPr>
          <w:trHeight w:hRule="atLeast" w:val="585"/>
          <w:cantSplit w:val="true"/>
        </w:trPr>
        <w:tc>
          <w:tcPr>
            <w:tcW w:type="dxa" w:w="4484"/>
            <w:gridSpan w:val="2"/>
            <w:tcBorders>
              <w:bottom w:color="999999" w:space="0" w:sz="4" w:val="single"/>
            </w:tcBorders>
            <w:shd w:fill="auto" w:val="clear"/>
            <w:tcMar>
              <w:top w:type="dxa" w:w="0"/>
              <w:left w:type="dxa" w:w="108"/>
              <w:bottom w:type="dxa" w:w="0"/>
              <w:right w:type="dxa" w:w="108"/>
            </w:tcMar>
          </w:tcPr>
          <w:p>
            <w:pPr>
              <w:pStyle w:val="style0"/>
            </w:pPr>
            <w:r>
              <w:rPr>
                <w:sz w:val="24"/>
                <w:szCs w:val="24"/>
              </w:rPr>
              <w:t>Jason M Larkin</w:t>
            </w:r>
          </w:p>
          <w:p>
            <w:pPr>
              <w:pStyle w:val="style0"/>
            </w:pPr>
            <w:r>
              <w:rPr/>
              <w:t xml:space="preserve">jmlarkin@andrew.cmu.edu </w:t>
            </w:r>
          </w:p>
        </w:tc>
        <w:tc>
          <w:tcPr>
            <w:tcW w:type="dxa" w:w="1500"/>
            <w:gridSpan w:val="2"/>
            <w:tcBorders>
              <w:bottom w:color="999999" w:space="0" w:sz="4" w:val="single"/>
            </w:tcBorders>
            <w:shd w:fill="auto" w:val="clear"/>
            <w:tcMar>
              <w:top w:type="dxa" w:w="0"/>
              <w:left w:type="dxa" w:w="108"/>
              <w:bottom w:type="dxa" w:w="0"/>
              <w:right w:type="dxa" w:w="108"/>
            </w:tcMar>
          </w:tcPr>
          <w:p>
            <w:pPr>
              <w:pStyle w:val="style0"/>
              <w:jc w:val="right"/>
            </w:pPr>
            <w:r>
              <w:rPr/>
              <w:t>412-398-8813</w:t>
            </w:r>
          </w:p>
          <w:p>
            <w:pPr>
              <w:pStyle w:val="style29"/>
              <w:spacing w:after="160" w:before="0"/>
              <w:jc w:val="right"/>
            </w:pPr>
            <w:r>
              <w:rPr/>
              <w:t>4763 Sherwood Dr, Pittsburgh, PA 15236</w:t>
            </w:r>
          </w:p>
        </w:tc>
      </w:tr>
      <w:tr>
        <w:trPr>
          <w:trHeight w:hRule="atLeast" w:val="149"/>
          <w:cantSplit w:val="false"/>
        </w:trPr>
        <w:tc>
          <w:tcPr>
            <w:tcW w:type="dxa" w:w="2992"/>
            <w:gridSpan w:val="4"/>
            <w:tcBorders>
              <w:top w:color="999999" w:space="0" w:sz="4" w:val="single"/>
              <w:bottom w:color="999999" w:space="0" w:sz="4" w:val="single"/>
            </w:tcBorders>
            <w:shd w:fill="auto" w:val="clear"/>
            <w:tcMar>
              <w:top w:type="dxa" w:w="0"/>
              <w:left w:type="dxa" w:w="108"/>
              <w:bottom w:type="dxa" w:w="0"/>
              <w:right w:type="dxa" w:w="108"/>
            </w:tcMar>
          </w:tcPr>
          <w:p>
            <w:pPr>
              <w:pStyle w:val="style1"/>
              <w:spacing w:after="60" w:before="80"/>
            </w:pPr>
            <w:r>
              <w:rPr/>
              <w:t>Education</w:t>
            </w:r>
          </w:p>
        </w:tc>
      </w:tr>
      <w:tr>
        <w:trPr>
          <w:trHeight w:hRule="atLeast" w:val="68"/>
          <w:cantSplit w:val="false"/>
        </w:trPr>
        <w:tc>
          <w:tcPr>
            <w:tcW w:type="dxa" w:w="237"/>
            <w:vMerge w:val="restart"/>
            <w:tcBorders/>
            <w:shd w:fill="FFFFFF" w:val="clear"/>
            <w:tcMar>
              <w:top w:type="dxa" w:w="0"/>
              <w:left w:type="dxa" w:w="108"/>
              <w:bottom w:type="dxa" w:w="0"/>
              <w:right w:type="dxa" w:w="108"/>
            </w:tcMar>
          </w:tcPr>
          <w:p>
            <w:pPr>
              <w:pStyle w:val="style0"/>
            </w:pPr>
            <w:r>
              <w:rPr/>
            </w:r>
          </w:p>
        </w:tc>
        <w:tc>
          <w:tcPr>
            <w:tcW w:type="dxa" w:w="5747"/>
            <w:gridSpan w:val="3"/>
            <w:tcBorders>
              <w:top w:color="999999" w:space="0" w:sz="4" w:val="single"/>
            </w:tcBorders>
            <w:shd w:fill="auto" w:val="clear"/>
            <w:tcMar>
              <w:top w:type="dxa" w:w="0"/>
              <w:left w:type="dxa" w:w="108"/>
              <w:bottom w:type="dxa" w:w="0"/>
              <w:right w:type="dxa" w:w="108"/>
            </w:tcMar>
          </w:tcPr>
          <w:p>
            <w:pPr>
              <w:pStyle w:val="style2"/>
              <w:numPr>
                <w:ilvl w:val="1"/>
                <w:numId w:val="1"/>
              </w:numPr>
              <w:spacing w:after="0" w:before="60"/>
            </w:pPr>
            <w:r>
              <w:rPr/>
              <w:t>Carnegie Mellon University, Pittsburgh, PA</w:t>
            </w:r>
          </w:p>
          <w:p>
            <w:pPr>
              <w:pStyle w:val="style0"/>
            </w:pPr>
            <w:r>
              <w:rPr>
                <w:b/>
              </w:rPr>
              <w:t xml:space="preserve">Ph.D. Mechanical Engineering </w:t>
            </w:r>
            <w:r>
              <w:rPr/>
              <w:t xml:space="preserve">GPA: 3.9                                                     </w:t>
            </w:r>
            <w:r>
              <w:rPr>
                <w:b/>
              </w:rPr>
              <w:t xml:space="preserve">       2009-2013       </w:t>
            </w:r>
          </w:p>
          <w:p>
            <w:pPr>
              <w:pStyle w:val="style0"/>
            </w:pPr>
            <w:r>
              <w:rPr>
                <w:b/>
              </w:rPr>
              <w:t xml:space="preserve">  </w:t>
            </w:r>
            <w:r>
              <w:rPr>
                <w:b/>
              </w:rPr>
              <w:t>-Research:</w:t>
            </w:r>
            <w:r>
              <w:rPr/>
              <w:t xml:space="preserve"> Thermal Modeling of Disordered Materials </w:t>
            </w:r>
          </w:p>
          <w:p>
            <w:pPr>
              <w:pStyle w:val="style0"/>
            </w:pPr>
            <w:r>
              <w:rPr/>
              <w:t xml:space="preserve">  </w:t>
            </w:r>
            <w:r>
              <w:rPr/>
              <w:t>-</w:t>
            </w:r>
            <w:r>
              <w:rPr>
                <w:b/>
              </w:rPr>
              <w:t>Advisor:</w:t>
            </w:r>
            <w:r>
              <w:rPr/>
              <w:t xml:space="preserve"> Alan J.H. McGaughey</w:t>
            </w:r>
          </w:p>
          <w:p>
            <w:pPr>
              <w:pStyle w:val="style0"/>
            </w:pPr>
            <w:r>
              <w:rPr>
                <w:b/>
              </w:rPr>
              <w:t xml:space="preserve">  </w:t>
            </w:r>
            <w:r>
              <w:rPr>
                <w:b/>
              </w:rPr>
              <w:t>-Coursework:</w:t>
            </w:r>
            <w:r>
              <w:rPr/>
              <w:t xml:space="preserve"> Molecular and Electron Structure Simulation, Nanoscale Transport Phenomena</w:t>
            </w:r>
          </w:p>
          <w:p>
            <w:pPr>
              <w:pStyle w:val="style2"/>
              <w:numPr>
                <w:ilvl w:val="1"/>
                <w:numId w:val="1"/>
              </w:numPr>
            </w:pPr>
            <w:r>
              <w:rPr/>
              <w:t>University of Pittsburgh, Pittsburgh, PA</w:t>
            </w:r>
          </w:p>
        </w:tc>
      </w:tr>
      <w:tr>
        <w:trPr>
          <w:trHeight w:hRule="atLeast" w:val="78"/>
          <w:cantSplit w:val="false"/>
        </w:trPr>
        <w:tc>
          <w:tcPr>
            <w:tcW w:type="dxa" w:w="237"/>
            <w:vMerge w:val="continue"/>
            <w:tcBorders/>
            <w:shd w:fill="auto" w:val="clear"/>
            <w:tcMar>
              <w:top w:type="dxa" w:w="0"/>
              <w:left w:type="dxa" w:w="108"/>
              <w:bottom w:type="dxa" w:w="0"/>
              <w:right w:type="dxa" w:w="108"/>
            </w:tcMar>
          </w:tcPr>
          <w:p>
            <w:pPr>
              <w:pStyle w:val="style1"/>
              <w:spacing w:after="60" w:before="80"/>
            </w:pPr>
            <w:r>
              <w:rPr/>
            </w:r>
          </w:p>
        </w:tc>
        <w:tc>
          <w:tcPr>
            <w:tcW w:type="dxa" w:w="6837"/>
            <w:gridSpan w:val="2"/>
            <w:tcBorders/>
            <w:shd w:fill="auto" w:val="clear"/>
            <w:tcMar>
              <w:top w:type="dxa" w:w="0"/>
              <w:left w:type="dxa" w:w="108"/>
              <w:bottom w:type="dxa" w:w="0"/>
              <w:right w:type="dxa" w:w="108"/>
            </w:tcMar>
          </w:tcPr>
          <w:p>
            <w:pPr>
              <w:pStyle w:val="style32"/>
              <w:jc w:val="left"/>
            </w:pPr>
            <w:r>
              <w:rPr>
                <w:sz w:val="16"/>
                <w:szCs w:val="16"/>
              </w:rPr>
              <w:t xml:space="preserve">M.S. Mechanical Engineering </w:t>
            </w:r>
            <w:r>
              <w:rPr>
                <w:b w:val="false"/>
                <w:sz w:val="16"/>
                <w:szCs w:val="16"/>
              </w:rPr>
              <w:t>GPA: 3.7</w:t>
            </w:r>
          </w:p>
        </w:tc>
        <w:tc>
          <w:tcPr>
            <w:tcW w:type="dxa" w:w="1902"/>
            <w:tcBorders/>
            <w:shd w:fill="auto" w:val="clear"/>
            <w:tcMar>
              <w:top w:type="dxa" w:w="0"/>
              <w:left w:type="dxa" w:w="108"/>
              <w:bottom w:type="dxa" w:w="0"/>
              <w:right w:type="dxa" w:w="108"/>
            </w:tcMar>
          </w:tcPr>
          <w:p>
            <w:pPr>
              <w:pStyle w:val="style30"/>
            </w:pPr>
            <w:r>
              <w:rPr/>
              <w:t>2007-2009</w:t>
            </w:r>
          </w:p>
        </w:tc>
      </w:tr>
      <w:tr>
        <w:trPr>
          <w:trHeight w:hRule="atLeast" w:val="403"/>
          <w:cantSplit w:val="false"/>
        </w:trPr>
        <w:tc>
          <w:tcPr>
            <w:tcW w:type="dxa" w:w="237"/>
            <w:vMerge w:val="continue"/>
            <w:tcBorders/>
            <w:shd w:fill="auto" w:val="clear"/>
            <w:tcMar>
              <w:top w:type="dxa" w:w="0"/>
              <w:left w:type="dxa" w:w="108"/>
              <w:bottom w:type="dxa" w:w="0"/>
              <w:right w:type="dxa" w:w="108"/>
            </w:tcMar>
          </w:tcPr>
          <w:p>
            <w:pPr>
              <w:pStyle w:val="style1"/>
              <w:spacing w:after="60" w:before="80"/>
            </w:pPr>
            <w:r>
              <w:rPr/>
            </w:r>
          </w:p>
        </w:tc>
        <w:tc>
          <w:tcPr>
            <w:tcW w:type="dxa" w:w="5747"/>
            <w:gridSpan w:val="3"/>
            <w:tcBorders/>
            <w:shd w:fill="auto" w:val="clear"/>
            <w:tcMar>
              <w:top w:type="dxa" w:w="0"/>
              <w:left w:type="dxa" w:w="108"/>
              <w:bottom w:type="dxa" w:w="0"/>
              <w:right w:type="dxa" w:w="108"/>
            </w:tcMar>
          </w:tcPr>
          <w:p>
            <w:pPr>
              <w:pStyle w:val="style0"/>
            </w:pPr>
            <w:r>
              <w:rPr>
                <w:b/>
              </w:rPr>
              <w:t xml:space="preserve">  </w:t>
            </w:r>
            <w:r>
              <w:rPr>
                <w:b/>
              </w:rPr>
              <w:t>-Thesis:</w:t>
            </w:r>
            <w:r>
              <w:rPr/>
              <w:t xml:space="preserve"> Statistics of Particle Concentrations in Free-Surface Turbulence </w:t>
            </w:r>
          </w:p>
          <w:p>
            <w:pPr>
              <w:pStyle w:val="style0"/>
            </w:pPr>
            <w:r>
              <w:rPr>
                <w:b/>
              </w:rPr>
              <w:t xml:space="preserve">  </w:t>
            </w:r>
            <w:r>
              <w:rPr>
                <w:b/>
              </w:rPr>
              <w:t>-Advisor:</w:t>
            </w:r>
            <w:r>
              <w:rPr/>
              <w:t xml:space="preserve"> Walter I. Goldburg</w:t>
            </w:r>
          </w:p>
          <w:p>
            <w:pPr>
              <w:pStyle w:val="style0"/>
            </w:pPr>
            <w:r>
              <w:rPr>
                <w:b/>
              </w:rPr>
              <w:t xml:space="preserve">  </w:t>
            </w:r>
            <w:r>
              <w:rPr>
                <w:b/>
              </w:rPr>
              <w:t>-Coursework:</w:t>
            </w:r>
            <w:r>
              <w:rPr/>
              <w:t xml:space="preserve"> Quantum and Statistical Physics, Chaos and Nonlinear Phenomena</w:t>
            </w:r>
          </w:p>
        </w:tc>
      </w:tr>
      <w:tr>
        <w:trPr>
          <w:trHeight w:hRule="atLeast" w:val="148"/>
          <w:cantSplit w:val="false"/>
        </w:trPr>
        <w:tc>
          <w:tcPr>
            <w:tcW w:type="dxa" w:w="237"/>
            <w:vMerge w:val="continue"/>
            <w:tcBorders/>
            <w:shd w:fill="auto" w:val="clear"/>
            <w:tcMar>
              <w:top w:type="dxa" w:w="0"/>
              <w:left w:type="dxa" w:w="108"/>
              <w:bottom w:type="dxa" w:w="0"/>
              <w:right w:type="dxa" w:w="108"/>
            </w:tcMar>
          </w:tcPr>
          <w:p>
            <w:pPr>
              <w:pStyle w:val="style1"/>
              <w:spacing w:after="60" w:before="80"/>
            </w:pPr>
            <w:r>
              <w:rPr/>
            </w:r>
          </w:p>
        </w:tc>
        <w:tc>
          <w:tcPr>
            <w:tcW w:type="dxa" w:w="5747"/>
            <w:gridSpan w:val="3"/>
            <w:tcBorders/>
            <w:shd w:fill="auto" w:val="clear"/>
            <w:tcMar>
              <w:top w:type="dxa" w:w="0"/>
              <w:left w:type="dxa" w:w="108"/>
              <w:bottom w:type="dxa" w:w="0"/>
              <w:right w:type="dxa" w:w="108"/>
            </w:tcMar>
          </w:tcPr>
          <w:p>
            <w:pPr>
              <w:pStyle w:val="style3"/>
              <w:numPr>
                <w:ilvl w:val="2"/>
                <w:numId w:val="1"/>
              </w:numPr>
            </w:pPr>
            <w:r>
              <w:rPr>
                <w:b/>
                <w:i w:val="false"/>
              </w:rPr>
              <w:t>B.S. Mechanical Engineering</w:t>
            </w:r>
            <w:r>
              <w:rPr>
                <w:b/>
              </w:rPr>
              <w:t xml:space="preserve"> </w:t>
            </w:r>
            <w:r>
              <w:rPr>
                <w:i w:val="false"/>
              </w:rPr>
              <w:t xml:space="preserve">GPA: 3.2          </w:t>
            </w:r>
            <w:r>
              <w:rPr>
                <w:b/>
                <w:i w:val="false"/>
              </w:rPr>
              <w:t xml:space="preserve">                                                 2003-2007</w:t>
            </w:r>
          </w:p>
        </w:tc>
      </w:tr>
      <w:tr>
        <w:trPr>
          <w:trHeight w:hRule="atLeast" w:val="78"/>
          <w:cantSplit w:val="false"/>
        </w:trPr>
        <w:tc>
          <w:tcPr>
            <w:tcW w:type="dxa" w:w="237"/>
            <w:vMerge w:val="continue"/>
            <w:tcBorders/>
            <w:shd w:fill="auto" w:val="clear"/>
            <w:tcMar>
              <w:top w:type="dxa" w:w="0"/>
              <w:left w:type="dxa" w:w="108"/>
              <w:bottom w:type="dxa" w:w="0"/>
              <w:right w:type="dxa" w:w="108"/>
            </w:tcMar>
          </w:tcPr>
          <w:p>
            <w:pPr>
              <w:pStyle w:val="style1"/>
              <w:spacing w:after="60" w:before="80"/>
            </w:pPr>
            <w:r>
              <w:rPr/>
            </w:r>
          </w:p>
        </w:tc>
        <w:tc>
          <w:tcPr>
            <w:tcW w:type="dxa" w:w="5747"/>
            <w:gridSpan w:val="3"/>
            <w:tcBorders/>
            <w:shd w:fill="auto" w:val="clear"/>
            <w:tcMar>
              <w:top w:type="dxa" w:w="0"/>
              <w:left w:type="dxa" w:w="108"/>
              <w:bottom w:type="dxa" w:w="0"/>
              <w:right w:type="dxa" w:w="108"/>
            </w:tcMar>
          </w:tcPr>
          <w:p>
            <w:pPr>
              <w:pStyle w:val="style32"/>
              <w:jc w:val="left"/>
            </w:pPr>
            <w:r>
              <w:rPr>
                <w:sz w:val="16"/>
                <w:szCs w:val="16"/>
              </w:rPr>
              <w:t xml:space="preserve">  </w:t>
            </w:r>
            <w:r>
              <w:rPr>
                <w:sz w:val="16"/>
                <w:szCs w:val="16"/>
              </w:rPr>
              <w:t>-Research:</w:t>
            </w:r>
            <w:r>
              <w:rPr>
                <w:b w:val="false"/>
                <w:sz w:val="16"/>
                <w:szCs w:val="16"/>
              </w:rPr>
              <w:t xml:space="preserve"> FEA modeling of novel flow chamber to study development of aneurysms. </w:t>
            </w:r>
          </w:p>
        </w:tc>
      </w:tr>
      <w:tr>
        <w:trPr>
          <w:trHeight w:hRule="atLeast" w:val="170"/>
          <w:cantSplit w:val="false"/>
        </w:trPr>
        <w:tc>
          <w:tcPr>
            <w:tcW w:type="dxa" w:w="2992"/>
            <w:gridSpan w:val="4"/>
            <w:tcBorders>
              <w:top w:color="999999" w:space="0" w:sz="4" w:val="single"/>
              <w:bottom w:color="999999" w:space="0" w:sz="4" w:val="single"/>
            </w:tcBorders>
            <w:shd w:fill="auto" w:val="clear"/>
            <w:tcMar>
              <w:top w:type="dxa" w:w="0"/>
              <w:left w:type="dxa" w:w="108"/>
              <w:bottom w:type="dxa" w:w="0"/>
              <w:right w:type="dxa" w:w="108"/>
            </w:tcMar>
          </w:tcPr>
          <w:p>
            <w:pPr>
              <w:pStyle w:val="style1"/>
              <w:spacing w:after="60" w:before="80"/>
            </w:pPr>
            <w:r>
              <w:rPr/>
              <w:t>AWARDS</w:t>
            </w:r>
          </w:p>
        </w:tc>
      </w:tr>
      <w:tr>
        <w:trPr>
          <w:trHeight w:hRule="atLeast" w:val="249"/>
          <w:cantSplit w:val="false"/>
        </w:trPr>
        <w:tc>
          <w:tcPr>
            <w:tcW w:type="dxa" w:w="237"/>
            <w:tcBorders>
              <w:top w:color="999999" w:space="0" w:sz="4" w:val="single"/>
            </w:tcBorders>
            <w:shd w:fill="auto" w:val="clear"/>
            <w:tcMar>
              <w:top w:type="dxa" w:w="0"/>
              <w:left w:type="dxa" w:w="108"/>
              <w:bottom w:type="dxa" w:w="0"/>
              <w:right w:type="dxa" w:w="108"/>
            </w:tcMar>
          </w:tcPr>
          <w:p>
            <w:pPr>
              <w:pStyle w:val="style0"/>
            </w:pPr>
            <w:r>
              <w:rPr/>
            </w:r>
          </w:p>
        </w:tc>
        <w:tc>
          <w:tcPr>
            <w:tcW w:type="dxa" w:w="5747"/>
            <w:gridSpan w:val="3"/>
            <w:tcBorders>
              <w:top w:color="999999" w:space="0" w:sz="4" w:val="single"/>
            </w:tcBorders>
            <w:shd w:fill="auto" w:val="clear"/>
            <w:tcMar>
              <w:top w:type="dxa" w:w="0"/>
              <w:left w:type="dxa" w:w="108"/>
              <w:bottom w:type="dxa" w:w="0"/>
              <w:right w:type="dxa" w:w="108"/>
            </w:tcMar>
          </w:tcPr>
          <w:p>
            <w:pPr>
              <w:pStyle w:val="style31"/>
              <w:spacing w:after="0" w:before="60" w:line="100" w:lineRule="atLeast"/>
            </w:pPr>
            <w:r>
              <w:rPr/>
              <w:t xml:space="preserve">Northrop-Grumann Fellow, Carnegie Institute for Complex Engineered Systems (ICES)      </w:t>
            </w:r>
            <w:r>
              <w:rPr>
                <w:b/>
              </w:rPr>
              <w:t>2011</w:t>
            </w:r>
          </w:p>
          <w:p>
            <w:pPr>
              <w:pStyle w:val="style31"/>
              <w:spacing w:line="100" w:lineRule="atLeast"/>
            </w:pPr>
            <w:r>
              <w:rPr/>
              <w:t xml:space="preserve">NSF Graduate Student Research Grant, University of Pittsburgh Dept. of Physics     </w:t>
            </w:r>
            <w:r>
              <w:rPr>
                <w:b/>
              </w:rPr>
              <w:t>2007-2009</w:t>
            </w:r>
          </w:p>
        </w:tc>
      </w:tr>
      <w:tr>
        <w:trPr>
          <w:trHeight w:hRule="atLeast" w:val="249"/>
          <w:cantSplit w:val="false"/>
        </w:trPr>
        <w:tc>
          <w:tcPr>
            <w:tcW w:type="dxa" w:w="2992"/>
            <w:gridSpan w:val="4"/>
            <w:tcBorders>
              <w:top w:color="999999" w:space="0" w:sz="4" w:val="single"/>
              <w:bottom w:color="999999" w:space="0" w:sz="4" w:val="single"/>
            </w:tcBorders>
            <w:shd w:fill="auto" w:val="clear"/>
            <w:tcMar>
              <w:top w:type="dxa" w:w="0"/>
              <w:left w:type="dxa" w:w="108"/>
              <w:bottom w:type="dxa" w:w="0"/>
              <w:right w:type="dxa" w:w="108"/>
            </w:tcMar>
          </w:tcPr>
          <w:p>
            <w:pPr>
              <w:pStyle w:val="style1"/>
              <w:spacing w:after="60" w:before="80"/>
            </w:pPr>
            <w:r>
              <w:rPr/>
              <w:t>Teaching Experience</w:t>
            </w:r>
          </w:p>
        </w:tc>
      </w:tr>
      <w:tr>
        <w:trPr>
          <w:trHeight w:hRule="atLeast" w:val="141"/>
          <w:cantSplit w:val="false"/>
        </w:trPr>
        <w:tc>
          <w:tcPr>
            <w:tcW w:type="dxa" w:w="237"/>
            <w:tcBorders>
              <w:top w:color="999999" w:space="0" w:sz="4" w:val="single"/>
            </w:tcBorders>
            <w:shd w:fill="auto" w:val="clear"/>
            <w:tcMar>
              <w:top w:type="dxa" w:w="0"/>
              <w:left w:type="dxa" w:w="108"/>
              <w:bottom w:type="dxa" w:w="0"/>
              <w:right w:type="dxa" w:w="108"/>
            </w:tcMar>
          </w:tcPr>
          <w:p>
            <w:pPr>
              <w:pStyle w:val="style0"/>
            </w:pPr>
            <w:r>
              <w:rPr/>
            </w:r>
          </w:p>
        </w:tc>
        <w:tc>
          <w:tcPr>
            <w:tcW w:type="dxa" w:w="5747"/>
            <w:gridSpan w:val="3"/>
            <w:tcBorders/>
            <w:shd w:fill="auto" w:val="clear"/>
            <w:tcMar>
              <w:top w:type="dxa" w:w="0"/>
              <w:left w:type="dxa" w:w="108"/>
              <w:bottom w:type="dxa" w:w="0"/>
              <w:right w:type="dxa" w:w="108"/>
            </w:tcMar>
          </w:tcPr>
          <w:p>
            <w:pPr>
              <w:pStyle w:val="style23"/>
              <w:spacing w:after="0" w:before="0" w:line="100" w:lineRule="atLeast"/>
            </w:pPr>
            <w:r>
              <w:rPr>
                <w:i/>
              </w:rPr>
              <w:t>Carnegie Mellon University</w:t>
            </w:r>
            <w:r>
              <w:rPr>
                <w:b/>
              </w:rPr>
              <w:t xml:space="preserve">                                                                                                    </w:t>
            </w:r>
            <w:r>
              <w:rPr>
                <w:b/>
                <w:u w:val="single"/>
              </w:rPr>
              <w:t>Teaching Assistant</w:t>
            </w:r>
            <w:r>
              <w:rPr>
                <w:b/>
              </w:rPr>
              <w:t xml:space="preserve"> – </w:t>
            </w:r>
            <w:r>
              <w:rPr/>
              <w:t xml:space="preserve">24-322: Heat Transfer       </w:t>
            </w:r>
            <w:r>
              <w:rPr>
                <w:b/>
              </w:rPr>
              <w:t xml:space="preserve">                           2010-2011, 2011-2012</w:t>
            </w:r>
            <w:r>
              <w:rPr/>
              <w:t xml:space="preserve"> Topics in conduction, convection, radiation and heat exchangers. Supervised recitation sessions and substituted for several lectures.                                                                                   </w:t>
            </w:r>
            <w:r>
              <w:rPr>
                <w:i/>
              </w:rPr>
              <w:t xml:space="preserve"> </w:t>
            </w:r>
          </w:p>
          <w:p>
            <w:pPr>
              <w:pStyle w:val="style23"/>
              <w:spacing w:after="0" w:before="0" w:line="100" w:lineRule="atLeast"/>
            </w:pPr>
            <w:r>
              <w:rPr>
                <w:i/>
              </w:rPr>
              <w:t xml:space="preserve">University of Pittsburgh                                                                                                    </w:t>
            </w:r>
            <w:r>
              <w:rPr>
                <w:rStyle w:val="style17"/>
                <w:u w:val="single"/>
              </w:rPr>
              <w:t>Teaching Assistant</w:t>
            </w:r>
            <w:r>
              <w:rPr/>
              <w:t xml:space="preserve"> </w:t>
            </w:r>
            <w:r>
              <w:rPr>
                <w:b/>
              </w:rPr>
              <w:t>–</w:t>
            </w:r>
            <w:r>
              <w:rPr/>
              <w:t xml:space="preserve"> Advanced Fluid Mechanics                                                           </w:t>
            </w:r>
            <w:r>
              <w:rPr>
                <w:b/>
              </w:rPr>
              <w:t>2008</w:t>
            </w:r>
            <w:r>
              <w:rPr/>
              <w:t xml:space="preserve"> Topics in Fluid Mechanics including viscous flow, boundary layer theory, and scale similarity.</w:t>
            </w:r>
            <w:r>
              <w:rPr>
                <w:rStyle w:val="style17"/>
              </w:rPr>
              <w:t xml:space="preserve"> </w:t>
            </w:r>
          </w:p>
          <w:p>
            <w:pPr>
              <w:pStyle w:val="style23"/>
              <w:spacing w:after="0" w:before="0" w:line="100" w:lineRule="atLeast"/>
            </w:pPr>
            <w:r>
              <w:rPr>
                <w:rStyle w:val="style17"/>
                <w:u w:val="single"/>
              </w:rPr>
              <w:t>Lecturer</w:t>
            </w:r>
            <w:r>
              <w:rPr>
                <w:rStyle w:val="style17"/>
              </w:rPr>
              <w:t xml:space="preserve"> </w:t>
            </w:r>
            <w:r>
              <w:rPr>
                <w:b/>
                <w:bCs/>
              </w:rPr>
              <w:t>–</w:t>
            </w:r>
            <w:r>
              <w:rPr/>
              <w:t xml:space="preserve"> Physics                                                                                              </w:t>
            </w:r>
            <w:r>
              <w:rPr>
                <w:b/>
              </w:rPr>
              <w:t>2007-2009</w:t>
            </w:r>
            <w:r>
              <w:rPr/>
              <w:t xml:space="preserve"> Administered lectures to undergraduate students, graduate students, and faculty on topics ranging from Mathematics, Turbulence, Bio-Physics, Statistical Physics, and Nonlinear  Phenomena.                                                                                                                           </w:t>
            </w:r>
          </w:p>
        </w:tc>
      </w:tr>
      <w:tr>
        <w:trPr>
          <w:trHeight w:hRule="atLeast" w:val="251"/>
          <w:cantSplit w:val="false"/>
        </w:trPr>
        <w:tc>
          <w:tcPr>
            <w:tcW w:type="dxa" w:w="2992"/>
            <w:gridSpan w:val="4"/>
            <w:tcBorders>
              <w:top w:color="999999" w:space="0" w:sz="4" w:val="single"/>
              <w:bottom w:color="999999" w:space="0" w:sz="4" w:val="single"/>
            </w:tcBorders>
            <w:shd w:fill="auto" w:val="clear"/>
            <w:tcMar>
              <w:top w:type="dxa" w:w="0"/>
              <w:left w:type="dxa" w:w="108"/>
              <w:bottom w:type="dxa" w:w="0"/>
              <w:right w:type="dxa" w:w="108"/>
            </w:tcMar>
          </w:tcPr>
          <w:p>
            <w:pPr>
              <w:pStyle w:val="style1"/>
              <w:spacing w:after="60" w:before="80"/>
            </w:pPr>
            <w:r>
              <w:rPr/>
              <w:t>PublicationS</w:t>
            </w:r>
          </w:p>
        </w:tc>
      </w:tr>
      <w:tr>
        <w:trPr>
          <w:trHeight w:hRule="atLeast" w:val="249"/>
          <w:cantSplit w:val="false"/>
        </w:trPr>
        <w:tc>
          <w:tcPr>
            <w:tcW w:type="dxa" w:w="237"/>
            <w:tcBorders>
              <w:top w:color="999999" w:space="0" w:sz="4" w:val="single"/>
              <w:bottom w:color="999999" w:space="0" w:sz="4" w:val="single"/>
            </w:tcBorders>
            <w:shd w:fill="auto" w:val="clear"/>
            <w:tcMar>
              <w:top w:type="dxa" w:w="0"/>
              <w:left w:type="dxa" w:w="108"/>
              <w:bottom w:type="dxa" w:w="0"/>
              <w:right w:type="dxa" w:w="108"/>
            </w:tcMar>
          </w:tcPr>
          <w:p>
            <w:pPr>
              <w:pStyle w:val="style1"/>
              <w:spacing w:after="60" w:before="80"/>
            </w:pPr>
            <w:r>
              <w:rPr/>
            </w:r>
          </w:p>
        </w:tc>
        <w:tc>
          <w:tcPr>
            <w:tcW w:type="dxa" w:w="5747"/>
            <w:gridSpan w:val="3"/>
            <w:tcBorders>
              <w:top w:color="999999" w:space="0" w:sz="4" w:val="single"/>
              <w:bottom w:color="999999" w:space="0" w:sz="4" w:val="single"/>
            </w:tcBorders>
            <w:shd w:fill="auto" w:val="clear"/>
            <w:tcMar>
              <w:top w:type="dxa" w:w="0"/>
              <w:left w:type="dxa" w:w="108"/>
              <w:bottom w:type="dxa" w:w="0"/>
              <w:right w:type="dxa" w:w="108"/>
            </w:tcMar>
          </w:tcPr>
          <w:p>
            <w:pPr>
              <w:pStyle w:val="style31"/>
              <w:spacing w:after="0" w:before="60"/>
            </w:pPr>
            <w:r>
              <w:rPr/>
              <w:t>A.J.H. McGaughey and J.M. Larkin, “Predicting Phonon Properties from Equilibrium Molecular Dynamics Simulations”, Advances in Heat Transfer Volume 40 (Academic Press, 2013).</w:t>
            </w:r>
          </w:p>
          <w:p>
            <w:pPr>
              <w:pStyle w:val="style31"/>
            </w:pPr>
            <w:r>
              <w:rPr/>
              <w:t xml:space="preserve">S.C. Huberman, J.M. Larkin, A.J.H. McGaughey, C.H. Amon, “Mean Free Paths of Phonons in Superlattices from Normal Mode Decomposition”, </w:t>
            </w:r>
            <w:r>
              <w:rPr>
                <w:i/>
              </w:rPr>
              <w:t>Phys. Rev. B</w:t>
            </w:r>
            <w:r>
              <w:rPr/>
              <w:t xml:space="preserve"> (draft in progress).</w:t>
            </w:r>
          </w:p>
          <w:p>
            <w:pPr>
              <w:pStyle w:val="style31"/>
            </w:pPr>
            <w:r>
              <w:rPr/>
              <w:t xml:space="preserve">J.M. Larkin, A.J.H. McGaughey, “Predicting Vibrational Mean Free Paths in Disordered Systems”, </w:t>
            </w:r>
            <w:r>
              <w:rPr>
                <w:i/>
              </w:rPr>
              <w:t>Phys. Rev. B</w:t>
            </w:r>
            <w:r>
              <w:rPr/>
              <w:t xml:space="preserve"> (draft in progress).</w:t>
            </w:r>
          </w:p>
          <w:p>
            <w:pPr>
              <w:pStyle w:val="style31"/>
            </w:pPr>
            <w:r>
              <w:rPr/>
              <w:t xml:space="preserve">J.M. Larkin, A.J.H. McGaughey, “Evaluation of the Virtual Crystal Approximation for Predicting Thermal Conductivity”, </w:t>
            </w:r>
            <w:r>
              <w:rPr>
                <w:i/>
              </w:rPr>
              <w:t>Phys. Rev. B</w:t>
            </w:r>
            <w:r>
              <w:rPr/>
              <w:t xml:space="preserve"> (draft submitted).</w:t>
            </w:r>
          </w:p>
          <w:p>
            <w:pPr>
              <w:pStyle w:val="style31"/>
            </w:pPr>
            <w:r>
              <w:rPr/>
              <w:t>J. M. Larkin, A.D. Massicotte, J.E. Turney, C.H. Amon, A.J.H. McGaughey, “Comparison and Evaluation of Spectral Energy Methods for Predicting Phonon Properties”, to appear in Journal of Computational and Theoretical Nanoscience.</w:t>
            </w:r>
          </w:p>
          <w:p>
            <w:pPr>
              <w:pStyle w:val="style31"/>
            </w:pPr>
            <w:r>
              <w:rPr/>
              <w:t xml:space="preserve">S. Stefanus, J. Larkin, W. Goldburg, “A Search for Conformal Invariance in Compressible Two Dimensional Turbulence”, </w:t>
            </w:r>
            <w:r>
              <w:rPr>
                <w:i/>
              </w:rPr>
              <w:t>Phys. Fluids</w:t>
            </w:r>
            <w:r>
              <w:rPr/>
              <w:t xml:space="preserve"> </w:t>
            </w:r>
            <w:r>
              <w:rPr>
                <w:b/>
              </w:rPr>
              <w:t>23</w:t>
            </w:r>
            <w:r>
              <w:rPr/>
              <w:t xml:space="preserve"> (2011) 105101 (appeared on cover).</w:t>
            </w:r>
          </w:p>
          <w:p>
            <w:pPr>
              <w:pStyle w:val="style31"/>
            </w:pPr>
            <w:r>
              <w:rPr/>
              <w:t xml:space="preserve">J. </w:t>
            </w:r>
            <w:r>
              <w:rPr>
                <w:rFonts w:cs="Tahoma"/>
              </w:rPr>
              <w:t>Larkin, W. Goldburg, M.M. Bandi, “</w:t>
            </w:r>
            <w:r>
              <w:rPr>
                <w:rFonts w:cs="Tahoma"/>
                <w:color w:val="000033"/>
              </w:rPr>
              <w:t xml:space="preserve">Time-Evolution of a fractal distribution: Particle concentrations in free-surface turbulence”, </w:t>
            </w:r>
            <w:r>
              <w:rPr>
                <w:rFonts w:cs="Tahoma"/>
                <w:i/>
                <w:color w:val="000033"/>
              </w:rPr>
              <w:t>Physica D</w:t>
            </w:r>
            <w:r>
              <w:rPr>
                <w:rFonts w:cs="Tahoma"/>
                <w:color w:val="000033"/>
              </w:rPr>
              <w:t xml:space="preserve"> </w:t>
            </w:r>
            <w:r>
              <w:rPr>
                <w:b/>
              </w:rPr>
              <w:t>239</w:t>
            </w:r>
            <w:r>
              <w:rPr/>
              <w:t xml:space="preserve"> 14 (2010) 1264-1268.</w:t>
            </w:r>
          </w:p>
          <w:p>
            <w:pPr>
              <w:pStyle w:val="style31"/>
            </w:pPr>
            <w:r>
              <w:rPr/>
              <w:t xml:space="preserve">J. Larkin, W. Goldburg, “Decorrelating a Compressible Turbulent Flow: an Experiment”, </w:t>
            </w:r>
            <w:r>
              <w:rPr>
                <w:i/>
              </w:rPr>
              <w:t>Phys. Rev. E</w:t>
            </w:r>
            <w:r>
              <w:rPr/>
              <w:t xml:space="preserve"> </w:t>
            </w:r>
            <w:r>
              <w:rPr>
                <w:b/>
              </w:rPr>
              <w:t>82</w:t>
            </w:r>
            <w:r>
              <w:rPr/>
              <w:t xml:space="preserve">, 016301 (2010). </w:t>
            </w:r>
          </w:p>
          <w:p>
            <w:pPr>
              <w:pStyle w:val="style31"/>
            </w:pPr>
            <w:r>
              <w:rPr/>
              <w:t xml:space="preserve">J. Larkin, M.M. Bandi, A. Pumir, W. Goldburg , “Power-law distributions of particle concentration in free-surface flows”, </w:t>
            </w:r>
            <w:r>
              <w:rPr>
                <w:i/>
              </w:rPr>
              <w:t>Phys. Rev. E</w:t>
            </w:r>
            <w:r>
              <w:rPr/>
              <w:t xml:space="preserve"> </w:t>
            </w:r>
            <w:r>
              <w:rPr>
                <w:b/>
              </w:rPr>
              <w:t>80</w:t>
            </w:r>
            <w:r>
              <w:rPr/>
              <w:t>, 066301 (2009).</w:t>
            </w:r>
          </w:p>
        </w:tc>
      </w:tr>
      <w:tr>
        <w:trPr>
          <w:trHeight w:hRule="atLeast" w:val="249"/>
          <w:cantSplit w:val="false"/>
        </w:trPr>
        <w:tc>
          <w:tcPr>
            <w:tcW w:type="dxa" w:w="2992"/>
            <w:gridSpan w:val="4"/>
            <w:tcBorders>
              <w:top w:color="999999" w:space="0" w:sz="4" w:val="single"/>
              <w:bottom w:color="999999" w:space="0" w:sz="4" w:val="single"/>
            </w:tcBorders>
            <w:shd w:fill="auto" w:val="clear"/>
            <w:tcMar>
              <w:top w:type="dxa" w:w="0"/>
              <w:left w:type="dxa" w:w="108"/>
              <w:bottom w:type="dxa" w:w="0"/>
              <w:right w:type="dxa" w:w="108"/>
            </w:tcMar>
          </w:tcPr>
          <w:p>
            <w:pPr>
              <w:pStyle w:val="style1"/>
              <w:spacing w:after="60" w:before="80"/>
            </w:pPr>
            <w:r>
              <w:rPr/>
              <w:t xml:space="preserve">Presentations </w:t>
            </w:r>
          </w:p>
        </w:tc>
      </w:tr>
      <w:tr>
        <w:trPr>
          <w:trHeight w:hRule="atLeast" w:val="249"/>
          <w:cantSplit w:val="false"/>
        </w:trPr>
        <w:tc>
          <w:tcPr>
            <w:tcW w:type="dxa" w:w="237"/>
            <w:tcBorders>
              <w:top w:color="999999" w:space="0" w:sz="4" w:val="single"/>
              <w:bottom w:color="999999" w:space="0" w:sz="4" w:val="single"/>
            </w:tcBorders>
            <w:shd w:fill="auto" w:val="clear"/>
            <w:tcMar>
              <w:top w:type="dxa" w:w="0"/>
              <w:left w:type="dxa" w:w="108"/>
              <w:bottom w:type="dxa" w:w="0"/>
              <w:right w:type="dxa" w:w="108"/>
            </w:tcMar>
          </w:tcPr>
          <w:p>
            <w:pPr>
              <w:pStyle w:val="style0"/>
            </w:pPr>
            <w:r>
              <w:rPr/>
            </w:r>
          </w:p>
        </w:tc>
        <w:tc>
          <w:tcPr>
            <w:tcW w:type="dxa" w:w="5747"/>
            <w:gridSpan w:val="3"/>
            <w:tcBorders>
              <w:top w:color="999999" w:space="0" w:sz="4" w:val="single"/>
              <w:bottom w:color="999999" w:space="0" w:sz="4" w:val="single"/>
            </w:tcBorders>
            <w:shd w:fill="auto" w:val="clear"/>
            <w:tcMar>
              <w:top w:type="dxa" w:w="0"/>
              <w:left w:type="dxa" w:w="108"/>
              <w:bottom w:type="dxa" w:w="0"/>
              <w:right w:type="dxa" w:w="108"/>
            </w:tcMar>
          </w:tcPr>
          <w:p>
            <w:pPr>
              <w:pStyle w:val="style31"/>
              <w:spacing w:after="0" w:before="60"/>
            </w:pPr>
            <w:r>
              <w:rPr/>
            </w:r>
          </w:p>
          <w:p>
            <w:pPr>
              <w:pStyle w:val="style31"/>
            </w:pPr>
            <w:r>
              <w:rPr/>
              <w:t>“</w:t>
            </w:r>
            <w:r>
              <w:rPr/>
              <w:t xml:space="preserve">Predicting Vibrational Mean Free Paths in Disordered Systems”, J.M. Larkin, A.J.H. McGuaghey, to be presented at 2013 ASME Summer Heat Transfer Conference Minneapolis, MN. </w:t>
            </w:r>
          </w:p>
          <w:p>
            <w:pPr>
              <w:pStyle w:val="style31"/>
            </w:pPr>
            <w:r>
              <w:rPr/>
              <w:t>“</w:t>
            </w:r>
            <w:r>
              <w:rPr/>
              <w:t xml:space="preserve">Effect of Interspecies Mixing on Phonon Mean Free Paths in Superlattices”, S.C. Huberman, J.M. Larkin, A.J.H. McGaughey, C.H. Amon, to be presented at 2013 ASME Summer Heat Transfer Conference Minneapolis, MN. </w:t>
            </w:r>
          </w:p>
          <w:p>
            <w:pPr>
              <w:pStyle w:val="style31"/>
            </w:pPr>
            <w:r>
              <w:rPr/>
              <w:t>“</w:t>
            </w:r>
            <w:r>
              <w:rPr/>
              <w:t>Origin of Thermal Conductivity Changes in Strained Systems”, K. Parrish, J.M. Larkin, A.J.H. McGaughey, to be presented at 2013 ASME Summer Heat Transfer Conference Minneapolis, MN.</w:t>
            </w:r>
          </w:p>
          <w:p>
            <w:pPr>
              <w:pStyle w:val="style31"/>
            </w:pPr>
            <w:r>
              <w:rPr/>
              <w:t>“</w:t>
            </w:r>
            <w:r>
              <w:rPr/>
              <w:t xml:space="preserve">Evaluation of the Virtual Crystal Approximation for Predicting Thermal Conductivity”, J.M. Larkin (speaker), A.J.H. McGaughey, presented at 2013 MRS Spring Meeting San Francisco, CA. </w:t>
            </w:r>
          </w:p>
          <w:p>
            <w:pPr>
              <w:pStyle w:val="style31"/>
            </w:pPr>
            <w:r>
              <w:rPr/>
              <w:t>“</w:t>
            </w:r>
            <w:r>
              <w:rPr/>
              <w:t xml:space="preserve">Ordered and Disordered Contributions to Lattice Thermal Conductivity”, J.M. Larkin (speaker), A.J.H. McGaughey, presented at 2012 PHONONS Conference Ann Arbor, MI.  </w:t>
            </w:r>
          </w:p>
          <w:p>
            <w:pPr>
              <w:pStyle w:val="style31"/>
            </w:pPr>
            <w:r>
              <w:rPr/>
              <w:t>“</w:t>
            </w:r>
            <w:r>
              <w:rPr/>
              <w:t xml:space="preserve">Predicting Phonon Properties of Silicon from First-Principles Calculations”, J.M. Larkin, A.J.H. McGaughey (speaker), W.A. Al-Saidi, </w:t>
            </w:r>
            <w:r>
              <w:rPr>
                <w:i w:val="false"/>
                <w:iCs w:val="false"/>
              </w:rPr>
              <w:t xml:space="preserve">presented at </w:t>
            </w:r>
            <w:r>
              <w:rPr/>
              <w:t>2012 ASME Summer Heat Transfer Conference Puerto Rico, USA.</w:t>
            </w:r>
          </w:p>
          <w:p>
            <w:pPr>
              <w:pStyle w:val="style31"/>
            </w:pPr>
            <w:r>
              <w:rPr/>
              <w:t>“</w:t>
            </w:r>
            <w:r>
              <w:rPr/>
              <w:t xml:space="preserve">Comparison of Spectral Energy Methods for Predicting Phonon Properties”, J.M. Larkin, A.D. Massicotte, J.E. Turney, C.H. Amon, A.J.H. McGaughey (speaker), </w:t>
            </w:r>
            <w:r>
              <w:rPr>
                <w:i w:val="false"/>
                <w:iCs w:val="false"/>
              </w:rPr>
              <w:t>presented at</w:t>
            </w:r>
            <w:r>
              <w:rPr/>
              <w:t xml:space="preserve"> 2012 ASME Micro/Nanoscale Heat &amp; Mass Transfer International Conference Atlanta, GA. </w:t>
            </w:r>
          </w:p>
          <w:p>
            <w:pPr>
              <w:pStyle w:val="style31"/>
            </w:pPr>
            <w:r>
              <w:rPr/>
              <w:t>“</w:t>
            </w:r>
            <w:r>
              <w:rPr/>
              <w:t>Predicting Thermal Conductivity of Defected Systems using the Spectral Energy Density”, J. Larkin (speaker), A.J.H. McGaughey, 2011 MRS Fall Meeting Boston, MA.</w:t>
            </w:r>
          </w:p>
          <w:p>
            <w:pPr>
              <w:pStyle w:val="style31"/>
            </w:pPr>
            <w:r>
              <w:rPr/>
              <w:t>“</w:t>
            </w:r>
            <w:r>
              <w:rPr/>
              <w:t>Predicting Thermal Conductivity of Defected Systems using the Spectral Energy Density”, J. Larkin 2011 Bennett Presentation (Award for Best Presentation).</w:t>
            </w:r>
          </w:p>
          <w:p>
            <w:pPr>
              <w:pStyle w:val="style31"/>
            </w:pPr>
            <w:r>
              <w:rPr/>
              <w:t>“</w:t>
            </w:r>
            <w:r>
              <w:rPr/>
              <w:t>Decorrelating a Compressible Turbulent Flow: An Experiment”, J. Larkin, W. Goldburg (speaker), 2010 American Physical Society March Meeting Portland, OR.</w:t>
            </w:r>
          </w:p>
          <w:p>
            <w:pPr>
              <w:pStyle w:val="style31"/>
            </w:pPr>
            <w:r>
              <w:rPr/>
              <w:t>“</w:t>
            </w:r>
            <w:r>
              <w:rPr/>
              <w:t>Statistics of Preferential Particle Concentration in Free-Surface Turbulence”, J. Larkin (speaker), M.M. Bandi, W. Goldburg, 2009 American Physical Society March Meeting Pittsburgh, PA.</w:t>
            </w:r>
          </w:p>
          <w:p>
            <w:pPr>
              <w:pStyle w:val="style31"/>
            </w:pPr>
            <w:r>
              <w:rPr/>
              <w:t>“</w:t>
            </w:r>
            <w:r>
              <w:rPr/>
              <w:t>Experimental Determination of the von Karman Constant in Turbulent Two Dimensional Soap Film Flows”, Nicholas Guttenberg (speaker), Nigel Goldenfeld, Jason Larkin, Alisia Prescott, Hamid Kellay, Walter Goldburg, 2008 Meeting of the APS Division of Fluid Dynamics San Antonio, TX.</w:t>
            </w:r>
          </w:p>
          <w:p>
            <w:pPr>
              <w:pStyle w:val="style31"/>
            </w:pPr>
            <w:r>
              <w:rPr/>
              <w:t>“</w:t>
            </w:r>
            <w:r>
              <w:rPr/>
              <w:t>Turbulent Dynamics of a Hydraulic Jump in two dimensions: Soap Film Flow” Jason Larkin (speaker), Walter Goldburg, Tuan Tran, Pinaki Chakraborty, Gustavo Goia, 2008 Meeting of the APS Division of Fluid Dynamics San Antonio, TX.</w:t>
            </w:r>
          </w:p>
          <w:p>
            <w:pPr>
              <w:pStyle w:val="style31"/>
            </w:pPr>
            <w:r>
              <w:rPr/>
              <w:t>“</w:t>
            </w:r>
            <w:r>
              <w:rPr/>
              <w:t>The Generalized Fractal Dimensions of a 2-D Compressible Turbulence”, J. Larkin (speaker), M.M. Bandi, W. Goldburg, 2008 American Physical Society March Meeting New Orleans, LA.</w:t>
            </w:r>
          </w:p>
          <w:p>
            <w:pPr>
              <w:pStyle w:val="style31"/>
            </w:pPr>
            <w:r>
              <w:rPr/>
              <w:t>“</w:t>
            </w:r>
            <w:r>
              <w:rPr/>
              <w:t>Design of a Flow Chamber to Explore the Initiation and Development of Cerebral Aneurysms”, J. Larkin, J. P. Barrow, A. M. Robertson, 2007 Biomedical Engineering Society Meeting Undergraduate Presentation Los Angeles, CA</w:t>
            </w:r>
          </w:p>
        </w:tc>
      </w:tr>
      <w:tr>
        <w:trPr>
          <w:trHeight w:hRule="atLeast" w:val="218"/>
          <w:cantSplit w:val="false"/>
        </w:trPr>
        <w:tc>
          <w:tcPr>
            <w:tcW w:type="dxa" w:w="2992"/>
            <w:gridSpan w:val="4"/>
            <w:tcBorders>
              <w:top w:color="999999" w:space="0" w:sz="4" w:val="single"/>
              <w:bottom w:color="999999" w:space="0" w:sz="4" w:val="single"/>
            </w:tcBorders>
            <w:shd w:fill="auto" w:val="clear"/>
            <w:tcMar>
              <w:top w:type="dxa" w:w="0"/>
              <w:left w:type="dxa" w:w="108"/>
              <w:bottom w:type="dxa" w:w="0"/>
              <w:right w:type="dxa" w:w="108"/>
            </w:tcMar>
          </w:tcPr>
          <w:p>
            <w:pPr>
              <w:pStyle w:val="style1"/>
              <w:spacing w:after="60" w:before="80"/>
            </w:pPr>
            <w:r>
              <w:rPr/>
              <w:t>Memberships</w:t>
            </w:r>
          </w:p>
        </w:tc>
      </w:tr>
    </w:tbl>
    <w:p>
      <w:pPr>
        <w:pStyle w:val="style31"/>
      </w:pPr>
      <w:r>
        <w:rPr/>
        <w:t>American Physical Society, American Society of Mechanical Engineers, Materials Research Society, Society of Industrial and Applied Mathematics, Department of Defense High Performance Computing Modernization Program</w:t>
      </w:r>
    </w:p>
    <w:p>
      <w:pPr>
        <w:pStyle w:val="style31"/>
      </w:pPr>
      <w:r>
        <w:rPr/>
        <w:t>Projects</w:t>
      </w:r>
    </w:p>
    <w:p>
      <w:pPr>
        <w:pStyle w:val="style31"/>
      </w:pPr>
      <w:r>
        <w:rPr/>
        <w:t>Open-source Codes</w:t>
      </w:r>
    </w:p>
    <w:p>
      <w:pPr>
        <w:pStyle w:val="style31"/>
      </w:pPr>
      <w:r>
        <w:rPr/>
        <w:t xml:space="preserve">GULP: contributed to </w:t>
      </w:r>
    </w:p>
    <w:p>
      <w:pPr>
        <w:pStyle w:val="style31"/>
      </w:pPr>
      <w:r>
        <w:rPr/>
        <w:t xml:space="preserve">LAMMPS: contributed to modules which allow for the </w:t>
      </w:r>
    </w:p>
    <w:p>
      <w:pPr>
        <w:pStyle w:val="style31"/>
      </w:pPr>
      <w:r>
        <w:rPr/>
        <w:t>ntpy: a python module for performing wrapping of Molecular and Lattice Dynamics Calculations.</w:t>
      </w:r>
    </w:p>
    <w:p>
      <w:pPr>
        <w:pStyle w:val="style31"/>
      </w:pPr>
      <w:r>
        <w:rPr/>
        <w:t>Codes: Python, Java, PERL, Matlab, C, C++, Fortran</w:t>
      </w:r>
    </w:p>
    <w:p>
      <w:pPr>
        <w:pStyle w:val="style31"/>
      </w:pPr>
      <w:r>
        <w:rPr/>
        <w:t xml:space="preserve">Linux, Git, Github, </w:t>
      </w:r>
    </w:p>
    <w:sectPr>
      <w:type w:val="nextPage"/>
      <w:pgSz w:h="15840" w:w="12240"/>
      <w:pgMar w:bottom="1728" w:footer="0" w:gutter="0" w:header="0" w:left="1800" w:right="1800" w:top="1440"/>
      <w:pgNumType w:fmt="decimal"/>
      <w:formProt w:val="false"/>
      <w:textDirection w:val="lrTb"/>
      <w:docGrid w:charSpace="1638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220" w:lineRule="exact"/>
    </w:pPr>
    <w:rPr>
      <w:rFonts w:ascii="Tahoma" w:cs="Times New Roman" w:eastAsia="Times New Roman" w:hAnsi="Tahoma"/>
      <w:color w:val="auto"/>
      <w:spacing w:val="10"/>
      <w:sz w:val="16"/>
      <w:szCs w:val="16"/>
      <w:lang w:bidi="ar-SA" w:eastAsia="en-US" w:val="en-US"/>
    </w:rPr>
  </w:style>
  <w:style w:styleId="style1" w:type="paragraph">
    <w:name w:val="Heading 1"/>
    <w:basedOn w:val="style0"/>
    <w:next w:val="style23"/>
    <w:pPr>
      <w:spacing w:after="60" w:before="80"/>
    </w:pPr>
    <w:rPr>
      <w:caps/>
    </w:rPr>
  </w:style>
  <w:style w:styleId="style2" w:type="paragraph">
    <w:name w:val="Heading 2"/>
    <w:basedOn w:val="style0"/>
    <w:next w:val="style23"/>
    <w:pPr>
      <w:numPr>
        <w:ilvl w:val="1"/>
        <w:numId w:val="1"/>
      </w:numPr>
      <w:spacing w:after="0" w:before="60"/>
      <w:outlineLvl w:val="1"/>
    </w:pPr>
    <w:rPr>
      <w:i/>
    </w:rPr>
  </w:style>
  <w:style w:styleId="style3" w:type="paragraph">
    <w:name w:val="Heading 3"/>
    <w:basedOn w:val="style0"/>
    <w:next w:val="style23"/>
    <w:pPr>
      <w:numPr>
        <w:ilvl w:val="2"/>
        <w:numId w:val="1"/>
      </w:numPr>
      <w:outlineLvl w:val="2"/>
    </w:pPr>
    <w:rPr>
      <w:i/>
    </w:rPr>
  </w:style>
  <w:style w:styleId="style15" w:type="character">
    <w:name w:val="Default Paragraph Font"/>
    <w:next w:val="style15"/>
    <w:rPr/>
  </w:style>
  <w:style w:styleId="style16" w:type="character">
    <w:name w:val="Heading 3 Char"/>
    <w:basedOn w:val="style15"/>
    <w:next w:val="style16"/>
    <w:rPr>
      <w:rFonts w:ascii="Tahoma" w:hAnsi="Tahoma"/>
      <w:i/>
      <w:spacing w:val="10"/>
      <w:sz w:val="16"/>
      <w:szCs w:val="16"/>
      <w:lang w:bidi="ar-SA" w:eastAsia="en-US" w:val="en-US"/>
    </w:rPr>
  </w:style>
  <w:style w:styleId="style17" w:type="character">
    <w:name w:val="Title Char"/>
    <w:basedOn w:val="style15"/>
    <w:next w:val="style17"/>
    <w:rPr>
      <w:rFonts w:ascii="Tahoma" w:hAnsi="Tahoma"/>
      <w:b/>
      <w:spacing w:val="10"/>
      <w:sz w:val="16"/>
      <w:szCs w:val="16"/>
      <w:lang w:bidi="ar-SA" w:eastAsia="en-US" w:val="en-US"/>
    </w:rPr>
  </w:style>
  <w:style w:styleId="style18" w:type="character">
    <w:name w:val="Heading 2 Char"/>
    <w:basedOn w:val="style15"/>
    <w:next w:val="style18"/>
    <w:rPr>
      <w:rFonts w:ascii="Tahoma" w:hAnsi="Tahoma"/>
      <w:i/>
      <w:spacing w:val="10"/>
      <w:sz w:val="16"/>
      <w:szCs w:val="16"/>
      <w:lang w:bidi="ar-SA" w:eastAsia="en-US" w:val="en-US"/>
    </w:rPr>
  </w:style>
  <w:style w:styleId="style19" w:type="character">
    <w:name w:val="ListLabel 1"/>
    <w:next w:val="style19"/>
    <w:rPr>
      <w:rFonts w:cs="Times New Roman"/>
    </w:rPr>
  </w:style>
  <w:style w:styleId="style20" w:type="character">
    <w:name w:val="ListLabel 2"/>
    <w:next w:val="style20"/>
    <w:rPr>
      <w:rFonts w:cs="Courier New"/>
    </w:rPr>
  </w:style>
  <w:style w:styleId="style21" w:type="character">
    <w:name w:val="ListLabel 3"/>
    <w:next w:val="style21"/>
    <w:rPr>
      <w:b w:val="false"/>
      <w:i w:val="false"/>
      <w:color w:val="808080"/>
      <w:sz w:val="12"/>
      <w:szCs w:val="12"/>
    </w:rPr>
  </w:style>
  <w:style w:styleId="style22" w:type="paragraph">
    <w:name w:val="Heading"/>
    <w:basedOn w:val="style0"/>
    <w:next w:val="style23"/>
    <w:pPr>
      <w:keepNext/>
      <w:spacing w:after="120" w:before="240"/>
    </w:pPr>
    <w:rPr>
      <w:rFonts w:ascii="Arial" w:cs="Lohit Hindi" w:eastAsia="WenQuanYi Micro Hei" w:hAnsi="Arial"/>
      <w:sz w:val="28"/>
      <w:szCs w:val="28"/>
    </w:rPr>
  </w:style>
  <w:style w:styleId="style23" w:type="paragraph">
    <w:name w:val="Text body"/>
    <w:basedOn w:val="style0"/>
    <w:next w:val="style23"/>
    <w:pPr>
      <w:spacing w:after="16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Balloon Text"/>
    <w:basedOn w:val="style0"/>
    <w:next w:val="style27"/>
    <w:pPr/>
    <w:rPr>
      <w:rFonts w:cs="Tahoma"/>
    </w:rPr>
  </w:style>
  <w:style w:styleId="style28" w:type="paragraph">
    <w:name w:val="Date"/>
    <w:basedOn w:val="style0"/>
    <w:next w:val="style28"/>
    <w:pPr>
      <w:spacing w:after="0" w:before="60"/>
      <w:jc w:val="right"/>
    </w:pPr>
    <w:rPr>
      <w:b/>
    </w:rPr>
  </w:style>
  <w:style w:styleId="style29" w:type="paragraph">
    <w:name w:val="e-mail address"/>
    <w:basedOn w:val="style0"/>
    <w:next w:val="style29"/>
    <w:pPr>
      <w:spacing w:after="160" w:before="0"/>
    </w:pPr>
    <w:rPr>
      <w:szCs w:val="20"/>
    </w:rPr>
  </w:style>
  <w:style w:styleId="style30" w:type="paragraph">
    <w:name w:val="Date w/no Space Before"/>
    <w:basedOn w:val="style28"/>
    <w:next w:val="style30"/>
    <w:pPr>
      <w:spacing w:after="0" w:before="0"/>
    </w:pPr>
    <w:rPr/>
  </w:style>
  <w:style w:styleId="style31" w:type="paragraph">
    <w:name w:val="bulleted list"/>
    <w:basedOn w:val="style0"/>
    <w:next w:val="style31"/>
    <w:pPr>
      <w:spacing w:after="0" w:before="60"/>
    </w:pPr>
    <w:rPr/>
  </w:style>
  <w:style w:styleId="style32" w:type="paragraph">
    <w:name w:val="Title"/>
    <w:basedOn w:val="style0"/>
    <w:next w:val="style33"/>
    <w:pPr>
      <w:jc w:val="center"/>
    </w:pPr>
    <w:rPr>
      <w:b/>
      <w:bCs/>
      <w:sz w:val="36"/>
      <w:szCs w:val="36"/>
    </w:rPr>
  </w:style>
  <w:style w:styleId="style33" w:type="paragraph">
    <w:name w:val="Subtitle"/>
    <w:basedOn w:val="style22"/>
    <w:next w:val="style23"/>
    <w:pPr>
      <w:jc w:val="center"/>
    </w:pPr>
    <w:rPr>
      <w:i/>
      <w:iCs/>
      <w:sz w:val="28"/>
      <w:szCs w:val="28"/>
    </w:rPr>
  </w:style>
  <w:style w:styleId="style34" w:type="paragraph">
    <w:name w:val="Preformatted Text"/>
    <w:basedOn w:val="style0"/>
    <w:next w:val="style34"/>
    <w:pPr>
      <w:spacing w:after="0" w:before="0"/>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Curriculum vitae</Template>
  <TotalTime>3693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2010-04-29T19:50:00.00Z</dcterms:created>
  <dc:creator>Jason</dc:creator>
  <cp:lastModifiedBy>Jodi Larkin</cp:lastModifiedBy>
  <cp:lastPrinted>2011-11-13T03:16:00.00Z</cp:lastPrinted>
  <dcterms:modified xsi:type="dcterms:W3CDTF">2011-11-13T03:16:00.00Z</dcterms:modified>
  <cp:revision>310</cp:revision>
</cp:coreProperties>
</file>