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276" w:lineRule="auto"/>
        <w:jc w:val="center"/>
        <w:rPr>
          <w:rFonts w:ascii="Arial" w:cs="Arial" w:eastAsia="Arial" w:hAnsi="Arial"/>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2">
      <w:pPr>
        <w:spacing w:before="120"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pageBreakBefore w:val="0"/>
        <w:spacing w:before="120"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before="120"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pageBreakBefore w:val="0"/>
        <w:spacing w:before="120" w:line="276" w:lineRule="auto"/>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6">
      <w:pPr>
        <w:pageBreakBefore w:val="0"/>
        <w:spacing w:before="120" w:line="276" w:lineRule="auto"/>
        <w:jc w:val="center"/>
        <w:rPr>
          <w:rFonts w:ascii="Arial" w:cs="Arial" w:eastAsia="Arial" w:hAnsi="Arial"/>
          <w:sz w:val="48"/>
          <w:szCs w:val="48"/>
        </w:rPr>
      </w:pPr>
      <w:r w:rsidDel="00000000" w:rsidR="00000000" w:rsidRPr="00000000">
        <w:rPr>
          <w:rtl w:val="0"/>
        </w:rPr>
      </w:r>
    </w:p>
    <w:p w:rsidR="00000000" w:rsidDel="00000000" w:rsidP="00000000" w:rsidRDefault="00000000" w:rsidRPr="00000000" w14:paraId="00000007">
      <w:pPr>
        <w:pageBreakBefore w:val="0"/>
        <w:spacing w:before="120" w:line="276" w:lineRule="auto"/>
        <w:jc w:val="center"/>
        <w:rPr>
          <w:rFonts w:ascii="Arial" w:cs="Arial" w:eastAsia="Arial" w:hAnsi="Arial"/>
          <w:sz w:val="64"/>
          <w:szCs w:val="64"/>
        </w:rPr>
      </w:pPr>
      <w:r w:rsidDel="00000000" w:rsidR="00000000" w:rsidRPr="00000000">
        <w:rPr>
          <w:rFonts w:ascii="Arial" w:cs="Arial" w:eastAsia="Arial" w:hAnsi="Arial"/>
          <w:sz w:val="64"/>
          <w:szCs w:val="64"/>
          <w:rtl w:val="0"/>
        </w:rPr>
        <w:t xml:space="preserve">Office of Management and </w:t>
      </w:r>
      <w:r w:rsidDel="00000000" w:rsidR="00000000" w:rsidRPr="00000000">
        <w:rPr>
          <w:rFonts w:ascii="Arial" w:cs="Arial" w:eastAsia="Arial" w:hAnsi="Arial"/>
          <w:sz w:val="64"/>
          <w:szCs w:val="64"/>
          <w:rtl w:val="0"/>
        </w:rPr>
        <w:t xml:space="preserve">Budget</w:t>
      </w:r>
      <w:r w:rsidDel="00000000" w:rsidR="00000000" w:rsidRPr="00000000">
        <w:rPr>
          <w:rFonts w:ascii="Arial" w:cs="Arial" w:eastAsia="Arial" w:hAnsi="Arial"/>
          <w:sz w:val="64"/>
          <w:szCs w:val="64"/>
          <w:rtl w:val="0"/>
        </w:rPr>
        <w:t xml:space="preserve"> (OMB) M-19-17 </w:t>
      </w:r>
    </w:p>
    <w:p w:rsidR="00000000" w:rsidDel="00000000" w:rsidP="00000000" w:rsidRDefault="00000000" w:rsidRPr="00000000" w14:paraId="00000008">
      <w:pPr>
        <w:pageBreakBefore w:val="0"/>
        <w:spacing w:before="120" w:line="276" w:lineRule="auto"/>
        <w:jc w:val="center"/>
        <w:rPr>
          <w:rFonts w:ascii="Arial" w:cs="Arial" w:eastAsia="Arial" w:hAnsi="Arial"/>
          <w:sz w:val="64"/>
          <w:szCs w:val="64"/>
        </w:rPr>
      </w:pPr>
      <w:r w:rsidDel="00000000" w:rsidR="00000000" w:rsidRPr="00000000">
        <w:rPr>
          <w:rtl w:val="0"/>
        </w:rPr>
      </w:r>
    </w:p>
    <w:p w:rsidR="00000000" w:rsidDel="00000000" w:rsidP="00000000" w:rsidRDefault="00000000" w:rsidRPr="00000000" w14:paraId="00000009">
      <w:pPr>
        <w:pageBreakBefore w:val="0"/>
        <w:spacing w:before="120" w:line="276" w:lineRule="auto"/>
        <w:jc w:val="center"/>
        <w:rPr>
          <w:rFonts w:ascii="Arial" w:cs="Arial" w:eastAsia="Arial" w:hAnsi="Arial"/>
          <w:sz w:val="48"/>
          <w:szCs w:val="48"/>
        </w:rPr>
      </w:pPr>
      <w:r w:rsidDel="00000000" w:rsidR="00000000" w:rsidRPr="00000000">
        <w:rPr>
          <w:rFonts w:ascii="Arial" w:cs="Arial" w:eastAsia="Arial" w:hAnsi="Arial"/>
          <w:sz w:val="48"/>
          <w:szCs w:val="48"/>
          <w:rtl w:val="0"/>
        </w:rPr>
        <w:t xml:space="preserve">Summary Gap Analysis</w:t>
      </w:r>
    </w:p>
    <w:p w:rsidR="00000000" w:rsidDel="00000000" w:rsidP="00000000" w:rsidRDefault="00000000" w:rsidRPr="00000000" w14:paraId="0000000A">
      <w:pPr>
        <w:spacing w:before="120" w:line="276" w:lineRule="auto"/>
        <w:jc w:val="center"/>
        <w:rPr>
          <w:sz w:val="48"/>
          <w:szCs w:val="48"/>
        </w:rPr>
      </w:pPr>
      <w:r w:rsidDel="00000000" w:rsidR="00000000" w:rsidRPr="00000000">
        <w:rPr>
          <w:sz w:val="48"/>
          <w:szCs w:val="48"/>
          <w:rtl w:val="0"/>
        </w:rPr>
        <w:t xml:space="preserve">Template</w:t>
      </w:r>
    </w:p>
    <w:p w:rsidR="00000000" w:rsidDel="00000000" w:rsidP="00000000" w:rsidRDefault="00000000" w:rsidRPr="00000000" w14:paraId="0000000B">
      <w:pPr>
        <w:spacing w:before="120" w:line="276" w:lineRule="auto"/>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C">
      <w:pPr>
        <w:keepLines w:val="1"/>
        <w:spacing w:before="60" w:line="276" w:lineRule="auto"/>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0D">
      <w:pPr>
        <w:keepLines w:val="1"/>
        <w:spacing w:before="60" w:line="276" w:lineRule="auto"/>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0E">
      <w:pPr>
        <w:keepLines w:val="1"/>
        <w:spacing w:before="60" w:line="276" w:lineRule="auto"/>
        <w:jc w:val="center"/>
        <w:rPr>
          <w:rFonts w:ascii="Arial" w:cs="Arial" w:eastAsia="Arial" w:hAnsi="Arial"/>
          <w:i w:val="1"/>
          <w:color w:val="0000ff"/>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spacing w:line="276" w:lineRule="auto"/>
        <w:rPr>
          <w:rFonts w:ascii="Arial" w:cs="Arial" w:eastAsia="Arial" w:hAnsi="Arial"/>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76" w:lineRule="auto"/>
        <w:ind w:left="720" w:right="0" w:hanging="72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720"/>
        </w:tabs>
        <w:spacing w:after="0" w:before="240" w:line="276" w:lineRule="auto"/>
        <w:ind w:left="720" w:right="0" w:hanging="720"/>
        <w:jc w:val="center"/>
        <w:rPr>
          <w:rFonts w:ascii="Arial" w:cs="Arial" w:eastAsia="Arial" w:hAnsi="Arial"/>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i w:val="0"/>
                <w:smallCaps w:val="0"/>
                <w:strike w:val="0"/>
                <w:sz w:val="24"/>
                <w:szCs w:val="24"/>
                <w:u w:val="none"/>
                <w:shd w:fill="auto" w:val="clear"/>
                <w:vertAlign w:val="baseline"/>
                <w:rtl w:val="0"/>
              </w:rPr>
              <w:t xml:space="preserve">1.</w:t>
              <w:tab/>
              <w:t xml:space="preserve">Purpose</w:t>
              <w:tab/>
              <w:t xml:space="preserve">3</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1fob9te">
            <w:r w:rsidDel="00000000" w:rsidR="00000000" w:rsidRPr="00000000">
              <w:rPr>
                <w:rFonts w:ascii="Arial" w:cs="Arial" w:eastAsia="Arial" w:hAnsi="Arial"/>
                <w:i w:val="0"/>
                <w:smallCaps w:val="0"/>
                <w:strike w:val="0"/>
                <w:sz w:val="24"/>
                <w:szCs w:val="24"/>
                <w:u w:val="none"/>
                <w:shd w:fill="auto" w:val="clear"/>
                <w:vertAlign w:val="baseline"/>
                <w:rtl w:val="0"/>
              </w:rPr>
              <w:t xml:space="preserve">2.</w:t>
              <w:tab/>
              <w:t xml:space="preserve">Summary</w:t>
              <w:tab/>
              <w:t xml:space="preserve">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tyjcwt">
            <w:r w:rsidDel="00000000" w:rsidR="00000000" w:rsidRPr="00000000">
              <w:rPr>
                <w:rFonts w:ascii="Arial" w:cs="Arial" w:eastAsia="Arial" w:hAnsi="Arial"/>
                <w:i w:val="0"/>
                <w:smallCaps w:val="0"/>
                <w:strike w:val="0"/>
                <w:sz w:val="24"/>
                <w:szCs w:val="24"/>
                <w:u w:val="none"/>
                <w:shd w:fill="auto" w:val="clear"/>
                <w:vertAlign w:val="baseline"/>
                <w:rtl w:val="0"/>
              </w:rPr>
              <w:t xml:space="preserve">3.</w:t>
              <w:tab/>
              <w:t xml:space="preserve">I. Contextualizing Identity in the Federal Government</w:t>
              <w:tab/>
              <w:t xml:space="preserve">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3dy6vkm">
            <w:r w:rsidDel="00000000" w:rsidR="00000000" w:rsidRPr="00000000">
              <w:rPr>
                <w:rFonts w:ascii="Arial" w:cs="Arial" w:eastAsia="Arial" w:hAnsi="Arial"/>
                <w:i w:val="0"/>
                <w:smallCaps w:val="0"/>
                <w:strike w:val="0"/>
                <w:sz w:val="24"/>
                <w:szCs w:val="24"/>
                <w:u w:val="none"/>
                <w:shd w:fill="auto" w:val="clear"/>
                <w:vertAlign w:val="baseline"/>
                <w:rtl w:val="0"/>
              </w:rPr>
              <w:t xml:space="preserve">4.</w:t>
              <w:tab/>
              <w:t xml:space="preserve">II. Managing Identities, Credentials, and Access in Modern Government</w:t>
              <w:tab/>
              <w:t xml:space="preserve">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4d34og8">
            <w:r w:rsidDel="00000000" w:rsidR="00000000" w:rsidRPr="00000000">
              <w:rPr>
                <w:rFonts w:ascii="Arial" w:cs="Arial" w:eastAsia="Arial" w:hAnsi="Arial"/>
                <w:i w:val="0"/>
                <w:smallCaps w:val="0"/>
                <w:strike w:val="0"/>
                <w:sz w:val="24"/>
                <w:szCs w:val="24"/>
                <w:u w:val="none"/>
                <w:shd w:fill="auto" w:val="clear"/>
                <w:vertAlign w:val="baseline"/>
                <w:rtl w:val="0"/>
              </w:rPr>
              <w:t xml:space="preserve">5.</w:t>
              <w:tab/>
              <w:t xml:space="preserve">III. Adapting the Government’s Approach to Homeland Security Presidential Directive 12 (HSPD-12)</w:t>
              <w:tab/>
              <w:t xml:space="preserve">6</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2s8eyo1">
            <w:r w:rsidDel="00000000" w:rsidR="00000000" w:rsidRPr="00000000">
              <w:rPr>
                <w:rFonts w:ascii="Arial" w:cs="Arial" w:eastAsia="Arial" w:hAnsi="Arial"/>
                <w:i w:val="0"/>
                <w:smallCaps w:val="0"/>
                <w:strike w:val="0"/>
                <w:sz w:val="24"/>
                <w:szCs w:val="24"/>
                <w:u w:val="none"/>
                <w:shd w:fill="auto" w:val="clear"/>
                <w:vertAlign w:val="baseline"/>
                <w:rtl w:val="0"/>
              </w:rPr>
              <w:t xml:space="preserve">6.</w:t>
              <w:tab/>
              <w:t xml:space="preserve">IV. Shifting the Operating Model Beyond the Perimeter</w:t>
              <w:tab/>
              <w:t xml:space="preserve">7</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360" w:lineRule="auto"/>
            <w:ind w:left="360" w:right="0" w:firstLine="0"/>
            <w:jc w:val="left"/>
            <w:rPr>
              <w:rFonts w:ascii="Arial" w:cs="Arial" w:eastAsia="Arial" w:hAnsi="Arial"/>
              <w:i w:val="0"/>
              <w:smallCaps w:val="0"/>
              <w:strike w:val="0"/>
              <w:sz w:val="24"/>
              <w:szCs w:val="24"/>
              <w:u w:val="none"/>
              <w:shd w:fill="auto" w:val="clear"/>
              <w:vertAlign w:val="baseline"/>
            </w:rPr>
          </w:pPr>
          <w:hyperlink w:anchor="_17dp8vu">
            <w:r w:rsidDel="00000000" w:rsidR="00000000" w:rsidRPr="00000000">
              <w:rPr>
                <w:rFonts w:ascii="Arial" w:cs="Arial" w:eastAsia="Arial" w:hAnsi="Arial"/>
                <w:i w:val="0"/>
                <w:smallCaps w:val="0"/>
                <w:strike w:val="0"/>
                <w:sz w:val="24"/>
                <w:szCs w:val="24"/>
                <w:u w:val="none"/>
                <w:shd w:fill="auto" w:val="clear"/>
                <w:vertAlign w:val="baseline"/>
                <w:rtl w:val="0"/>
              </w:rPr>
              <w:t xml:space="preserve">6.1.</w:t>
              <w:tab/>
              <w:t xml:space="preserve">Governance</w:t>
              <w:tab/>
              <w:t xml:space="preserve">7</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360" w:lineRule="auto"/>
            <w:ind w:left="360" w:right="0" w:firstLine="0"/>
            <w:jc w:val="left"/>
            <w:rPr>
              <w:rFonts w:ascii="Arial" w:cs="Arial" w:eastAsia="Arial" w:hAnsi="Arial"/>
              <w:i w:val="0"/>
              <w:smallCaps w:val="0"/>
              <w:strike w:val="0"/>
              <w:sz w:val="24"/>
              <w:szCs w:val="24"/>
              <w:u w:val="none"/>
              <w:shd w:fill="auto" w:val="clear"/>
              <w:vertAlign w:val="baseline"/>
            </w:rPr>
          </w:pPr>
          <w:hyperlink w:anchor="_3rdcrjn">
            <w:r w:rsidDel="00000000" w:rsidR="00000000" w:rsidRPr="00000000">
              <w:rPr>
                <w:rFonts w:ascii="Arial" w:cs="Arial" w:eastAsia="Arial" w:hAnsi="Arial"/>
                <w:i w:val="0"/>
                <w:smallCaps w:val="0"/>
                <w:strike w:val="0"/>
                <w:sz w:val="24"/>
                <w:szCs w:val="24"/>
                <w:u w:val="none"/>
                <w:shd w:fill="auto" w:val="clear"/>
                <w:vertAlign w:val="baseline"/>
                <w:rtl w:val="0"/>
              </w:rPr>
              <w:t xml:space="preserve">6.2.</w:t>
              <w:tab/>
              <w:t xml:space="preserve">Architecture</w:t>
              <w:tab/>
              <w:t xml:space="preserve">8</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360" w:lineRule="auto"/>
            <w:ind w:left="360" w:right="0" w:firstLine="0"/>
            <w:jc w:val="left"/>
            <w:rPr>
              <w:rFonts w:ascii="Arial" w:cs="Arial" w:eastAsia="Arial" w:hAnsi="Arial"/>
              <w:i w:val="0"/>
              <w:smallCaps w:val="0"/>
              <w:strike w:val="0"/>
              <w:sz w:val="24"/>
              <w:szCs w:val="24"/>
              <w:u w:val="none"/>
              <w:shd w:fill="auto" w:val="clear"/>
              <w:vertAlign w:val="baseline"/>
            </w:rPr>
          </w:pPr>
          <w:hyperlink w:anchor="_26in1rg">
            <w:r w:rsidDel="00000000" w:rsidR="00000000" w:rsidRPr="00000000">
              <w:rPr>
                <w:rFonts w:ascii="Arial" w:cs="Arial" w:eastAsia="Arial" w:hAnsi="Arial"/>
                <w:i w:val="0"/>
                <w:smallCaps w:val="0"/>
                <w:strike w:val="0"/>
                <w:sz w:val="24"/>
                <w:szCs w:val="24"/>
                <w:u w:val="none"/>
                <w:shd w:fill="auto" w:val="clear"/>
                <w:vertAlign w:val="baseline"/>
                <w:rtl w:val="0"/>
              </w:rPr>
              <w:t xml:space="preserve">6.3.</w:t>
              <w:tab/>
              <w:t xml:space="preserve">Acquisition</w:t>
              <w:tab/>
              <w:t xml:space="preserve">8</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lnxbz9">
            <w:r w:rsidDel="00000000" w:rsidR="00000000" w:rsidRPr="00000000">
              <w:rPr>
                <w:rFonts w:ascii="Arial" w:cs="Arial" w:eastAsia="Arial" w:hAnsi="Arial"/>
                <w:i w:val="0"/>
                <w:smallCaps w:val="0"/>
                <w:strike w:val="0"/>
                <w:sz w:val="24"/>
                <w:szCs w:val="24"/>
                <w:u w:val="none"/>
                <w:shd w:fill="auto" w:val="clear"/>
                <w:vertAlign w:val="baseline"/>
                <w:rtl w:val="0"/>
              </w:rPr>
              <w:t xml:space="preserve">7.</w:t>
              <w:tab/>
              <w:t xml:space="preserve">V. Improving Digital Interactions with the American Public</w:t>
              <w:tab/>
              <w:t xml:space="preserve">9</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35nkun2">
            <w:r w:rsidDel="00000000" w:rsidR="00000000" w:rsidRPr="00000000">
              <w:rPr>
                <w:rFonts w:ascii="Arial" w:cs="Arial" w:eastAsia="Arial" w:hAnsi="Arial"/>
                <w:i w:val="0"/>
                <w:smallCaps w:val="0"/>
                <w:strike w:val="0"/>
                <w:sz w:val="24"/>
                <w:szCs w:val="24"/>
                <w:u w:val="none"/>
                <w:shd w:fill="auto" w:val="clear"/>
                <w:vertAlign w:val="baseline"/>
                <w:rtl w:val="0"/>
              </w:rPr>
              <w:t xml:space="preserve">8.</w:t>
              <w:tab/>
              <w:t xml:space="preserve">VI. Enumerating Government-wide Responsibilities</w:t>
              <w:tab/>
              <w:t xml:space="preserve">10</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00"/>
              <w:tab w:val="right" w:pos="9350"/>
            </w:tabs>
            <w:spacing w:after="0" w:before="60" w:line="360" w:lineRule="auto"/>
            <w:ind w:left="360" w:right="0" w:firstLine="0"/>
            <w:jc w:val="left"/>
            <w:rPr>
              <w:rFonts w:ascii="Arial" w:cs="Arial" w:eastAsia="Arial" w:hAnsi="Arial"/>
              <w:i w:val="0"/>
              <w:smallCaps w:val="0"/>
              <w:strike w:val="0"/>
              <w:sz w:val="24"/>
              <w:szCs w:val="24"/>
              <w:u w:val="none"/>
              <w:shd w:fill="auto" w:val="clear"/>
              <w:vertAlign w:val="baseline"/>
            </w:rPr>
          </w:pPr>
          <w:hyperlink w:anchor="_1ksv4uv">
            <w:r w:rsidDel="00000000" w:rsidR="00000000" w:rsidRPr="00000000">
              <w:rPr>
                <w:rFonts w:ascii="Arial" w:cs="Arial" w:eastAsia="Arial" w:hAnsi="Arial"/>
                <w:i w:val="0"/>
                <w:smallCaps w:val="0"/>
                <w:strike w:val="0"/>
                <w:sz w:val="24"/>
                <w:szCs w:val="24"/>
                <w:u w:val="none"/>
                <w:shd w:fill="auto" w:val="clear"/>
                <w:vertAlign w:val="baseline"/>
                <w:rtl w:val="0"/>
              </w:rPr>
              <w:t xml:space="preserve">8.1.</w:t>
              <w:tab/>
              <w:t xml:space="preserve">NIST is responsible for:</w:t>
              <w:tab/>
              <w:t xml:space="preserve">10</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44sinio">
            <w:r w:rsidDel="00000000" w:rsidR="00000000" w:rsidRPr="00000000">
              <w:rPr>
                <w:rFonts w:ascii="Arial" w:cs="Arial" w:eastAsia="Arial" w:hAnsi="Arial"/>
                <w:i w:val="0"/>
                <w:smallCaps w:val="0"/>
                <w:strike w:val="0"/>
                <w:sz w:val="24"/>
                <w:szCs w:val="24"/>
                <w:u w:val="none"/>
                <w:shd w:fill="auto" w:val="clear"/>
                <w:vertAlign w:val="baseline"/>
                <w:rtl w:val="0"/>
              </w:rPr>
              <w:t xml:space="preserve">Changes Between the Final and Draft Versions</w:t>
              <w:tab/>
              <w:t xml:space="preserve">11</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9350"/>
            </w:tabs>
            <w:spacing w:after="0" w:before="60" w:line="360" w:lineRule="auto"/>
            <w:ind w:left="0" w:right="0" w:firstLine="0"/>
            <w:jc w:val="left"/>
            <w:rPr>
              <w:rFonts w:ascii="Arial" w:cs="Arial" w:eastAsia="Arial" w:hAnsi="Arial"/>
              <w:i w:val="0"/>
              <w:smallCaps w:val="0"/>
              <w:strike w:val="0"/>
              <w:sz w:val="24"/>
              <w:szCs w:val="24"/>
              <w:u w:val="none"/>
              <w:shd w:fill="auto" w:val="clear"/>
              <w:vertAlign w:val="baseline"/>
            </w:rPr>
          </w:pPr>
          <w:hyperlink w:anchor="_2jxsxqh">
            <w:r w:rsidDel="00000000" w:rsidR="00000000" w:rsidRPr="00000000">
              <w:rPr>
                <w:rFonts w:ascii="Arial" w:cs="Arial" w:eastAsia="Arial" w:hAnsi="Arial"/>
                <w:i w:val="0"/>
                <w:smallCaps w:val="0"/>
                <w:strike w:val="0"/>
                <w:sz w:val="24"/>
                <w:szCs w:val="24"/>
                <w:u w:val="none"/>
                <w:shd w:fill="auto" w:val="clear"/>
                <w:vertAlign w:val="baseline"/>
                <w:rtl w:val="0"/>
              </w:rPr>
              <w:t xml:space="preserve">Appendix A - References and Associated Content</w:t>
              <w:tab/>
              <w:t xml:space="preserve">11</w:t>
            </w:r>
          </w:hyperlink>
          <w:r w:rsidDel="00000000" w:rsidR="00000000" w:rsidRPr="00000000">
            <w:rPr>
              <w:rtl w:val="0"/>
            </w:rPr>
          </w:r>
        </w:p>
        <w:p w:rsidR="00000000" w:rsidDel="00000000" w:rsidP="00000000" w:rsidRDefault="00000000" w:rsidRPr="00000000" w14:paraId="00000021">
          <w:pPr>
            <w:spacing w:line="276" w:lineRule="auto"/>
            <w:rPr>
              <w:rFonts w:ascii="Arial" w:cs="Arial" w:eastAsia="Arial" w:hAnsi="Arial"/>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spacing w:line="276" w:lineRule="auto"/>
        <w:rPr>
          <w:rFonts w:ascii="Arial" w:cs="Arial" w:eastAsia="Arial" w:hAnsi="Arial"/>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numPr>
          <w:ilvl w:val="0"/>
          <w:numId w:val="10"/>
        </w:numPr>
        <w:tabs>
          <w:tab w:val="left" w:pos="720"/>
        </w:tabs>
        <w:spacing w:line="276" w:lineRule="auto"/>
        <w:ind w:left="360" w:hanging="360"/>
        <w:rPr>
          <w:sz w:val="24"/>
          <w:szCs w:val="24"/>
        </w:rPr>
      </w:pPr>
      <w:bookmarkStart w:colFirst="0" w:colLast="0" w:name="_30j0zll" w:id="1"/>
      <w:bookmarkEnd w:id="1"/>
      <w:r w:rsidDel="00000000" w:rsidR="00000000" w:rsidRPr="00000000">
        <w:rPr>
          <w:sz w:val="24"/>
          <w:szCs w:val="24"/>
          <w:rtl w:val="0"/>
        </w:rPr>
        <w:t xml:space="preserve">Purpose </w:t>
      </w:r>
    </w:p>
    <w:p w:rsidR="00000000" w:rsidDel="00000000" w:rsidP="00000000" w:rsidRDefault="00000000" w:rsidRPr="00000000" w14:paraId="00000026">
      <w:pPr>
        <w:pageBreakBefore w:val="0"/>
        <w:rPr/>
      </w:pPr>
      <w:r w:rsidDel="00000000" w:rsidR="00000000" w:rsidRPr="00000000">
        <w:rPr>
          <w:rtl w:val="0"/>
        </w:rPr>
        <w:t xml:space="preserve">The Office of Management and Budget (OMB) released the federal government’s Identity, Credential, and Access Management (ICAM) Memorandum M-19-17 on May 21, 2019. This document is an overview of what was released by the OMB with </w:t>
      </w:r>
      <w:r w:rsidDel="00000000" w:rsidR="00000000" w:rsidRPr="00000000">
        <w:rPr>
          <w:rtl w:val="0"/>
        </w:rPr>
        <w:t xml:space="preserve">SAMPLE</w:t>
      </w:r>
      <w:r w:rsidDel="00000000" w:rsidR="00000000" w:rsidRPr="00000000">
        <w:rPr>
          <w:rtl w:val="0"/>
        </w:rPr>
        <w:t xml:space="preserve"> associated gaps and recommendations that are applicable to an agency landscape. This will facilitate creation of a comprehensive ICAM strategic roadmap and vision to fulfill the requirements presented in the </w:t>
      </w:r>
      <w:hyperlink r:id="rId6">
        <w:r w:rsidDel="00000000" w:rsidR="00000000" w:rsidRPr="00000000">
          <w:rPr>
            <w:rtl w:val="0"/>
          </w:rPr>
          <w:t xml:space="preserve">memorandum.</w:t>
        </w:r>
      </w:hyperlink>
      <w:r w:rsidDel="00000000" w:rsidR="00000000" w:rsidRPr="00000000">
        <w:rPr>
          <w:rtl w:val="0"/>
        </w:rPr>
        <w:t xml:space="preserve"> </w:t>
      </w:r>
    </w:p>
    <w:p w:rsidR="00000000" w:rsidDel="00000000" w:rsidP="00000000" w:rsidRDefault="00000000" w:rsidRPr="00000000" w14:paraId="00000027">
      <w:pPr>
        <w:pStyle w:val="Heading1"/>
        <w:numPr>
          <w:ilvl w:val="0"/>
          <w:numId w:val="10"/>
        </w:numPr>
        <w:tabs>
          <w:tab w:val="left" w:pos="720"/>
        </w:tabs>
        <w:spacing w:line="276" w:lineRule="auto"/>
        <w:ind w:left="360" w:hanging="360"/>
        <w:rPr>
          <w:sz w:val="24"/>
          <w:szCs w:val="24"/>
        </w:rPr>
      </w:pPr>
      <w:bookmarkStart w:colFirst="0" w:colLast="0" w:name="_1fob9te" w:id="2"/>
      <w:bookmarkEnd w:id="2"/>
      <w:r w:rsidDel="00000000" w:rsidR="00000000" w:rsidRPr="00000000">
        <w:rPr>
          <w:sz w:val="24"/>
          <w:szCs w:val="24"/>
          <w:rtl w:val="0"/>
        </w:rPr>
        <w:t xml:space="preserve">Summary</w:t>
      </w:r>
    </w:p>
    <w:p w:rsidR="00000000" w:rsidDel="00000000" w:rsidP="00000000" w:rsidRDefault="00000000" w:rsidRPr="00000000" w14:paraId="00000028">
      <w:pPr>
        <w:spacing w:after="0" w:line="276" w:lineRule="auto"/>
        <w:rPr>
          <w:rFonts w:ascii="Arial" w:cs="Arial" w:eastAsia="Arial" w:hAnsi="Arial"/>
        </w:rPr>
      </w:pPr>
      <w:bookmarkStart w:colFirst="0" w:colLast="0" w:name="_3znysh7" w:id="3"/>
      <w:bookmarkEnd w:id="3"/>
      <w:r w:rsidDel="00000000" w:rsidR="00000000" w:rsidRPr="00000000">
        <w:rPr>
          <w:rFonts w:ascii="Arial" w:cs="Arial" w:eastAsia="Arial" w:hAnsi="Arial"/>
          <w:color w:val="000000"/>
          <w:rtl w:val="0"/>
        </w:rPr>
        <w:t xml:space="preserve">The OMB released a new memorandum setting the Federal Government’s ICAM policy for providing a greater level of identity assurance and privacy as it relates to entities interacting with Federal information systems and facilities. The memo notes: </w:t>
      </w:r>
      <w:r w:rsidDel="00000000" w:rsidR="00000000" w:rsidRPr="00000000">
        <w:rPr>
          <w:rtl w:val="0"/>
        </w:rPr>
      </w:r>
    </w:p>
    <w:p w:rsidR="00000000" w:rsidDel="00000000" w:rsidP="00000000" w:rsidRDefault="00000000" w:rsidRPr="00000000" w14:paraId="00000029">
      <w:pPr>
        <w:numPr>
          <w:ilvl w:val="0"/>
          <w:numId w:val="8"/>
        </w:numPr>
        <w:spacing w:after="0" w:afterAutospacing="0" w:before="20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Agencies shall </w:t>
      </w:r>
      <w:r w:rsidDel="00000000" w:rsidR="00000000" w:rsidRPr="00000000">
        <w:rPr>
          <w:rFonts w:ascii="Arial" w:cs="Arial" w:eastAsia="Arial" w:hAnsi="Arial"/>
          <w:b w:val="1"/>
          <w:color w:val="000000"/>
          <w:rtl w:val="0"/>
        </w:rPr>
        <w:t xml:space="preserve">implement flexible and scalable identity solutions</w:t>
      </w:r>
      <w:r w:rsidDel="00000000" w:rsidR="00000000" w:rsidRPr="00000000">
        <w:rPr>
          <w:rFonts w:ascii="Arial" w:cs="Arial" w:eastAsia="Arial" w:hAnsi="Arial"/>
          <w:color w:val="000000"/>
          <w:rtl w:val="0"/>
        </w:rPr>
        <w:t xml:space="preserve"> that can be utilized across agencies, such as </w:t>
      </w:r>
      <w:r w:rsidDel="00000000" w:rsidR="00000000" w:rsidRPr="00000000">
        <w:rPr>
          <w:rFonts w:ascii="Arial" w:cs="Arial" w:eastAsia="Arial" w:hAnsi="Arial"/>
          <w:b w:val="1"/>
          <w:color w:val="000000"/>
          <w:rtl w:val="0"/>
        </w:rPr>
        <w:t xml:space="preserve">commercially available products and shared services</w:t>
      </w:r>
      <w:r w:rsidDel="00000000" w:rsidR="00000000" w:rsidRPr="00000000">
        <w:rPr>
          <w:rFonts w:ascii="Arial" w:cs="Arial" w:eastAsia="Arial" w:hAnsi="Arial"/>
          <w:color w:val="000000"/>
          <w:rtl w:val="0"/>
        </w:rPr>
        <w:t xml:space="preserve">. </w:t>
      </w:r>
    </w:p>
    <w:p w:rsidR="00000000" w:rsidDel="00000000" w:rsidP="00000000" w:rsidRDefault="00000000" w:rsidRPr="00000000" w14:paraId="0000002A">
      <w:pPr>
        <w:numPr>
          <w:ilvl w:val="0"/>
          <w:numId w:val="8"/>
        </w:numPr>
        <w:spacing w:after="0" w:afterAutospacing="0" w:before="0" w:beforeAutospacing="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In addition, agencies must develop an office and appropriate personnel to provide guidance and support regarding specific access controls to authorize or revoke privileges as necessary. </w:t>
      </w:r>
    </w:p>
    <w:p w:rsidR="00000000" w:rsidDel="00000000" w:rsidP="00000000" w:rsidRDefault="00000000" w:rsidRPr="00000000" w14:paraId="0000002B">
      <w:pPr>
        <w:numPr>
          <w:ilvl w:val="1"/>
          <w:numId w:val="8"/>
        </w:numPr>
        <w:spacing w:after="0" w:afterAutospacing="0" w:before="0" w:beforeAutospacing="0" w:line="276" w:lineRule="auto"/>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In addition, the Chief Operating Officer (COO) or agency equivalent is responsible for ensuring coordination for implementation, management, and maintenance of the agency’s ICAM policies, processes, and technologies. </w:t>
      </w:r>
    </w:p>
    <w:p w:rsidR="00000000" w:rsidDel="00000000" w:rsidP="00000000" w:rsidRDefault="00000000" w:rsidRPr="00000000" w14:paraId="0000002C">
      <w:pPr>
        <w:pageBreakBefore w:val="0"/>
        <w:numPr>
          <w:ilvl w:val="1"/>
          <w:numId w:val="8"/>
        </w:numPr>
        <w:spacing w:after="0" w:before="0" w:beforeAutospacing="0" w:line="276" w:lineRule="auto"/>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Agencies must leverage National Institute of Standards and Technology (NIST) standards and Continuous Diagnostics and Mitigation (CDM) requirements as they implement policies, procedures, and technologies.</w:t>
      </w:r>
    </w:p>
    <w:p w:rsidR="00000000" w:rsidDel="00000000" w:rsidP="00000000" w:rsidRDefault="00000000" w:rsidRPr="00000000" w14:paraId="0000002D">
      <w:pPr>
        <w:spacing w:after="0" w:line="276" w:lineRule="auto"/>
        <w:ind w:left="0" w:firstLine="0"/>
        <w:rPr/>
      </w:pPr>
      <w:r w:rsidDel="00000000" w:rsidR="00000000" w:rsidRPr="00000000">
        <w:rPr>
          <w:rtl w:val="0"/>
        </w:rPr>
      </w:r>
    </w:p>
    <w:tbl>
      <w:tblPr>
        <w:tblStyle w:val="Table1"/>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675"/>
        <w:gridCol w:w="4675"/>
        <w:tblGridChange w:id="0">
          <w:tblGrid>
            <w:gridCol w:w="4675"/>
            <w:gridCol w:w="4675"/>
          </w:tblGrid>
        </w:tblGridChange>
      </w:tblGrid>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E">
            <w:pPr>
              <w:spacing w:before="120" w:line="276" w:lineRule="auto"/>
              <w:rPr>
                <w:rFonts w:ascii="Arial" w:cs="Arial" w:eastAsia="Arial" w:hAnsi="Arial"/>
                <w:b w:val="1"/>
              </w:rPr>
            </w:pPr>
            <w:bookmarkStart w:colFirst="0" w:colLast="0" w:name="_2et92p0" w:id="4"/>
            <w:bookmarkEnd w:id="4"/>
            <w:r w:rsidDel="00000000" w:rsidR="00000000" w:rsidRPr="00000000">
              <w:rPr>
                <w:rFonts w:ascii="Arial" w:cs="Arial" w:eastAsia="Arial" w:hAnsi="Arial"/>
                <w:b w:val="1"/>
                <w:rtl w:val="0"/>
              </w:rPr>
              <w:t xml:space="preserve">Gap Analysis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2F">
            <w:pPr>
              <w:spacing w:before="120" w:line="276" w:lineRule="auto"/>
              <w:rPr>
                <w:rFonts w:ascii="Arial" w:cs="Arial" w:eastAsia="Arial" w:hAnsi="Arial"/>
                <w:b w:val="1"/>
              </w:rPr>
            </w:pPr>
            <w:r w:rsidDel="00000000" w:rsidR="00000000" w:rsidRPr="00000000">
              <w:rPr>
                <w:rFonts w:ascii="Arial" w:cs="Arial" w:eastAsia="Arial" w:hAnsi="Arial"/>
                <w:b w:val="1"/>
                <w:rtl w:val="0"/>
              </w:rPr>
              <w:t xml:space="preserve">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line="276" w:lineRule="auto"/>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line="276" w:lineRule="auto"/>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line="276" w:lineRule="auto"/>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pageBreakBefore w:val="0"/>
              <w:spacing w:line="276" w:lineRule="auto"/>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pageBreakBefore w:val="0"/>
              <w:spacing w:line="276" w:lineRule="auto"/>
              <w:rPr>
                <w:rFonts w:ascii="Arial" w:cs="Arial" w:eastAsia="Arial" w:hAnsi="Arial"/>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38">
            <w:pPr>
              <w:spacing w:line="276" w:lineRule="auto"/>
              <w:rPr>
                <w:rFonts w:ascii="Arial" w:cs="Arial" w:eastAsia="Arial" w:hAnsi="Arial"/>
                <w:color w:val="000000"/>
              </w:rPr>
            </w:pPr>
            <w:r w:rsidDel="00000000" w:rsidR="00000000" w:rsidRPr="00000000">
              <w:rPr>
                <w:rFonts w:ascii="Arial" w:cs="Arial" w:eastAsia="Arial" w:hAnsi="Arial"/>
                <w:i w:val="1"/>
                <w:rtl w:val="0"/>
              </w:rPr>
              <w:t xml:space="preserve">SAMPLE: </w:t>
            </w:r>
            <w:r w:rsidDel="00000000" w:rsidR="00000000" w:rsidRPr="00000000">
              <w:rPr>
                <w:rFonts w:ascii="Arial" w:cs="Arial" w:eastAsia="Arial" w:hAnsi="Arial"/>
                <w:color w:val="000000"/>
                <w:rtl w:val="0"/>
              </w:rPr>
              <w:t xml:space="preserve">Lack of enterprise governance to successfully strategize and execute the core ICAM services and functions. Governance, for the purpose of this services framework, does not refer to the governance or management of an entire enterprise but of those capabilities necessary to ensure successful ICAM operations. </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39">
            <w:pPr>
              <w:spacing w:line="276" w:lineRule="auto"/>
              <w:rPr>
                <w:rFonts w:ascii="Arial" w:cs="Arial" w:eastAsia="Arial" w:hAnsi="Arial"/>
                <w:color w:val="000000"/>
              </w:rPr>
            </w:pPr>
            <w:r w:rsidDel="00000000" w:rsidR="00000000" w:rsidRPr="00000000">
              <w:rPr>
                <w:rFonts w:ascii="Arial" w:cs="Arial" w:eastAsia="Arial" w:hAnsi="Arial"/>
                <w:i w:val="1"/>
                <w:rtl w:val="0"/>
              </w:rPr>
              <w:t xml:space="preserve">SAMPLE: </w:t>
            </w:r>
            <w:r w:rsidDel="00000000" w:rsidR="00000000" w:rsidRPr="00000000">
              <w:rPr>
                <w:rFonts w:ascii="Arial" w:cs="Arial" w:eastAsia="Arial" w:hAnsi="Arial"/>
                <w:color w:val="000000"/>
                <w:rtl w:val="0"/>
              </w:rPr>
              <w:t xml:space="preserve">Implement governance functions that enable organizations to make programmatic decisions, manage enterprise policies, and promote the efficiency of the ICAM program.</w:t>
            </w:r>
          </w:p>
          <w:p w:rsidR="00000000" w:rsidDel="00000000" w:rsidP="00000000" w:rsidRDefault="00000000" w:rsidRPr="00000000" w14:paraId="0000003A">
            <w:pPr>
              <w:spacing w:line="276" w:lineRule="auto"/>
              <w:rPr>
                <w:rFonts w:ascii="Arial" w:cs="Arial" w:eastAsia="Arial" w:hAnsi="Arial"/>
                <w:color w:val="000000"/>
              </w:rPr>
            </w:pPr>
            <w:r w:rsidDel="00000000" w:rsidR="00000000" w:rsidRPr="00000000">
              <w:rPr>
                <w:rFonts w:ascii="Arial" w:cs="Arial" w:eastAsia="Arial" w:hAnsi="Arial"/>
                <w:color w:val="000000"/>
                <w:rtl w:val="0"/>
              </w:rPr>
              <w:t xml:space="preserve">Update Charter to clearly reflect governance structure, roles and responsibilities, and enterprise buy-in for an enterprise approach. </w:t>
            </w:r>
          </w:p>
        </w:tc>
      </w:tr>
    </w:tbl>
    <w:p w:rsidR="00000000" w:rsidDel="00000000" w:rsidP="00000000" w:rsidRDefault="00000000" w:rsidRPr="00000000" w14:paraId="0000003B">
      <w:pPr>
        <w:pStyle w:val="Heading1"/>
        <w:numPr>
          <w:ilvl w:val="0"/>
          <w:numId w:val="10"/>
        </w:numPr>
        <w:tabs>
          <w:tab w:val="left" w:pos="720"/>
        </w:tabs>
        <w:spacing w:line="276" w:lineRule="auto"/>
        <w:ind w:left="360" w:hanging="360"/>
        <w:rPr>
          <w:sz w:val="24"/>
          <w:szCs w:val="24"/>
        </w:rPr>
      </w:pPr>
      <w:bookmarkStart w:colFirst="0" w:colLast="0" w:name="_tyjcwt" w:id="5"/>
      <w:bookmarkEnd w:id="5"/>
      <w:r w:rsidDel="00000000" w:rsidR="00000000" w:rsidRPr="00000000">
        <w:rPr>
          <w:sz w:val="24"/>
          <w:szCs w:val="24"/>
          <w:rtl w:val="0"/>
        </w:rPr>
        <w:t xml:space="preserve">I. Contextualizing Identity in the Federal Government</w:t>
      </w:r>
    </w:p>
    <w:p w:rsidR="00000000" w:rsidDel="00000000" w:rsidP="00000000" w:rsidRDefault="00000000" w:rsidRPr="00000000" w14:paraId="0000003C">
      <w:pPr>
        <w:numPr>
          <w:ilvl w:val="0"/>
          <w:numId w:val="9"/>
        </w:numPr>
        <w:spacing w:after="0" w:afterAutospacing="0" w:line="276" w:lineRule="auto"/>
        <w:ind w:left="72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“Identity” is defined as a unique representation of a subject (person, device, non-person entity, or automated technology) engaged with at least one Federal subject or protected resource and may be referred to in two contexts:</w:t>
      </w:r>
    </w:p>
    <w:p w:rsidR="00000000" w:rsidDel="00000000" w:rsidP="00000000" w:rsidRDefault="00000000" w:rsidRPr="00000000" w14:paraId="0000003D">
      <w:pPr>
        <w:numPr>
          <w:ilvl w:val="1"/>
          <w:numId w:val="9"/>
        </w:numPr>
        <w:spacing w:after="0" w:afterAutospacing="0" w:before="0" w:beforeAutospacing="0" w:line="276" w:lineRule="auto"/>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Federal enterprise identity – An employee, a contractor, an enterprise user, a device, or technology that is managed by a Federal agency.</w:t>
      </w:r>
    </w:p>
    <w:p w:rsidR="00000000" w:rsidDel="00000000" w:rsidP="00000000" w:rsidRDefault="00000000" w:rsidRPr="00000000" w14:paraId="0000003E">
      <w:pPr>
        <w:pageBreakBefore w:val="0"/>
        <w:numPr>
          <w:ilvl w:val="1"/>
          <w:numId w:val="9"/>
        </w:numPr>
        <w:spacing w:after="200" w:before="0" w:beforeAutospacing="0" w:line="276" w:lineRule="auto"/>
        <w:ind w:left="1440" w:hanging="360"/>
        <w:rPr>
          <w:rFonts w:ascii="Arial" w:cs="Arial" w:eastAsia="Arial" w:hAnsi="Arial"/>
          <w:color w:val="000000"/>
          <w:u w:val="none"/>
        </w:rPr>
      </w:pPr>
      <w:r w:rsidDel="00000000" w:rsidR="00000000" w:rsidRPr="00000000">
        <w:rPr>
          <w:rFonts w:ascii="Arial" w:cs="Arial" w:eastAsia="Arial" w:hAnsi="Arial"/>
          <w:color w:val="000000"/>
          <w:rtl w:val="0"/>
        </w:rPr>
        <w:t xml:space="preserve">Public identity – A subject that a Federal agency interacts with but does not directly manage.</w:t>
      </w:r>
      <w:r w:rsidDel="00000000" w:rsidR="00000000" w:rsidRPr="00000000">
        <w:rPr>
          <w:rtl w:val="0"/>
        </w:rPr>
      </w:r>
    </w:p>
    <w:tbl>
      <w:tblPr>
        <w:tblStyle w:val="Table2"/>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675"/>
        <w:gridCol w:w="4675"/>
        <w:tblGridChange w:id="0">
          <w:tblGrid>
            <w:gridCol w:w="4675"/>
            <w:gridCol w:w="4675"/>
          </w:tblGrid>
        </w:tblGridChange>
      </w:tblGrid>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F">
            <w:pPr>
              <w:spacing w:before="120" w:line="276" w:lineRule="auto"/>
              <w:rPr>
                <w:rFonts w:ascii="Arial" w:cs="Arial" w:eastAsia="Arial" w:hAnsi="Arial"/>
                <w:b w:val="1"/>
              </w:rPr>
            </w:pPr>
            <w:r w:rsidDel="00000000" w:rsidR="00000000" w:rsidRPr="00000000">
              <w:rPr>
                <w:rFonts w:ascii="Arial" w:cs="Arial" w:eastAsia="Arial" w:hAnsi="Arial"/>
                <w:b w:val="1"/>
                <w:rtl w:val="0"/>
              </w:rPr>
              <w:t xml:space="preserve">Gap Analysis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0">
            <w:pPr>
              <w:spacing w:before="120" w:line="276" w:lineRule="auto"/>
              <w:rPr>
                <w:rFonts w:ascii="Arial" w:cs="Arial" w:eastAsia="Arial" w:hAnsi="Arial"/>
                <w:b w:val="1"/>
              </w:rPr>
            </w:pPr>
            <w:r w:rsidDel="00000000" w:rsidR="00000000" w:rsidRPr="00000000">
              <w:rPr>
                <w:rFonts w:ascii="Arial" w:cs="Arial" w:eastAsia="Arial" w:hAnsi="Arial"/>
                <w:b w:val="1"/>
                <w:rtl w:val="0"/>
              </w:rPr>
              <w:t xml:space="preserve">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line="276"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line="276"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pageBreakBefore w:val="0"/>
              <w:spacing w:line="276"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pageBreakBefore w:val="0"/>
              <w:spacing w:line="276"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pageBreakBefore w:val="0"/>
              <w:spacing w:line="276"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pageBreakBefore w:val="0"/>
              <w:spacing w:line="276"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pageBreakBefore w:val="0"/>
              <w:spacing w:line="276" w:lineRule="auto"/>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pageBreakBefore w:val="0"/>
              <w:spacing w:line="276" w:lineRule="auto"/>
              <w:rPr>
                <w:rFonts w:ascii="Arial" w:cs="Arial" w:eastAsia="Arial" w:hAnsi="Arial"/>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49">
            <w:pPr>
              <w:pageBreakBefore w:val="0"/>
              <w:spacing w:line="276" w:lineRule="auto"/>
              <w:rPr>
                <w:sz w:val="20"/>
                <w:szCs w:val="20"/>
              </w:rPr>
            </w:pPr>
            <w:r w:rsidDel="00000000" w:rsidR="00000000" w:rsidRPr="00000000">
              <w:rPr>
                <w:i w:val="1"/>
                <w:sz w:val="20"/>
                <w:szCs w:val="20"/>
                <w:rtl w:val="0"/>
              </w:rPr>
              <w:t xml:space="preserve">SAMPLE: </w:t>
            </w:r>
            <w:r w:rsidDel="00000000" w:rsidR="00000000" w:rsidRPr="00000000">
              <w:rPr>
                <w:sz w:val="20"/>
                <w:szCs w:val="20"/>
                <w:rtl w:val="0"/>
              </w:rPr>
              <w:t xml:space="preserve">Lack of authoritative sources for Trainees, Volunteers, and Affiliates Identities</w:t>
            </w:r>
          </w:p>
        </w:tc>
        <w:tc>
          <w:tcPr>
            <w:tcBorders>
              <w:top w:color="000000" w:space="0" w:sz="4" w:val="single"/>
              <w:left w:color="000000" w:space="0" w:sz="4" w:val="single"/>
              <w:bottom w:color="000000" w:space="0" w:sz="4" w:val="single"/>
              <w:right w:color="000000" w:space="0" w:sz="4" w:val="single"/>
            </w:tcBorders>
            <w:shd w:fill="f3f3f3" w:val="clear"/>
          </w:tcPr>
          <w:p w:rsidR="00000000" w:rsidDel="00000000" w:rsidP="00000000" w:rsidRDefault="00000000" w:rsidRPr="00000000" w14:paraId="0000004A">
            <w:pPr>
              <w:pageBreakBefore w:val="0"/>
              <w:spacing w:line="276" w:lineRule="auto"/>
              <w:rPr>
                <w:sz w:val="20"/>
                <w:szCs w:val="20"/>
              </w:rPr>
            </w:pPr>
            <w:r w:rsidDel="00000000" w:rsidR="00000000" w:rsidRPr="00000000">
              <w:rPr>
                <w:i w:val="1"/>
                <w:sz w:val="20"/>
                <w:szCs w:val="20"/>
                <w:rtl w:val="0"/>
              </w:rPr>
              <w:t xml:space="preserve">SAMPLE: </w:t>
            </w:r>
            <w:r w:rsidDel="00000000" w:rsidR="00000000" w:rsidRPr="00000000">
              <w:rPr>
                <w:sz w:val="20"/>
                <w:szCs w:val="20"/>
                <w:rtl w:val="0"/>
              </w:rPr>
              <w:t xml:space="preserve">Develop authoritative sources across the enterprise for digital identity</w:t>
            </w:r>
          </w:p>
        </w:tc>
      </w:tr>
    </w:tbl>
    <w:p w:rsidR="00000000" w:rsidDel="00000000" w:rsidP="00000000" w:rsidRDefault="00000000" w:rsidRPr="00000000" w14:paraId="0000004B">
      <w:pPr>
        <w:pStyle w:val="Heading1"/>
        <w:numPr>
          <w:ilvl w:val="0"/>
          <w:numId w:val="10"/>
        </w:numPr>
        <w:tabs>
          <w:tab w:val="left" w:pos="720"/>
        </w:tabs>
        <w:spacing w:line="276" w:lineRule="auto"/>
        <w:ind w:left="360" w:hanging="360"/>
        <w:rPr>
          <w:sz w:val="24"/>
          <w:szCs w:val="24"/>
        </w:rPr>
      </w:pPr>
      <w:bookmarkStart w:colFirst="0" w:colLast="0" w:name="_3dy6vkm" w:id="6"/>
      <w:bookmarkEnd w:id="6"/>
      <w:r w:rsidDel="00000000" w:rsidR="00000000" w:rsidRPr="00000000">
        <w:rPr>
          <w:sz w:val="24"/>
          <w:szCs w:val="24"/>
          <w:rtl w:val="0"/>
        </w:rPr>
        <w:t xml:space="preserve">II. Managing Identities, Credentials, and Access in Modern Government</w:t>
      </w:r>
    </w:p>
    <w:p w:rsidR="00000000" w:rsidDel="00000000" w:rsidP="00000000" w:rsidRDefault="00000000" w:rsidRPr="00000000" w14:paraId="0000004C">
      <w:pPr>
        <w:numPr>
          <w:ilvl w:val="0"/>
          <w:numId w:val="6"/>
        </w:numPr>
        <w:spacing w:after="0" w:afterAutospacing="0"/>
        <w:ind w:left="720" w:hanging="360"/>
        <w:rPr>
          <w:u w:val="none"/>
        </w:rPr>
      </w:pPr>
      <w:r w:rsidDel="00000000" w:rsidR="00000000" w:rsidRPr="00000000">
        <w:rPr>
          <w:rtl w:val="0"/>
        </w:rPr>
        <w:t xml:space="preserve">The Federal Government is refreshing its digital infrastructure focused on cybersecurity, procurement and management of a workforce capable of operating cloud-based environments.</w:t>
      </w:r>
    </w:p>
    <w:p w:rsidR="00000000" w:rsidDel="00000000" w:rsidP="00000000" w:rsidRDefault="00000000" w:rsidRPr="00000000" w14:paraId="0000004D">
      <w:pPr>
        <w:numPr>
          <w:ilvl w:val="0"/>
          <w:numId w:val="6"/>
        </w:numPr>
        <w:spacing w:after="0" w:afterAutospacing="0" w:before="0" w:beforeAutospacing="0"/>
        <w:ind w:left="720" w:hanging="360"/>
        <w:rPr>
          <w:u w:val="none"/>
        </w:rPr>
      </w:pPr>
      <w:r w:rsidDel="00000000" w:rsidR="00000000" w:rsidRPr="00000000">
        <w:rPr>
          <w:rtl w:val="0"/>
        </w:rPr>
        <w:t xml:space="preserve">Increased focus on adoption of policies and procedures to enhance privacy and storage.</w:t>
      </w:r>
    </w:p>
    <w:p w:rsidR="00000000" w:rsidDel="00000000" w:rsidP="00000000" w:rsidRDefault="00000000" w:rsidRPr="00000000" w14:paraId="0000004E">
      <w:pPr>
        <w:pageBreakBefore w:val="0"/>
        <w:numPr>
          <w:ilvl w:val="0"/>
          <w:numId w:val="6"/>
        </w:numPr>
        <w:spacing w:before="0" w:beforeAutospacing="0"/>
        <w:ind w:left="720" w:hanging="360"/>
        <w:rPr>
          <w:u w:val="none"/>
        </w:rPr>
      </w:pPr>
      <w:r w:rsidDel="00000000" w:rsidR="00000000" w:rsidRPr="00000000">
        <w:rPr>
          <w:rtl w:val="0"/>
        </w:rPr>
        <w:t xml:space="preserve">Agencies must update their ICAM policies that previously provided an insufficient level of assurance and align to NIST Special Publication (SP) 800-63 guidelines, and other standards/guidance released by NIST, the Office of Personnel Management (OPM), and the Department of Homeland Security (DHS) to form a comprehensive approach to identity management.</w:t>
      </w:r>
      <w:r w:rsidDel="00000000" w:rsidR="00000000" w:rsidRPr="00000000">
        <w:rPr>
          <w:rtl w:val="0"/>
        </w:rPr>
      </w:r>
    </w:p>
    <w:tbl>
      <w:tblPr>
        <w:tblStyle w:val="Table3"/>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675"/>
        <w:gridCol w:w="4675"/>
        <w:tblGridChange w:id="0">
          <w:tblGrid>
            <w:gridCol w:w="4675"/>
            <w:gridCol w:w="4675"/>
          </w:tblGrid>
        </w:tblGridChange>
      </w:tblGrid>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F">
            <w:pPr>
              <w:spacing w:line="276" w:lineRule="auto"/>
              <w:rPr>
                <w:b w:val="1"/>
              </w:rPr>
            </w:pPr>
            <w:r w:rsidDel="00000000" w:rsidR="00000000" w:rsidRPr="00000000">
              <w:rPr>
                <w:b w:val="1"/>
                <w:rtl w:val="0"/>
              </w:rPr>
              <w:t xml:space="preserve">Gap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50">
            <w:pPr>
              <w:spacing w:line="276" w:lineRule="auto"/>
              <w:rPr>
                <w:b w:val="1"/>
              </w:rPr>
            </w:pPr>
            <w:r w:rsidDel="00000000" w:rsidR="00000000" w:rsidRPr="00000000">
              <w:rPr>
                <w:b w:val="1"/>
                <w:rtl w:val="0"/>
              </w:rPr>
              <w:t xml:space="preserve">Recommendations</w:t>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pageBreakBefore w:val="0"/>
              <w:spacing w:line="276" w:lineRule="auto"/>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pageBreakBefore w:val="0"/>
              <w:spacing w:line="276" w:lineRule="auto"/>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pageBreakBefore w:val="0"/>
              <w:spacing w:line="276" w:lineRule="auto"/>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pageBreakBefore w:val="0"/>
              <w:spacing w:line="276" w:lineRule="auto"/>
              <w:rPr/>
            </w:pPr>
            <w:r w:rsidDel="00000000" w:rsidR="00000000" w:rsidRPr="00000000">
              <w:rPr>
                <w:rtl w:val="0"/>
              </w:rPr>
            </w:r>
          </w:p>
        </w:tc>
      </w:tr>
      <w:tr>
        <w:trPr>
          <w:cantSplit w:val="0"/>
          <w:trHeight w:val="49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pageBreakBefore w:val="0"/>
              <w:spacing w:line="276" w:lineRule="auto"/>
              <w:rPr/>
            </w:pPr>
            <w:r w:rsidDel="00000000" w:rsidR="00000000" w:rsidRPr="00000000">
              <w:rPr>
                <w:rtl w:val="0"/>
              </w:rPr>
            </w:r>
          </w:p>
        </w:tc>
      </w:tr>
    </w:tbl>
    <w:p w:rsidR="00000000" w:rsidDel="00000000" w:rsidP="00000000" w:rsidRDefault="00000000" w:rsidRPr="00000000" w14:paraId="0000005B">
      <w:pPr>
        <w:spacing w:line="276" w:lineRule="auto"/>
        <w:rPr>
          <w:rFonts w:ascii="Arial" w:cs="Arial" w:eastAsia="Arial" w:hAnsi="Arial"/>
          <w:b w:val="1"/>
          <w:sz w:val="20"/>
          <w:szCs w:val="20"/>
        </w:rPr>
      </w:pPr>
      <w:bookmarkStart w:colFirst="0" w:colLast="0" w:name="_1t3h5sf" w:id="7"/>
      <w:bookmarkEnd w:id="7"/>
      <w:r w:rsidDel="00000000" w:rsidR="00000000" w:rsidRPr="00000000">
        <w:rPr>
          <w:rtl w:val="0"/>
        </w:rPr>
      </w:r>
    </w:p>
    <w:p w:rsidR="00000000" w:rsidDel="00000000" w:rsidP="00000000" w:rsidRDefault="00000000" w:rsidRPr="00000000" w14:paraId="0000005C">
      <w:pPr>
        <w:pStyle w:val="Heading1"/>
        <w:numPr>
          <w:ilvl w:val="0"/>
          <w:numId w:val="10"/>
        </w:numPr>
        <w:tabs>
          <w:tab w:val="left" w:pos="720"/>
        </w:tabs>
        <w:spacing w:line="276" w:lineRule="auto"/>
        <w:ind w:left="360" w:hanging="360"/>
        <w:rPr>
          <w:sz w:val="24"/>
          <w:szCs w:val="24"/>
        </w:rPr>
      </w:pPr>
      <w:bookmarkStart w:colFirst="0" w:colLast="0" w:name="_4d34og8" w:id="8"/>
      <w:bookmarkEnd w:id="8"/>
      <w:r w:rsidDel="00000000" w:rsidR="00000000" w:rsidRPr="00000000">
        <w:rPr>
          <w:sz w:val="24"/>
          <w:szCs w:val="24"/>
          <w:rtl w:val="0"/>
        </w:rPr>
        <w:t xml:space="preserve">III. Adapting the Government’s Approach to Homeland Security Presidential Directive 12 (HSPD-12)</w:t>
      </w:r>
    </w:p>
    <w:p w:rsidR="00000000" w:rsidDel="00000000" w:rsidP="00000000" w:rsidRDefault="00000000" w:rsidRPr="00000000" w14:paraId="0000005D">
      <w:pPr>
        <w:numPr>
          <w:ilvl w:val="0"/>
          <w:numId w:val="2"/>
        </w:numPr>
        <w:spacing w:after="0" w:afterAutospacing="0"/>
        <w:ind w:left="720" w:hanging="360"/>
        <w:rPr>
          <w:u w:val="none"/>
        </w:rPr>
      </w:pPr>
      <w:r w:rsidDel="00000000" w:rsidR="00000000" w:rsidRPr="00000000">
        <w:rPr>
          <w:rtl w:val="0"/>
        </w:rPr>
        <w:t xml:space="preserve">Although HSPD-12 and Personal Identity Verification (PIV) remains the government-wide standard, agencies must adapt to the changing technology and offer flexible solutions.</w:t>
      </w:r>
    </w:p>
    <w:p w:rsidR="00000000" w:rsidDel="00000000" w:rsidP="00000000" w:rsidRDefault="00000000" w:rsidRPr="00000000" w14:paraId="0000005E">
      <w:pPr>
        <w:numPr>
          <w:ilvl w:val="1"/>
          <w:numId w:val="2"/>
        </w:numPr>
        <w:spacing w:after="0" w:afterAutospacing="0" w:before="0" w:beforeAutospacing="0"/>
        <w:ind w:left="1440" w:hanging="360"/>
        <w:rPr>
          <w:u w:val="none"/>
        </w:rPr>
      </w:pPr>
      <w:r w:rsidDel="00000000" w:rsidR="00000000" w:rsidRPr="00000000">
        <w:rPr>
          <w:rtl w:val="0"/>
        </w:rPr>
        <w:t xml:space="preserve">Agencies shall use PIV credentials as the primary means of identification and authentication for access to Federal systems and facilities.</w:t>
      </w:r>
    </w:p>
    <w:p w:rsidR="00000000" w:rsidDel="00000000" w:rsidP="00000000" w:rsidRDefault="00000000" w:rsidRPr="00000000" w14:paraId="0000005F">
      <w:pPr>
        <w:numPr>
          <w:ilvl w:val="1"/>
          <w:numId w:val="2"/>
        </w:numPr>
        <w:spacing w:after="0" w:afterAutospacing="0" w:before="0" w:beforeAutospacing="0"/>
        <w:ind w:left="1440" w:hanging="360"/>
        <w:rPr>
          <w:u w:val="none"/>
        </w:rPr>
      </w:pPr>
      <w:r w:rsidDel="00000000" w:rsidR="00000000" w:rsidRPr="00000000">
        <w:rPr>
          <w:rtl w:val="0"/>
        </w:rPr>
        <w:t xml:space="preserve">Agencies shall use PIV credentials for physical access to facilities in accordance with NIST SP 800-116 R1.</w:t>
      </w:r>
    </w:p>
    <w:p w:rsidR="00000000" w:rsidDel="00000000" w:rsidP="00000000" w:rsidRDefault="00000000" w:rsidRPr="00000000" w14:paraId="00000060">
      <w:pPr>
        <w:numPr>
          <w:ilvl w:val="1"/>
          <w:numId w:val="2"/>
        </w:numPr>
        <w:spacing w:after="0" w:afterAutospacing="0" w:before="0" w:beforeAutospacing="0"/>
        <w:ind w:left="1440" w:hanging="360"/>
        <w:rPr>
          <w:u w:val="none"/>
        </w:rPr>
      </w:pPr>
      <w:r w:rsidDel="00000000" w:rsidR="00000000" w:rsidRPr="00000000">
        <w:rPr>
          <w:rtl w:val="0"/>
        </w:rPr>
        <w:t xml:space="preserve">Agencies shall implement access control processes to authorize and revoke privileges in a timely manner.</w:t>
      </w:r>
    </w:p>
    <w:p w:rsidR="00000000" w:rsidDel="00000000" w:rsidP="00000000" w:rsidRDefault="00000000" w:rsidRPr="00000000" w14:paraId="00000061">
      <w:pPr>
        <w:numPr>
          <w:ilvl w:val="0"/>
          <w:numId w:val="2"/>
        </w:numPr>
        <w:spacing w:after="0" w:afterAutospacing="0" w:before="0" w:beforeAutospacing="0"/>
        <w:ind w:left="720" w:hanging="360"/>
        <w:rPr>
          <w:u w:val="none"/>
        </w:rPr>
      </w:pPr>
      <w:r w:rsidDel="00000000" w:rsidR="00000000" w:rsidRPr="00000000">
        <w:rPr>
          <w:rtl w:val="0"/>
        </w:rPr>
        <w:t xml:space="preserve">Agencies must support cross-government identity federation and interoperability by remediating obstacles to accepting other agencies’ PIV credentials.</w:t>
      </w:r>
    </w:p>
    <w:p w:rsidR="00000000" w:rsidDel="00000000" w:rsidP="00000000" w:rsidRDefault="00000000" w:rsidRPr="00000000" w14:paraId="00000062">
      <w:pPr>
        <w:numPr>
          <w:ilvl w:val="0"/>
          <w:numId w:val="2"/>
        </w:numPr>
        <w:spacing w:after="0" w:afterAutospacing="0" w:before="0" w:beforeAutospacing="0"/>
        <w:ind w:left="720" w:hanging="360"/>
        <w:rPr>
          <w:u w:val="none"/>
        </w:rPr>
      </w:pPr>
      <w:r w:rsidDel="00000000" w:rsidR="00000000" w:rsidRPr="00000000">
        <w:rPr>
          <w:rtl w:val="0"/>
        </w:rPr>
        <w:t xml:space="preserve">Agencies must establish capabilities aligned to the Federal ICAM Architecture and CDM requirements.</w:t>
      </w:r>
    </w:p>
    <w:p w:rsidR="00000000" w:rsidDel="00000000" w:rsidP="00000000" w:rsidRDefault="00000000" w:rsidRPr="00000000" w14:paraId="00000063">
      <w:pPr>
        <w:pageBreakBefore w:val="0"/>
        <w:numPr>
          <w:ilvl w:val="0"/>
          <w:numId w:val="2"/>
        </w:numPr>
        <w:spacing w:before="0" w:beforeAutospacing="0"/>
        <w:ind w:left="720" w:hanging="360"/>
        <w:rPr>
          <w:u w:val="none"/>
        </w:rPr>
      </w:pPr>
      <w:r w:rsidDel="00000000" w:rsidR="00000000" w:rsidRPr="00000000">
        <w:rPr>
          <w:rtl w:val="0"/>
        </w:rPr>
        <w:t xml:space="preserve">Agencies must require and implement PIV credential digital signature capability, and should use PIV credentials to encrypt information in transit</w:t>
      </w:r>
      <w:r w:rsidDel="00000000" w:rsidR="00000000" w:rsidRPr="00000000">
        <w:rPr>
          <w:rtl w:val="0"/>
        </w:rPr>
      </w:r>
    </w:p>
    <w:tbl>
      <w:tblPr>
        <w:tblStyle w:val="Table4"/>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675"/>
        <w:gridCol w:w="4675"/>
        <w:tblGridChange w:id="0">
          <w:tblGrid>
            <w:gridCol w:w="4675"/>
            <w:gridCol w:w="4675"/>
          </w:tblGrid>
        </w:tblGridChange>
      </w:tblGrid>
      <w:tr>
        <w:trPr>
          <w:cantSplit w:val="0"/>
          <w:trHeight w:val="476"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4">
            <w:pPr>
              <w:spacing w:line="276" w:lineRule="auto"/>
              <w:rPr>
                <w:b w:val="1"/>
              </w:rPr>
            </w:pPr>
            <w:r w:rsidDel="00000000" w:rsidR="00000000" w:rsidRPr="00000000">
              <w:rPr>
                <w:b w:val="1"/>
                <w:rtl w:val="0"/>
              </w:rPr>
              <w:t xml:space="preserve">Gap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65">
            <w:pPr>
              <w:spacing w:line="276" w:lineRule="auto"/>
              <w:rPr>
                <w:b w:val="1"/>
              </w:rPr>
            </w:pPr>
            <w:r w:rsidDel="00000000" w:rsidR="00000000" w:rsidRPr="00000000">
              <w:rPr>
                <w:b w:val="1"/>
                <w:rtl w:val="0"/>
              </w:rPr>
              <w:t xml:space="preserve">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pageBreakBefore w:val="0"/>
              <w:spacing w:line="276" w:lineRule="auto"/>
              <w:rPr/>
            </w:pPr>
            <w:r w:rsidDel="00000000" w:rsidR="00000000" w:rsidRPr="00000000">
              <w:rPr>
                <w:rtl w:val="0"/>
              </w:rPr>
            </w:r>
          </w:p>
        </w:tc>
      </w:tr>
    </w:tbl>
    <w:p w:rsidR="00000000" w:rsidDel="00000000" w:rsidP="00000000" w:rsidRDefault="00000000" w:rsidRPr="00000000" w14:paraId="00000070">
      <w:pPr>
        <w:pStyle w:val="Heading1"/>
        <w:numPr>
          <w:ilvl w:val="0"/>
          <w:numId w:val="10"/>
        </w:numPr>
        <w:tabs>
          <w:tab w:val="left" w:pos="720"/>
        </w:tabs>
        <w:spacing w:line="276" w:lineRule="auto"/>
        <w:ind w:left="360" w:hanging="360"/>
        <w:rPr>
          <w:sz w:val="24"/>
          <w:szCs w:val="24"/>
        </w:rPr>
      </w:pPr>
      <w:bookmarkStart w:colFirst="0" w:colLast="0" w:name="_2s8eyo1" w:id="9"/>
      <w:bookmarkEnd w:id="9"/>
      <w:r w:rsidDel="00000000" w:rsidR="00000000" w:rsidRPr="00000000">
        <w:rPr>
          <w:sz w:val="24"/>
          <w:szCs w:val="24"/>
          <w:rtl w:val="0"/>
        </w:rPr>
        <w:t xml:space="preserve">IV. Shifting the Operating Model beyond the Perimeter</w:t>
      </w:r>
    </w:p>
    <w:p w:rsidR="00000000" w:rsidDel="00000000" w:rsidP="00000000" w:rsidRDefault="00000000" w:rsidRPr="00000000" w14:paraId="00000071">
      <w:pPr>
        <w:pStyle w:val="Heading2"/>
        <w:numPr>
          <w:ilvl w:val="1"/>
          <w:numId w:val="10"/>
        </w:numPr>
        <w:tabs>
          <w:tab w:val="left" w:pos="900"/>
        </w:tabs>
        <w:spacing w:line="276" w:lineRule="auto"/>
        <w:ind w:left="907" w:hanging="907"/>
        <w:rPr/>
      </w:pPr>
      <w:bookmarkStart w:colFirst="0" w:colLast="0" w:name="_17dp8vu" w:id="10"/>
      <w:bookmarkEnd w:id="10"/>
      <w:r w:rsidDel="00000000" w:rsidR="00000000" w:rsidRPr="00000000">
        <w:rPr>
          <w:sz w:val="22"/>
          <w:szCs w:val="22"/>
          <w:rtl w:val="0"/>
        </w:rPr>
        <w:t xml:space="preserve">Gov</w:t>
      </w:r>
      <w:r w:rsidDel="00000000" w:rsidR="00000000" w:rsidRPr="00000000">
        <w:rPr>
          <w:sz w:val="24"/>
          <w:szCs w:val="24"/>
          <w:rtl w:val="0"/>
        </w:rPr>
        <w:t xml:space="preserve">ernance</w:t>
      </w:r>
    </w:p>
    <w:p w:rsidR="00000000" w:rsidDel="00000000" w:rsidP="00000000" w:rsidRDefault="00000000" w:rsidRPr="00000000" w14:paraId="00000072">
      <w:pPr>
        <w:numPr>
          <w:ilvl w:val="0"/>
          <w:numId w:val="1"/>
        </w:numPr>
        <w:spacing w:after="0" w:afterAutospacing="0"/>
        <w:ind w:left="720" w:hanging="360"/>
        <w:rPr>
          <w:u w:val="none"/>
        </w:rPr>
      </w:pPr>
      <w:r w:rsidDel="00000000" w:rsidR="00000000" w:rsidRPr="00000000">
        <w:rPr>
          <w:rtl w:val="0"/>
        </w:rPr>
        <w:t xml:space="preserve">Designate agency wide ICAM office, team or other governance structure with personnel from designated offices to maintain ICAM processes.</w:t>
      </w:r>
    </w:p>
    <w:p w:rsidR="00000000" w:rsidDel="00000000" w:rsidP="00000000" w:rsidRDefault="00000000" w:rsidRPr="00000000" w14:paraId="00000073">
      <w:pPr>
        <w:numPr>
          <w:ilvl w:val="0"/>
          <w:numId w:val="1"/>
        </w:numPr>
        <w:spacing w:after="0" w:afterAutospacing="0" w:before="0" w:beforeAutospacing="0"/>
        <w:ind w:left="720" w:hanging="360"/>
        <w:rPr>
          <w:u w:val="none"/>
        </w:rPr>
      </w:pPr>
      <w:r w:rsidDel="00000000" w:rsidR="00000000" w:rsidRPr="00000000">
        <w:rPr>
          <w:rtl w:val="0"/>
        </w:rPr>
        <w:t xml:space="preserve">Chief Operating Officer (COO) or agency equivalent is responsible for ensuring coordination for implementation, management, and maintenance of the agency’s ICAM policies, processes, and technologies.   </w:t>
      </w:r>
    </w:p>
    <w:p w:rsidR="00000000" w:rsidDel="00000000" w:rsidP="00000000" w:rsidRDefault="00000000" w:rsidRPr="00000000" w14:paraId="00000074">
      <w:pPr>
        <w:numPr>
          <w:ilvl w:val="0"/>
          <w:numId w:val="1"/>
        </w:numPr>
        <w:spacing w:after="0" w:afterAutospacing="0" w:before="0" w:beforeAutospacing="0"/>
        <w:ind w:left="720" w:hanging="360"/>
        <w:rPr>
          <w:u w:val="none"/>
        </w:rPr>
      </w:pPr>
      <w:r w:rsidDel="00000000" w:rsidR="00000000" w:rsidRPr="00000000">
        <w:rPr>
          <w:rtl w:val="0"/>
        </w:rPr>
        <w:t xml:space="preserve">Agencies must define an ICAM solution roadmap aligned with the Federal ICAM and CDM requirements and outline the performance expectations for security and privacy that will support the President’s Management Agenda (PMA) and Cross Agency Priority (CAP) goals, and review progress with OMB per OMB Circular A-11.</w:t>
      </w:r>
    </w:p>
    <w:p w:rsidR="00000000" w:rsidDel="00000000" w:rsidP="00000000" w:rsidRDefault="00000000" w:rsidRPr="00000000" w14:paraId="00000075">
      <w:pPr>
        <w:numPr>
          <w:ilvl w:val="0"/>
          <w:numId w:val="1"/>
        </w:numPr>
        <w:spacing w:after="0" w:afterAutospacing="0" w:before="0" w:beforeAutospacing="0"/>
        <w:ind w:left="720" w:hanging="360"/>
        <w:rPr>
          <w:u w:val="none"/>
        </w:rPr>
      </w:pPr>
      <w:r w:rsidDel="00000000" w:rsidR="00000000" w:rsidRPr="00000000">
        <w:rPr>
          <w:rtl w:val="0"/>
        </w:rPr>
        <w:t xml:space="preserve">Agencies must incorporate Digital Identity Risk Management into existing processes as outlined in NIST SP 800-63, including the following activities:</w:t>
      </w:r>
    </w:p>
    <w:p w:rsidR="00000000" w:rsidDel="00000000" w:rsidP="00000000" w:rsidRDefault="00000000" w:rsidRPr="00000000" w14:paraId="00000076">
      <w:pPr>
        <w:numPr>
          <w:ilvl w:val="1"/>
          <w:numId w:val="1"/>
        </w:numPr>
        <w:spacing w:after="0" w:afterAutospacing="0" w:before="0" w:beforeAutospacing="0"/>
        <w:ind w:left="1440" w:hanging="360"/>
        <w:rPr>
          <w:u w:val="none"/>
        </w:rPr>
      </w:pPr>
      <w:r w:rsidDel="00000000" w:rsidR="00000000" w:rsidRPr="00000000">
        <w:rPr>
          <w:rtl w:val="0"/>
        </w:rPr>
        <w:t xml:space="preserve">Use these risk levels for making solution decisions.</w:t>
      </w:r>
    </w:p>
    <w:p w:rsidR="00000000" w:rsidDel="00000000" w:rsidP="00000000" w:rsidRDefault="00000000" w:rsidRPr="00000000" w14:paraId="00000077">
      <w:pPr>
        <w:numPr>
          <w:ilvl w:val="1"/>
          <w:numId w:val="1"/>
        </w:numPr>
        <w:spacing w:after="0" w:afterAutospacing="0" w:before="0" w:beforeAutospacing="0"/>
        <w:ind w:left="1440" w:hanging="360"/>
        <w:rPr>
          <w:u w:val="none"/>
        </w:rPr>
      </w:pPr>
      <w:r w:rsidDel="00000000" w:rsidR="00000000" w:rsidRPr="00000000">
        <w:rPr>
          <w:rtl w:val="0"/>
        </w:rPr>
        <w:t xml:space="preserve">Update legacy e-Authentication risk assessments.</w:t>
      </w:r>
    </w:p>
    <w:p w:rsidR="00000000" w:rsidDel="00000000" w:rsidP="00000000" w:rsidRDefault="00000000" w:rsidRPr="00000000" w14:paraId="00000078">
      <w:pPr>
        <w:numPr>
          <w:ilvl w:val="1"/>
          <w:numId w:val="1"/>
        </w:numPr>
        <w:spacing w:after="0" w:afterAutospacing="0" w:before="0" w:beforeAutospacing="0"/>
        <w:ind w:left="1440" w:hanging="360"/>
        <w:rPr>
          <w:u w:val="none"/>
        </w:rPr>
      </w:pPr>
      <w:r w:rsidDel="00000000" w:rsidR="00000000" w:rsidRPr="00000000">
        <w:rPr>
          <w:rtl w:val="0"/>
        </w:rPr>
        <w:t xml:space="preserve">Coordinate with state, local and tribal governments to provide identity verification.</w:t>
      </w:r>
    </w:p>
    <w:p w:rsidR="00000000" w:rsidDel="00000000" w:rsidP="00000000" w:rsidRDefault="00000000" w:rsidRPr="00000000" w14:paraId="00000079">
      <w:pPr>
        <w:numPr>
          <w:ilvl w:val="1"/>
          <w:numId w:val="1"/>
        </w:numPr>
        <w:spacing w:before="0" w:beforeAutospacing="0"/>
        <w:ind w:left="1440" w:hanging="360"/>
        <w:rPr>
          <w:u w:val="none"/>
        </w:rPr>
      </w:pPr>
      <w:r w:rsidDel="00000000" w:rsidR="00000000" w:rsidRPr="00000000">
        <w:rPr>
          <w:rtl w:val="0"/>
        </w:rPr>
        <w:t xml:space="preserve">Share feedback on Digital Identity Risk Management Process implementation with Federal Chief Information Officer (CIO) Council, Federal Privacy Council and NIST.</w:t>
      </w:r>
    </w:p>
    <w:p w:rsidR="00000000" w:rsidDel="00000000" w:rsidP="00000000" w:rsidRDefault="00000000" w:rsidRPr="00000000" w14:paraId="0000007A">
      <w:pPr>
        <w:pStyle w:val="Heading2"/>
        <w:numPr>
          <w:ilvl w:val="1"/>
          <w:numId w:val="10"/>
        </w:numPr>
        <w:tabs>
          <w:tab w:val="left" w:pos="900"/>
        </w:tabs>
        <w:spacing w:line="276" w:lineRule="auto"/>
        <w:ind w:left="907" w:hanging="907"/>
        <w:rPr/>
      </w:pPr>
      <w:bookmarkStart w:colFirst="0" w:colLast="0" w:name="_3rdcrjn" w:id="11"/>
      <w:bookmarkEnd w:id="11"/>
      <w:r w:rsidDel="00000000" w:rsidR="00000000" w:rsidRPr="00000000">
        <w:rPr>
          <w:sz w:val="22"/>
          <w:szCs w:val="22"/>
          <w:rtl w:val="0"/>
        </w:rPr>
        <w:t xml:space="preserve">Architecture</w:t>
      </w:r>
    </w:p>
    <w:p w:rsidR="00000000" w:rsidDel="00000000" w:rsidP="00000000" w:rsidRDefault="00000000" w:rsidRPr="00000000" w14:paraId="0000007B">
      <w:pPr>
        <w:numPr>
          <w:ilvl w:val="0"/>
          <w:numId w:val="5"/>
        </w:numPr>
        <w:spacing w:after="0" w:afterAutospacing="0"/>
        <w:ind w:left="720" w:hanging="360"/>
        <w:rPr>
          <w:u w:val="none"/>
        </w:rPr>
      </w:pPr>
      <w:r w:rsidDel="00000000" w:rsidR="00000000" w:rsidRPr="00000000">
        <w:rPr>
          <w:rtl w:val="0"/>
        </w:rPr>
        <w:t xml:space="preserve">Agencies shall establish authoritative solutions for their ICAM services by rationalizing the ICAM capabilities they will keep, replace, consolidate, etc., and should promote flexible, scalable, and interchangeable solutions to work across agencies including commercial systems and leverage open APIs.</w:t>
      </w:r>
    </w:p>
    <w:p w:rsidR="00000000" w:rsidDel="00000000" w:rsidP="00000000" w:rsidRDefault="00000000" w:rsidRPr="00000000" w14:paraId="0000007C">
      <w:pPr>
        <w:pageBreakBefore w:val="0"/>
        <w:numPr>
          <w:ilvl w:val="0"/>
          <w:numId w:val="5"/>
        </w:numPr>
        <w:spacing w:after="0" w:afterAutospacing="0" w:before="0" w:beforeAutospacing="0"/>
        <w:ind w:left="720" w:hanging="360"/>
        <w:rPr>
          <w:u w:val="none"/>
        </w:rPr>
      </w:pPr>
      <w:r w:rsidDel="00000000" w:rsidR="00000000" w:rsidRPr="00000000">
        <w:rPr>
          <w:rtl w:val="0"/>
        </w:rPr>
        <w:t xml:space="preserve">Agencies shall manage the digital identity lifecycle of devices, NPEs, and automated technologies, and control credentials.</w:t>
      </w:r>
    </w:p>
    <w:p w:rsidR="00000000" w:rsidDel="00000000" w:rsidP="00000000" w:rsidRDefault="00000000" w:rsidRPr="00000000" w14:paraId="0000007D">
      <w:pPr>
        <w:pageBreakBefore w:val="0"/>
        <w:numPr>
          <w:ilvl w:val="0"/>
          <w:numId w:val="5"/>
        </w:numPr>
        <w:spacing w:after="0" w:afterAutospacing="0" w:before="0" w:beforeAutospacing="0"/>
        <w:ind w:left="720" w:hanging="360"/>
        <w:rPr>
          <w:u w:val="none"/>
        </w:rPr>
      </w:pPr>
      <w:r w:rsidDel="00000000" w:rsidR="00000000" w:rsidRPr="00000000">
        <w:rPr>
          <w:rtl w:val="0"/>
        </w:rPr>
        <w:t xml:space="preserve">Agencies that are authoritative sources for attributes utilized in identity proofing events, shall establish privacy-enhanced data validation APIs for public and private sector access based on consumer consent.</w:t>
      </w:r>
    </w:p>
    <w:p w:rsidR="00000000" w:rsidDel="00000000" w:rsidP="00000000" w:rsidRDefault="00000000" w:rsidRPr="00000000" w14:paraId="0000007E">
      <w:pPr>
        <w:pageBreakBefore w:val="0"/>
        <w:numPr>
          <w:ilvl w:val="0"/>
          <w:numId w:val="5"/>
        </w:numPr>
        <w:spacing w:before="0" w:beforeAutospacing="0"/>
        <w:ind w:left="720" w:hanging="360"/>
        <w:rPr>
          <w:u w:val="none"/>
        </w:rPr>
      </w:pPr>
      <w:r w:rsidDel="00000000" w:rsidR="00000000" w:rsidRPr="00000000">
        <w:rPr>
          <w:rtl w:val="0"/>
        </w:rPr>
        <w:t xml:space="preserve">Agencies shall leverage federated solutions to accept identity and authentication assertions.</w:t>
      </w:r>
      <w:r w:rsidDel="00000000" w:rsidR="00000000" w:rsidRPr="00000000">
        <w:rPr>
          <w:rtl w:val="0"/>
        </w:rPr>
      </w:r>
    </w:p>
    <w:p w:rsidR="00000000" w:rsidDel="00000000" w:rsidP="00000000" w:rsidRDefault="00000000" w:rsidRPr="00000000" w14:paraId="0000007F">
      <w:pPr>
        <w:pStyle w:val="Heading2"/>
        <w:pageBreakBefore w:val="0"/>
        <w:numPr>
          <w:ilvl w:val="1"/>
          <w:numId w:val="10"/>
        </w:numPr>
        <w:tabs>
          <w:tab w:val="left" w:pos="900"/>
        </w:tabs>
        <w:spacing w:line="276" w:lineRule="auto"/>
        <w:ind w:left="907" w:hanging="907"/>
        <w:rPr/>
      </w:pPr>
      <w:bookmarkStart w:colFirst="0" w:colLast="0" w:name="_26in1rg" w:id="12"/>
      <w:bookmarkEnd w:id="12"/>
      <w:r w:rsidDel="00000000" w:rsidR="00000000" w:rsidRPr="00000000">
        <w:rPr>
          <w:sz w:val="22"/>
          <w:szCs w:val="22"/>
          <w:rtl w:val="0"/>
        </w:rPr>
        <w:t xml:space="preserve">Acquisition</w:t>
      </w:r>
    </w:p>
    <w:p w:rsidR="00000000" w:rsidDel="00000000" w:rsidP="00000000" w:rsidRDefault="00000000" w:rsidRPr="00000000" w14:paraId="00000080">
      <w:pPr>
        <w:pageBreakBefore w:val="0"/>
        <w:numPr>
          <w:ilvl w:val="0"/>
          <w:numId w:val="3"/>
        </w:numPr>
        <w:spacing w:after="0" w:afterAutospacing="0"/>
        <w:ind w:left="720" w:hanging="360"/>
        <w:rPr>
          <w:u w:val="none"/>
        </w:rPr>
      </w:pPr>
      <w:r w:rsidDel="00000000" w:rsidR="00000000" w:rsidRPr="00000000">
        <w:rPr>
          <w:rtl w:val="0"/>
        </w:rPr>
        <w:t xml:space="preserve">Agencies shall require all contractors that will have access to facilities or systems to comply with HSPD-12 and Federal Information Protection Services (FIPS) 201.</w:t>
      </w:r>
    </w:p>
    <w:p w:rsidR="00000000" w:rsidDel="00000000" w:rsidP="00000000" w:rsidRDefault="00000000" w:rsidRPr="00000000" w14:paraId="00000081">
      <w:pPr>
        <w:pageBreakBefore w:val="0"/>
        <w:numPr>
          <w:ilvl w:val="0"/>
          <w:numId w:val="3"/>
        </w:numPr>
        <w:spacing w:after="0" w:afterAutospacing="0" w:before="0" w:beforeAutospacing="0"/>
        <w:ind w:left="720" w:hanging="360"/>
        <w:rPr>
          <w:u w:val="none"/>
        </w:rPr>
      </w:pPr>
      <w:r w:rsidDel="00000000" w:rsidR="00000000" w:rsidRPr="00000000">
        <w:rPr>
          <w:rtl w:val="0"/>
        </w:rPr>
        <w:t xml:space="preserve">Agencies shall require products and services are compliant with OMB policy, NIST and tech specs.</w:t>
      </w:r>
    </w:p>
    <w:p w:rsidR="00000000" w:rsidDel="00000000" w:rsidP="00000000" w:rsidRDefault="00000000" w:rsidRPr="00000000" w14:paraId="00000082">
      <w:pPr>
        <w:pageBreakBefore w:val="0"/>
        <w:numPr>
          <w:ilvl w:val="0"/>
          <w:numId w:val="3"/>
        </w:numPr>
        <w:spacing w:after="0" w:afterAutospacing="0" w:before="0" w:beforeAutospacing="0"/>
        <w:ind w:left="720" w:hanging="360"/>
        <w:rPr>
          <w:u w:val="none"/>
        </w:rPr>
      </w:pPr>
      <w:r w:rsidDel="00000000" w:rsidR="00000000" w:rsidRPr="00000000">
        <w:rPr>
          <w:rtl w:val="0"/>
        </w:rPr>
        <w:t xml:space="preserve">Agencies shall leverage approved Tier 2 contract vehicles or federally provided shared services to procure digital certificates for identification and authentication.</w:t>
      </w:r>
    </w:p>
    <w:p w:rsidR="00000000" w:rsidDel="00000000" w:rsidP="00000000" w:rsidRDefault="00000000" w:rsidRPr="00000000" w14:paraId="00000083">
      <w:pPr>
        <w:pageBreakBefore w:val="0"/>
        <w:numPr>
          <w:ilvl w:val="0"/>
          <w:numId w:val="3"/>
        </w:numPr>
        <w:spacing w:before="0" w:beforeAutospacing="0"/>
        <w:ind w:left="720" w:hanging="360"/>
        <w:rPr>
          <w:u w:val="none"/>
        </w:rPr>
      </w:pPr>
      <w:r w:rsidDel="00000000" w:rsidR="00000000" w:rsidRPr="00000000">
        <w:rPr>
          <w:rtl w:val="0"/>
        </w:rPr>
        <w:t xml:space="preserve">Agencies shall leverage CDM Program to accelerate their procurement and deployment of tools and to identify future ICAM capabilities.</w:t>
      </w:r>
      <w:r w:rsidDel="00000000" w:rsidR="00000000" w:rsidRPr="00000000">
        <w:rPr>
          <w:rtl w:val="0"/>
        </w:rPr>
      </w:r>
    </w:p>
    <w:tbl>
      <w:tblPr>
        <w:tblStyle w:val="Table5"/>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102"/>
        <w:gridCol w:w="5248"/>
        <w:tblGridChange w:id="0">
          <w:tblGrid>
            <w:gridCol w:w="4102"/>
            <w:gridCol w:w="5248"/>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4">
            <w:pPr>
              <w:pageBreakBefore w:val="0"/>
              <w:spacing w:line="276" w:lineRule="auto"/>
              <w:rPr>
                <w:b w:val="1"/>
              </w:rPr>
            </w:pPr>
            <w:r w:rsidDel="00000000" w:rsidR="00000000" w:rsidRPr="00000000">
              <w:rPr>
                <w:b w:val="1"/>
                <w:rtl w:val="0"/>
              </w:rPr>
              <w:t xml:space="preserve">Gap Analysis</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85">
            <w:pPr>
              <w:pageBreakBefore w:val="0"/>
              <w:spacing w:line="276" w:lineRule="auto"/>
              <w:rPr>
                <w:b w:val="1"/>
              </w:rPr>
            </w:pPr>
            <w:r w:rsidDel="00000000" w:rsidR="00000000" w:rsidRPr="00000000">
              <w:rPr>
                <w:b w:val="1"/>
                <w:rtl w:val="0"/>
              </w:rPr>
              <w:t xml:space="preserve">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pageBreakBefore w:val="0"/>
              <w:spacing w:line="276" w:lineRule="auto"/>
              <w:rPr/>
            </w:pPr>
            <w:r w:rsidDel="00000000" w:rsidR="00000000" w:rsidRPr="00000000">
              <w:rPr>
                <w:rtl w:val="0"/>
              </w:rPr>
            </w:r>
          </w:p>
        </w:tc>
      </w:tr>
    </w:tbl>
    <w:p w:rsidR="00000000" w:rsidDel="00000000" w:rsidP="00000000" w:rsidRDefault="00000000" w:rsidRPr="00000000" w14:paraId="00000090">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91">
      <w:pPr>
        <w:pStyle w:val="Heading1"/>
        <w:numPr>
          <w:ilvl w:val="0"/>
          <w:numId w:val="10"/>
        </w:numPr>
        <w:tabs>
          <w:tab w:val="left" w:pos="720"/>
        </w:tabs>
        <w:spacing w:line="276" w:lineRule="auto"/>
        <w:ind w:left="360" w:hanging="360"/>
        <w:rPr>
          <w:sz w:val="24"/>
          <w:szCs w:val="24"/>
        </w:rPr>
      </w:pPr>
      <w:bookmarkStart w:colFirst="0" w:colLast="0" w:name="_lnxbz9" w:id="13"/>
      <w:bookmarkEnd w:id="13"/>
      <w:r w:rsidDel="00000000" w:rsidR="00000000" w:rsidRPr="00000000">
        <w:rPr>
          <w:sz w:val="24"/>
          <w:szCs w:val="24"/>
          <w:rtl w:val="0"/>
        </w:rPr>
        <w:t xml:space="preserve">V. Improving Digital Interactions with the American Public</w:t>
      </w:r>
    </w:p>
    <w:p w:rsidR="00000000" w:rsidDel="00000000" w:rsidP="00000000" w:rsidRDefault="00000000" w:rsidRPr="00000000" w14:paraId="00000092">
      <w:pPr>
        <w:numPr>
          <w:ilvl w:val="0"/>
          <w:numId w:val="11"/>
        </w:numPr>
        <w:spacing w:after="0" w:afterAutospacing="0"/>
        <w:ind w:left="720" w:hanging="360"/>
        <w:rPr>
          <w:u w:val="none"/>
        </w:rPr>
      </w:pPr>
      <w:r w:rsidDel="00000000" w:rsidR="00000000" w:rsidRPr="00000000">
        <w:rPr>
          <w:rtl w:val="0"/>
        </w:rPr>
        <w:t xml:space="preserve">Agencies shall ensure that identity proofing for Federal digital services provided to public consumers aligns with NIST and ICAM requirements.</w:t>
      </w:r>
    </w:p>
    <w:p w:rsidR="00000000" w:rsidDel="00000000" w:rsidP="00000000" w:rsidRDefault="00000000" w:rsidRPr="00000000" w14:paraId="00000093">
      <w:pPr>
        <w:numPr>
          <w:ilvl w:val="0"/>
          <w:numId w:val="11"/>
        </w:numPr>
        <w:spacing w:after="0" w:afterAutospacing="0" w:before="0" w:beforeAutospacing="0"/>
        <w:ind w:left="720" w:hanging="360"/>
        <w:rPr>
          <w:u w:val="none"/>
        </w:rPr>
      </w:pPr>
      <w:r w:rsidDel="00000000" w:rsidR="00000000" w:rsidRPr="00000000">
        <w:rPr>
          <w:rtl w:val="0"/>
        </w:rPr>
        <w:t xml:space="preserve">Agencies shall limit the collection of personally identifiable information (PII) for establishing identity to what is legally authorized and necessary. Once collected, PII must be protected.</w:t>
      </w:r>
    </w:p>
    <w:p w:rsidR="00000000" w:rsidDel="00000000" w:rsidP="00000000" w:rsidRDefault="00000000" w:rsidRPr="00000000" w14:paraId="00000094">
      <w:pPr>
        <w:numPr>
          <w:ilvl w:val="0"/>
          <w:numId w:val="11"/>
        </w:numPr>
        <w:spacing w:after="0" w:afterAutospacing="0" w:before="0" w:beforeAutospacing="0"/>
        <w:ind w:left="720" w:hanging="360"/>
        <w:rPr>
          <w:u w:val="none"/>
        </w:rPr>
      </w:pPr>
      <w:r w:rsidDel="00000000" w:rsidR="00000000" w:rsidRPr="00000000">
        <w:rPr>
          <w:rtl w:val="0"/>
        </w:rPr>
        <w:t xml:space="preserve">Agencies shall establish processes allowing an individual to bind, update, use, and disassociate non-government furnished authenticators to their digital identity.</w:t>
      </w:r>
    </w:p>
    <w:p w:rsidR="00000000" w:rsidDel="00000000" w:rsidP="00000000" w:rsidRDefault="00000000" w:rsidRPr="00000000" w14:paraId="00000095">
      <w:pPr>
        <w:numPr>
          <w:ilvl w:val="0"/>
          <w:numId w:val="11"/>
        </w:numPr>
        <w:spacing w:after="0" w:afterAutospacing="0" w:before="0" w:beforeAutospacing="0"/>
        <w:ind w:left="720" w:hanging="360"/>
        <w:rPr>
          <w:u w:val="none"/>
        </w:rPr>
      </w:pPr>
      <w:r w:rsidDel="00000000" w:rsidR="00000000" w:rsidRPr="00000000">
        <w:rPr>
          <w:rtl w:val="0"/>
        </w:rPr>
        <w:t xml:space="preserve">Agencies shall leverage existing credentials and identity federations that meet the agency’s acceptable risk level rather than standing up processes or capabilities to issue new user credentials.</w:t>
      </w:r>
    </w:p>
    <w:p w:rsidR="00000000" w:rsidDel="00000000" w:rsidP="00000000" w:rsidRDefault="00000000" w:rsidRPr="00000000" w14:paraId="00000096">
      <w:pPr>
        <w:numPr>
          <w:ilvl w:val="0"/>
          <w:numId w:val="11"/>
        </w:numPr>
        <w:spacing w:after="0" w:afterAutospacing="0" w:before="0" w:beforeAutospacing="0"/>
        <w:ind w:left="720" w:hanging="360"/>
        <w:rPr>
          <w:u w:val="none"/>
        </w:rPr>
      </w:pPr>
      <w:r w:rsidDel="00000000" w:rsidR="00000000" w:rsidRPr="00000000">
        <w:rPr>
          <w:rtl w:val="0"/>
        </w:rPr>
        <w:t xml:space="preserve">Agencies shall use Federally provided or commercially provided shared services to deliver identity assurance and authentication services to the public, and should use shared service providers that leverage more than one solution.</w:t>
      </w:r>
    </w:p>
    <w:p w:rsidR="00000000" w:rsidDel="00000000" w:rsidP="00000000" w:rsidRDefault="00000000" w:rsidRPr="00000000" w14:paraId="00000097">
      <w:pPr>
        <w:numPr>
          <w:ilvl w:val="0"/>
          <w:numId w:val="11"/>
        </w:numPr>
        <w:spacing w:after="0" w:afterAutospacing="0" w:before="0" w:beforeAutospacing="0"/>
        <w:ind w:left="720" w:hanging="360"/>
        <w:rPr>
          <w:u w:val="none"/>
        </w:rPr>
      </w:pPr>
      <w:r w:rsidDel="00000000" w:rsidR="00000000" w:rsidRPr="00000000">
        <w:rPr>
          <w:rtl w:val="0"/>
        </w:rPr>
        <w:t xml:space="preserve">Agencies shall modify existing Privacy Act system of records when individuals consent is not available to reduce public burden.</w:t>
      </w:r>
    </w:p>
    <w:p w:rsidR="00000000" w:rsidDel="00000000" w:rsidP="00000000" w:rsidRDefault="00000000" w:rsidRPr="00000000" w14:paraId="00000098">
      <w:pPr>
        <w:pageBreakBefore w:val="0"/>
        <w:numPr>
          <w:ilvl w:val="0"/>
          <w:numId w:val="11"/>
        </w:numPr>
        <w:spacing w:before="0" w:beforeAutospacing="0"/>
        <w:ind w:left="720" w:hanging="360"/>
        <w:rPr>
          <w:u w:val="none"/>
        </w:rPr>
      </w:pPr>
      <w:r w:rsidDel="00000000" w:rsidR="00000000" w:rsidRPr="00000000">
        <w:rPr>
          <w:rtl w:val="0"/>
        </w:rPr>
        <w:t xml:space="preserve">Agencies shall solicit direct feedback from consumers to determine demand for products and services and use shared services when possible.</w:t>
      </w:r>
      <w:r w:rsidDel="00000000" w:rsidR="00000000" w:rsidRPr="00000000">
        <w:rPr>
          <w:rtl w:val="0"/>
        </w:rPr>
      </w:r>
    </w:p>
    <w:tbl>
      <w:tblPr>
        <w:tblStyle w:val="Table6"/>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675"/>
        <w:gridCol w:w="4675"/>
        <w:tblGridChange w:id="0">
          <w:tblGrid>
            <w:gridCol w:w="4675"/>
            <w:gridCol w:w="4675"/>
          </w:tblGrid>
        </w:tblGridChange>
      </w:tblGrid>
      <w:tr>
        <w:trPr>
          <w:cantSplit w:val="0"/>
          <w:trHeight w:val="530"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9">
            <w:pPr>
              <w:spacing w:line="276" w:lineRule="auto"/>
              <w:rPr>
                <w:b w:val="1"/>
              </w:rPr>
            </w:pPr>
            <w:r w:rsidDel="00000000" w:rsidR="00000000" w:rsidRPr="00000000">
              <w:rPr>
                <w:b w:val="1"/>
                <w:rtl w:val="0"/>
              </w:rPr>
              <w:t xml:space="preserve">Gap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A">
            <w:pPr>
              <w:spacing w:line="276" w:lineRule="auto"/>
              <w:rPr>
                <w:b w:val="1"/>
              </w:rPr>
            </w:pPr>
            <w:r w:rsidDel="00000000" w:rsidR="00000000" w:rsidRPr="00000000">
              <w:rPr>
                <w:b w:val="1"/>
                <w:rtl w:val="0"/>
              </w:rPr>
              <w:t xml:space="preserve">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pageBreakBefore w:val="0"/>
              <w:spacing w:line="276" w:lineRule="auto"/>
              <w:rPr/>
            </w:pPr>
            <w:r w:rsidDel="00000000" w:rsidR="00000000" w:rsidRPr="00000000">
              <w:rPr>
                <w:rtl w:val="0"/>
              </w:rPr>
            </w:r>
          </w:p>
        </w:tc>
      </w:tr>
    </w:tbl>
    <w:p w:rsidR="00000000" w:rsidDel="00000000" w:rsidP="00000000" w:rsidRDefault="00000000" w:rsidRPr="00000000" w14:paraId="000000A5">
      <w:pPr>
        <w:pStyle w:val="Heading1"/>
        <w:numPr>
          <w:ilvl w:val="0"/>
          <w:numId w:val="10"/>
        </w:numPr>
        <w:tabs>
          <w:tab w:val="left" w:pos="720"/>
        </w:tabs>
        <w:spacing w:line="276" w:lineRule="auto"/>
        <w:ind w:left="360" w:hanging="360"/>
        <w:rPr>
          <w:sz w:val="24"/>
          <w:szCs w:val="24"/>
        </w:rPr>
      </w:pPr>
      <w:bookmarkStart w:colFirst="0" w:colLast="0" w:name="_35nkun2" w:id="14"/>
      <w:bookmarkEnd w:id="14"/>
      <w:r w:rsidDel="00000000" w:rsidR="00000000" w:rsidRPr="00000000">
        <w:rPr>
          <w:sz w:val="24"/>
          <w:szCs w:val="24"/>
          <w:rtl w:val="0"/>
        </w:rPr>
        <w:t xml:space="preserve">VI. Enumerating Government-wide Responsibilities</w:t>
      </w:r>
    </w:p>
    <w:p w:rsidR="00000000" w:rsidDel="00000000" w:rsidP="00000000" w:rsidRDefault="00000000" w:rsidRPr="00000000" w14:paraId="000000A6">
      <w:pPr>
        <w:pStyle w:val="Heading2"/>
        <w:numPr>
          <w:ilvl w:val="1"/>
          <w:numId w:val="10"/>
        </w:numPr>
        <w:tabs>
          <w:tab w:val="left" w:pos="900"/>
        </w:tabs>
        <w:spacing w:line="276" w:lineRule="auto"/>
        <w:ind w:left="907" w:hanging="907"/>
        <w:rPr/>
      </w:pPr>
      <w:bookmarkStart w:colFirst="0" w:colLast="0" w:name="_1ksv4uv" w:id="15"/>
      <w:bookmarkEnd w:id="15"/>
      <w:r w:rsidDel="00000000" w:rsidR="00000000" w:rsidRPr="00000000">
        <w:rPr>
          <w:sz w:val="22"/>
          <w:szCs w:val="22"/>
          <w:rtl w:val="0"/>
        </w:rPr>
        <w:t xml:space="preserve">NIST is responsible for:</w:t>
      </w:r>
    </w:p>
    <w:p w:rsidR="00000000" w:rsidDel="00000000" w:rsidP="00000000" w:rsidRDefault="00000000" w:rsidRPr="00000000" w14:paraId="000000A7">
      <w:pPr>
        <w:numPr>
          <w:ilvl w:val="0"/>
          <w:numId w:val="4"/>
        </w:numPr>
        <w:spacing w:after="0" w:afterAutospacing="0"/>
        <w:ind w:left="720" w:hanging="360"/>
        <w:rPr>
          <w:u w:val="none"/>
        </w:rPr>
      </w:pPr>
      <w:r w:rsidDel="00000000" w:rsidR="00000000" w:rsidRPr="00000000">
        <w:rPr>
          <w:rtl w:val="0"/>
        </w:rPr>
        <w:t xml:space="preserve">Timelines and milestones for developing and updating guidance related to ICAM.</w:t>
      </w:r>
    </w:p>
    <w:p w:rsidR="00000000" w:rsidDel="00000000" w:rsidP="00000000" w:rsidRDefault="00000000" w:rsidRPr="00000000" w14:paraId="000000A8">
      <w:pPr>
        <w:numPr>
          <w:ilvl w:val="0"/>
          <w:numId w:val="4"/>
        </w:numPr>
        <w:spacing w:after="0" w:afterAutospacing="0" w:before="0" w:beforeAutospacing="0"/>
        <w:ind w:left="720" w:hanging="360"/>
        <w:rPr>
          <w:u w:val="none"/>
        </w:rPr>
      </w:pPr>
      <w:r w:rsidDel="00000000" w:rsidR="00000000" w:rsidRPr="00000000">
        <w:rPr>
          <w:rtl w:val="0"/>
        </w:rPr>
        <w:t xml:space="preserve">Guidance on the use of derived credentials in accord with 800-63. </w:t>
      </w:r>
    </w:p>
    <w:p w:rsidR="00000000" w:rsidDel="00000000" w:rsidP="00000000" w:rsidRDefault="00000000" w:rsidRPr="00000000" w14:paraId="000000A9">
      <w:pPr>
        <w:numPr>
          <w:ilvl w:val="0"/>
          <w:numId w:val="4"/>
        </w:numPr>
        <w:spacing w:after="0" w:afterAutospacing="0" w:before="0" w:beforeAutospacing="0"/>
        <w:ind w:left="720" w:hanging="360"/>
        <w:rPr>
          <w:u w:val="none"/>
        </w:rPr>
      </w:pPr>
      <w:r w:rsidDel="00000000" w:rsidR="00000000" w:rsidRPr="00000000">
        <w:rPr>
          <w:rtl w:val="0"/>
        </w:rPr>
        <w:t xml:space="preserve">Guidance and resources for alignment with 800-63.</w:t>
      </w:r>
    </w:p>
    <w:p w:rsidR="00000000" w:rsidDel="00000000" w:rsidP="00000000" w:rsidRDefault="00000000" w:rsidRPr="00000000" w14:paraId="000000AA">
      <w:pPr>
        <w:numPr>
          <w:ilvl w:val="0"/>
          <w:numId w:val="4"/>
        </w:numPr>
        <w:spacing w:after="0" w:afterAutospacing="0" w:before="0" w:beforeAutospacing="0"/>
        <w:ind w:left="720" w:hanging="360"/>
        <w:rPr>
          <w:u w:val="none"/>
        </w:rPr>
      </w:pPr>
      <w:r w:rsidDel="00000000" w:rsidR="00000000" w:rsidRPr="00000000">
        <w:rPr>
          <w:rtl w:val="0"/>
        </w:rPr>
        <w:t xml:space="preserve">Developing criteria for accrediting 800-63 compliant products and services.</w:t>
      </w:r>
    </w:p>
    <w:p w:rsidR="00000000" w:rsidDel="00000000" w:rsidP="00000000" w:rsidRDefault="00000000" w:rsidRPr="00000000" w14:paraId="000000AB">
      <w:pPr>
        <w:numPr>
          <w:ilvl w:val="0"/>
          <w:numId w:val="4"/>
        </w:numPr>
        <w:spacing w:after="0" w:afterAutospacing="0" w:before="0" w:beforeAutospacing="0"/>
        <w:ind w:left="720" w:hanging="360"/>
        <w:rPr>
          <w:u w:val="none"/>
        </w:rPr>
      </w:pPr>
      <w:r w:rsidDel="00000000" w:rsidR="00000000" w:rsidRPr="00000000">
        <w:rPr>
          <w:rtl w:val="0"/>
        </w:rPr>
        <w:t xml:space="preserve">GSA is responsible for:</w:t>
      </w:r>
    </w:p>
    <w:p w:rsidR="00000000" w:rsidDel="00000000" w:rsidP="00000000" w:rsidRDefault="00000000" w:rsidRPr="00000000" w14:paraId="000000AC">
      <w:pPr>
        <w:numPr>
          <w:ilvl w:val="0"/>
          <w:numId w:val="4"/>
        </w:numPr>
        <w:spacing w:after="0" w:afterAutospacing="0" w:before="0" w:beforeAutospacing="0"/>
        <w:ind w:left="720" w:hanging="360"/>
        <w:rPr>
          <w:u w:val="none"/>
        </w:rPr>
      </w:pPr>
      <w:r w:rsidDel="00000000" w:rsidR="00000000" w:rsidRPr="00000000">
        <w:rPr>
          <w:rtl w:val="0"/>
        </w:rPr>
        <w:t xml:space="preserve">Developing, within 6 months, a roadmap for providing GSA solutions and shared services to meet the requirements of ICAM policy, NIST 800-63, and this OMB memo.</w:t>
      </w:r>
    </w:p>
    <w:p w:rsidR="00000000" w:rsidDel="00000000" w:rsidP="00000000" w:rsidRDefault="00000000" w:rsidRPr="00000000" w14:paraId="000000AD">
      <w:pPr>
        <w:numPr>
          <w:ilvl w:val="0"/>
          <w:numId w:val="4"/>
        </w:numPr>
        <w:spacing w:after="0" w:afterAutospacing="0" w:before="0" w:beforeAutospacing="0"/>
        <w:ind w:left="720" w:hanging="360"/>
        <w:rPr>
          <w:u w:val="none"/>
        </w:rPr>
      </w:pPr>
      <w:r w:rsidDel="00000000" w:rsidR="00000000" w:rsidRPr="00000000">
        <w:rPr>
          <w:rtl w:val="0"/>
        </w:rPr>
        <w:t xml:space="preserve">Publishing, within 3 months, a catalog of ICAM solutions and shared services that agencies can leverage to meet the requirements of this memo.</w:t>
      </w:r>
    </w:p>
    <w:p w:rsidR="00000000" w:rsidDel="00000000" w:rsidP="00000000" w:rsidRDefault="00000000" w:rsidRPr="00000000" w14:paraId="000000AE">
      <w:pPr>
        <w:pageBreakBefore w:val="0"/>
        <w:numPr>
          <w:ilvl w:val="0"/>
          <w:numId w:val="4"/>
        </w:numPr>
        <w:spacing w:before="0" w:beforeAutospacing="0"/>
        <w:ind w:left="720" w:hanging="360"/>
        <w:rPr>
          <w:u w:val="none"/>
        </w:rPr>
      </w:pPr>
      <w:r w:rsidDel="00000000" w:rsidR="00000000" w:rsidRPr="00000000">
        <w:rPr>
          <w:rtl w:val="0"/>
        </w:rPr>
        <w:t xml:space="preserve">Identifying public or private sector capability for accrediting ICAM products using the NIST 800-63 criteria.</w:t>
      </w:r>
      <w:r w:rsidDel="00000000" w:rsidR="00000000" w:rsidRPr="00000000">
        <w:rPr>
          <w:rtl w:val="0"/>
        </w:rPr>
      </w:r>
    </w:p>
    <w:tbl>
      <w:tblPr>
        <w:tblStyle w:val="Table7"/>
        <w:tblW w:w="935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4675"/>
        <w:gridCol w:w="4675"/>
        <w:tblGridChange w:id="0">
          <w:tblGrid>
            <w:gridCol w:w="4675"/>
            <w:gridCol w:w="4675"/>
          </w:tblGrid>
        </w:tblGridChange>
      </w:tblGrid>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AF">
            <w:pPr>
              <w:spacing w:line="276" w:lineRule="auto"/>
              <w:rPr>
                <w:b w:val="1"/>
              </w:rPr>
            </w:pPr>
            <w:r w:rsidDel="00000000" w:rsidR="00000000" w:rsidRPr="00000000">
              <w:rPr>
                <w:b w:val="1"/>
                <w:rtl w:val="0"/>
              </w:rPr>
              <w:t xml:space="preserve">Gap Analysis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0">
            <w:pPr>
              <w:spacing w:line="276" w:lineRule="auto"/>
              <w:rPr>
                <w:b w:val="1"/>
              </w:rPr>
            </w:pPr>
            <w:r w:rsidDel="00000000" w:rsidR="00000000" w:rsidRPr="00000000">
              <w:rPr>
                <w:b w:val="1"/>
                <w:rtl w:val="0"/>
              </w:rPr>
              <w:t xml:space="preserve">Recommendations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pageBreakBefore w:val="0"/>
              <w:spacing w:line="276" w:lineRule="auto"/>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pageBreakBefore w:val="0"/>
              <w:spacing w:line="276" w:lineRule="auto"/>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pageBreakBefore w:val="0"/>
              <w:spacing w:line="276" w:lineRule="auto"/>
              <w:rPr/>
            </w:pPr>
            <w:r w:rsidDel="00000000" w:rsidR="00000000" w:rsidRPr="00000000">
              <w:rPr>
                <w:rtl w:val="0"/>
              </w:rPr>
            </w:r>
          </w:p>
        </w:tc>
      </w:tr>
    </w:tbl>
    <w:p w:rsidR="00000000" w:rsidDel="00000000" w:rsidP="00000000" w:rsidRDefault="00000000" w:rsidRPr="00000000" w14:paraId="000000BB">
      <w:pPr>
        <w:pStyle w:val="Heading1"/>
        <w:pageBreakBefore w:val="0"/>
        <w:tabs>
          <w:tab w:val="left" w:pos="720"/>
        </w:tabs>
        <w:spacing w:line="276" w:lineRule="auto"/>
        <w:rPr>
          <w:sz w:val="24"/>
          <w:szCs w:val="24"/>
        </w:rPr>
      </w:pPr>
      <w:bookmarkStart w:colFirst="0" w:colLast="0" w:name="_44sinio" w:id="16"/>
      <w:bookmarkEnd w:id="16"/>
      <w:r w:rsidDel="00000000" w:rsidR="00000000" w:rsidRPr="00000000">
        <w:rPr>
          <w:sz w:val="24"/>
          <w:szCs w:val="24"/>
          <w:rtl w:val="0"/>
        </w:rPr>
        <w:t xml:space="preserve">Changes between the Final and Draft Versions</w:t>
      </w:r>
      <w:r w:rsidDel="00000000" w:rsidR="00000000" w:rsidRPr="00000000">
        <w:rPr>
          <w:rtl w:val="0"/>
        </w:rPr>
      </w:r>
    </w:p>
    <w:tbl>
      <w:tblPr>
        <w:tblStyle w:val="Table8"/>
        <w:tblW w:w="9360.0" w:type="dxa"/>
        <w:jc w:val="center"/>
        <w:tblBorders>
          <w:top w:color="bdd7ee" w:space="0" w:sz="4" w:val="single"/>
          <w:left w:color="bdd7ee" w:space="0" w:sz="4" w:val="single"/>
          <w:bottom w:color="bdd7ee" w:space="0" w:sz="4" w:val="single"/>
          <w:right w:color="bdd7ee" w:space="0" w:sz="4" w:val="single"/>
          <w:insideH w:color="bdd7ee" w:space="0" w:sz="4" w:val="single"/>
          <w:insideV w:color="bdd7ee" w:space="0" w:sz="4" w:val="single"/>
        </w:tblBorders>
        <w:tblLayout w:type="fixed"/>
        <w:tblLook w:val="0400"/>
      </w:tblPr>
      <w:tblGrid>
        <w:gridCol w:w="3120"/>
        <w:gridCol w:w="3120"/>
        <w:gridCol w:w="3120"/>
        <w:tblGridChange w:id="0">
          <w:tblGrid>
            <w:gridCol w:w="3120"/>
            <w:gridCol w:w="3120"/>
            <w:gridCol w:w="3120"/>
          </w:tblGrid>
        </w:tblGridChange>
      </w:tblGrid>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C">
            <w:pPr>
              <w:pageBreakBefore w:val="0"/>
              <w:spacing w:after="0" w:lineRule="auto"/>
              <w:rPr>
                <w:b w:val="1"/>
              </w:rPr>
            </w:pPr>
            <w:r w:rsidDel="00000000" w:rsidR="00000000" w:rsidRPr="00000000">
              <w:rPr>
                <w:b w:val="1"/>
                <w:rtl w:val="0"/>
              </w:rPr>
              <w:t xml:space="preserve">Responsible Party</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D">
            <w:pPr>
              <w:pageBreakBefore w:val="0"/>
              <w:spacing w:after="0" w:lineRule="auto"/>
              <w:rPr>
                <w:b w:val="1"/>
              </w:rPr>
            </w:pPr>
            <w:r w:rsidDel="00000000" w:rsidR="00000000" w:rsidRPr="00000000">
              <w:rPr>
                <w:b w:val="1"/>
                <w:rtl w:val="0"/>
              </w:rPr>
              <w:t xml:space="preserve">New Requirement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BE">
            <w:pPr>
              <w:pageBreakBefore w:val="0"/>
              <w:spacing w:after="0" w:lineRule="auto"/>
              <w:rPr>
                <w:b w:val="1"/>
              </w:rPr>
            </w:pPr>
            <w:r w:rsidDel="00000000" w:rsidR="00000000" w:rsidRPr="00000000">
              <w:rPr>
                <w:b w:val="1"/>
                <w:rtl w:val="0"/>
              </w:rPr>
              <w:t xml:space="preserve">Removed Requirement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pageBreakBefore w:val="0"/>
              <w:spacing w:after="0" w:lineRule="auto"/>
              <w:rPr/>
            </w:pPr>
            <w:r w:rsidDel="00000000" w:rsidR="00000000" w:rsidRPr="00000000">
              <w:rPr>
                <w:rtl w:val="0"/>
              </w:rPr>
              <w:t xml:space="preserve">Agency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pageBreakBefore w:val="0"/>
              <w:spacing w:after="0" w:lineRule="auto"/>
              <w:rPr/>
            </w:pPr>
            <w:r w:rsidDel="00000000" w:rsidR="00000000" w:rsidRPr="00000000">
              <w:rPr>
                <w:rtl w:val="0"/>
              </w:rPr>
              <w:t xml:space="preserve">Agencies are now required to share feedback on their implementation of the Digital Identity Risk Management process with the Federal Privacy Council, as well as with the Federal CIO Council and NIST.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pageBreakBefore w:val="0"/>
              <w:spacing w:after="0" w:lineRule="auto"/>
              <w:rPr/>
            </w:pPr>
            <w:r w:rsidDel="00000000" w:rsidR="00000000" w:rsidRPr="00000000">
              <w:rPr>
                <w:rtl w:val="0"/>
              </w:rPr>
              <w:t xml:space="preserve">Each agency shall develop a mechanism to streamline and automate agency-wide performance and accountability reporting. This mechanism should support existing and planned reporting and analytics structures and tools, such as the CDM dashboards and Federal Information Security Modernization Act of 2014 (FISMA 2014) reporting.</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pageBreakBefore w:val="0"/>
              <w:spacing w:after="0" w:lineRule="auto"/>
              <w:rPr/>
            </w:pPr>
            <w:r w:rsidDel="00000000" w:rsidR="00000000" w:rsidRPr="00000000">
              <w:rPr>
                <w:rtl w:val="0"/>
              </w:rPr>
              <w:t xml:space="preserve">Agency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pageBreakBefore w:val="0"/>
              <w:spacing w:after="0" w:lineRule="auto"/>
              <w:rPr/>
            </w:pPr>
            <w:r w:rsidDel="00000000" w:rsidR="00000000" w:rsidRPr="00000000">
              <w:rPr>
                <w:rtl w:val="0"/>
              </w:rPr>
              <w:t xml:space="preserve">“Agencies shall leverage approved contract vehicles...to procure digital certificates for identification and authentication…”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pageBreakBefore w:val="0"/>
              <w:spacing w:after="0" w:lineRule="auto"/>
              <w:rPr/>
            </w:pPr>
            <w:r w:rsidDel="00000000" w:rsidR="00000000" w:rsidRPr="00000000">
              <w:rPr>
                <w:rtl w:val="0"/>
              </w:rPr>
              <w:t xml:space="preserve">The adjacent requirement was a “should” in the draft memo.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pageBreakBefore w:val="0"/>
              <w:spacing w:after="0" w:lineRule="auto"/>
              <w:rPr/>
            </w:pPr>
            <w:r w:rsidDel="00000000" w:rsidR="00000000" w:rsidRPr="00000000">
              <w:rPr>
                <w:rtl w:val="0"/>
              </w:rPr>
              <w:t xml:space="preserve">Agency Level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pageBreakBefore w:val="0"/>
              <w:spacing w:after="0" w:lineRule="auto"/>
              <w:rPr/>
            </w:pPr>
            <w:r w:rsidDel="00000000" w:rsidR="00000000" w:rsidRPr="00000000">
              <w:rPr>
                <w:rtl w:val="0"/>
              </w:rPr>
              <w:t xml:space="preserve">“Agencies shall use Federally provided or commercially provided shared services, to the extent available, to deliver identity assurance and authentication services to the public.”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pageBreakBefore w:val="0"/>
              <w:spacing w:after="0" w:lineRule="auto"/>
              <w:rPr/>
            </w:pPr>
            <w:r w:rsidDel="00000000" w:rsidR="00000000" w:rsidRPr="00000000">
              <w:rPr>
                <w:rtl w:val="0"/>
              </w:rPr>
              <w:t xml:space="preserve">The adjacent requirement was a “should” in the draft memo.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pageBreakBefore w:val="0"/>
              <w:spacing w:after="0" w:lineRule="auto"/>
              <w:rPr/>
            </w:pPr>
            <w:r w:rsidDel="00000000" w:rsidR="00000000" w:rsidRPr="00000000">
              <w:rPr>
                <w:rtl w:val="0"/>
              </w:rPr>
              <w:t xml:space="preserve">GSA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pageBreakBefore w:val="0"/>
              <w:spacing w:after="0" w:lineRule="auto"/>
              <w:rPr/>
            </w:pPr>
            <w:r w:rsidDel="00000000" w:rsidR="00000000" w:rsidRPr="00000000">
              <w:rPr>
                <w:rtl w:val="0"/>
              </w:rPr>
              <w:t xml:space="preserve">“Shall publish and maintain, within three months of the issuance of this policy, a consolidated catalog of existing ICAM solutions and shared services that agencies can leverage immediately to begin meeting the requirements of this memorandum.”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pageBreakBefore w:val="0"/>
              <w:spacing w:after="0" w:lineRule="auto"/>
              <w:rPr/>
            </w:pP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pageBreakBefore w:val="0"/>
        <w:numPr>
          <w:ilvl w:val="0"/>
          <w:numId w:val="7"/>
        </w:numPr>
        <w:ind w:left="720" w:hanging="360"/>
        <w:rPr>
          <w:u w:val="none"/>
          <w:vertAlign w:val="baseline"/>
        </w:rPr>
      </w:pPr>
      <w:r w:rsidDel="00000000" w:rsidR="00000000" w:rsidRPr="00000000">
        <w:rPr>
          <w:vertAlign w:val="baseline"/>
          <w:rtl w:val="0"/>
        </w:rPr>
        <w:t xml:space="preserve">Additional item to note: In the draft version, OMB M-05-24 was rescinded. In the final version, M-05-24 is no longer rescinded. </w:t>
      </w:r>
      <w:r w:rsidDel="00000000" w:rsidR="00000000" w:rsidRPr="00000000">
        <w:rPr>
          <w:rtl w:val="0"/>
        </w:rPr>
      </w:r>
    </w:p>
    <w:sectPr>
      <w:headerReference r:id="rId7" w:type="default"/>
      <w:headerReference r:id="rId8" w:type="first"/>
      <w:head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39092" cy="5939092"/>
              <wp:effectExtent b="0" l="0" r="0" t="0"/>
              <wp:wrapNone/>
              <wp:docPr id="1" name=""/>
              <a:graphic>
                <a:graphicData uri="http://schemas.microsoft.com/office/word/2010/wordprocessingShape">
                  <wps:wsp>
                    <wps:cNvSpPr/>
                    <wps:cNvPr id="2" name="Shape 2"/>
                    <wps:spPr>
                      <a:xfrm rot="-2700000">
                        <a:off x="2727260" y="2208693"/>
                        <a:ext cx="5237480" cy="3142615"/>
                      </a:xfrm>
                      <a:prstGeom prst="rect">
                        <a:avLst/>
                      </a:prstGeom>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c0c0"/>
                              <w:sz w:val="144"/>
                              <w:vertAlign w:val="baseline"/>
                            </w:rPr>
                            <w:t xml:space="preserve">DRAFT</w:t>
                          </w: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margin">
                <wp:align>center</wp:align>
              </wp:positionH>
              <wp:positionV relativeFrom="margin">
                <wp:align>center</wp:align>
              </wp:positionV>
              <wp:extent cx="5939092" cy="5939092"/>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39092" cy="5939092"/>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530" w:hanging="360"/>
      </w:pPr>
      <w:rPr/>
    </w:lvl>
    <w:lvl w:ilvl="1">
      <w:start w:val="1"/>
      <w:numFmt w:val="decimal"/>
      <w:lvlText w:val="%1.%2."/>
      <w:lvlJc w:val="left"/>
      <w:pPr>
        <w:ind w:left="792" w:hanging="432"/>
      </w:pPr>
      <w:rPr>
        <w:sz w:val="22"/>
        <w:szCs w:val="22"/>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20"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120" w:before="240" w:line="240" w:lineRule="auto"/>
      <w:ind w:left="720" w:right="0" w:hanging="720"/>
      <w:jc w:val="left"/>
    </w:pPr>
    <w:rPr>
      <w:rFonts w:ascii="Arial" w:cs="Arial" w:eastAsia="Arial" w:hAnsi="Arial"/>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900"/>
      </w:tabs>
      <w:spacing w:after="120" w:before="240" w:line="240" w:lineRule="auto"/>
      <w:ind w:left="720" w:right="0" w:hanging="720"/>
      <w:jc w:val="left"/>
    </w:pPr>
    <w:rPr>
      <w:rFonts w:ascii="Arial" w:cs="Arial" w:eastAsia="Arial" w:hAnsi="Arial"/>
      <w:b w:val="1"/>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120" w:before="240" w:line="240" w:lineRule="auto"/>
      <w:ind w:left="1080" w:right="0" w:hanging="1080"/>
      <w:jc w:val="left"/>
    </w:pPr>
    <w:rPr>
      <w:rFonts w:ascii="Arial" w:cs="Arial" w:eastAsia="Arial" w:hAnsi="Arial"/>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1080"/>
      </w:tabs>
      <w:spacing w:after="120" w:before="240" w:line="240" w:lineRule="auto"/>
      <w:ind w:left="648" w:right="0" w:hanging="648"/>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232"/>
      </w:tabs>
      <w:spacing w:after="120" w:before="240" w:line="240" w:lineRule="auto"/>
      <w:ind w:left="648" w:right="0" w:hanging="2880"/>
      <w:jc w:val="left"/>
    </w:pPr>
    <w:rPr>
      <w:rFonts w:ascii="Arial" w:cs="Arial" w:eastAsia="Arial" w:hAnsi="Arial"/>
      <w:b w:val="1"/>
      <w:i w:val="0"/>
      <w:smallCaps w:val="0"/>
      <w:strike w:val="0"/>
      <w:color w:val="000000"/>
      <w:sz w:val="24"/>
      <w:szCs w:val="24"/>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pos="2232"/>
      </w:tabs>
      <w:spacing w:after="120" w:before="240" w:line="240" w:lineRule="auto"/>
      <w:ind w:left="648" w:right="0" w:hanging="3384.0000000000005"/>
      <w:jc w:val="left"/>
    </w:pPr>
    <w:rPr>
      <w:rFonts w:ascii="Arial" w:cs="Arial" w:eastAsia="Arial" w:hAnsi="Arial"/>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pPr>
    <w:rPr>
      <w:rFonts w:ascii="Arial" w:cs="Arial" w:eastAsia="Arial" w:hAnsi="Arial"/>
      <w:b w:val="1"/>
      <w:i w:val="0"/>
      <w:smallCaps w:val="0"/>
      <w:strike w:val="0"/>
      <w:color w:val="000000"/>
      <w:sz w:val="36"/>
      <w:szCs w:val="36"/>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whitehouse.gov/wp-content/uploads/2018/12/M-19-03.pdf" TargetMode="External"/><Relationship Id="rId7" Type="http://schemas.openxmlformats.org/officeDocument/2006/relationships/header" Target="header1.xml"/><Relationship Id="rId8"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