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CS 370 Project Two: Pirate Intelligent Agent Design Defense</w:t>
      </w:r>
    </w:p>
    <w:p>
      <w:pPr>
        <w:pStyle w:val="SectionLabel"/>
        <w:keepNext/>
      </w:pPr>
      <w:r>
        <w:t>Human and Machine Approaches to Pathfinding</w:t>
      </w:r>
    </w:p>
    <w:p>
      <w:pPr/>
      <w:r>
        <w:t>A human solving the 8-by-8 treasure maze would first examine the open and blocked spaces, locate the treasure in the bottom-right corner, and mentally trace routes from the upper-left starting position. The person might eliminate dead ends, compare possible paths, and adjust a route after reaching an obstacle. Human problem-solving can rely on an overall visual plan and earlier experience with puzzles.</w:t>
      </w:r>
    </w:p>
    <w:p>
      <w:pPr/>
      <w:r>
        <w:t>My pirate agent approaches the maze by converting its current environment into 64 numerical inputs and estimating the value of four actions: left, up, right, and down. It initially tests actions and receives rewards or penalties, then improves its decisions using accumulated experience. Both humans and agents use feedback to avoid poor choices, but a human may plan from the full picture while the agent learns action values across many episodes. Reinforcement learning formalizes this process as learning from actions and their consequences (Sutton &amp; Barto, 2018).</w:t>
      </w:r>
    </w:p>
    <w:p>
      <w:pPr>
        <w:pStyle w:val="SectionLabel"/>
        <w:keepNext/>
      </w:pPr>
      <w:r>
        <w:t>Exploration, Exploitation, and Rewards</w:t>
      </w:r>
    </w:p>
    <w:p>
      <w:pPr/>
      <w:r>
        <w:t>Exploration means trying actions that might reveal a better route; exploitation means choosing the action with the highest currently estimated value. My training uses an epsilon-greedy policy: it starts with an exploration probability of 1.0, gradually decays it by a factor of 0.995, and maintains a minimum of 0.05. Near the end, the intended balance is approximately 5% exploration and 95% exploitation. Starting with more exploration helps discover the maze, whereas mostly exploiting later helps make the pirate consistent. Final evaluations use greedy decisions without random exploration.</w:t>
      </w:r>
    </w:p>
    <w:p>
      <w:pPr/>
      <w:r/>
      <w:r>
        <w:t>The maze gives the pirate +1 when it reaches the treasure, a -0.04 penalty for an ordinary move, and -0.25 for revisiting a cell. The supplied code also penalizes invalid moves and ends games below a negative reward threshold. The specifications list a -0.8 boundary penalty, although TreasureMaze.py handles invalid moves differently. Reinforcement learning is appropriate because the agent can improve from the rewards it experiences instead of requiring a hand-coded path (Sutton &amp; Barto, 2018).</w:t>
      </w:r>
    </w:p>
    <w:p>
      <w:pPr>
        <w:pStyle w:val="SectionLabel"/>
        <w:keepNext/>
      </w:pPr>
      <w:r>
        <w:t>Deep Q-Learning Implementation and Evaluation</w:t>
      </w:r>
    </w:p>
    <w:p>
      <w:pPr/>
      <w:r>
        <w:t>The provided Keras model processes the 64-cell state through two Dense layers with 64 neurons each and PReLU activations, producing four Q-values. I use the supplied Adam-based training step with mean-squared-error loss. After each move, the notebook saves the state, action, reward, next state, and a Boolean terminal flag in GameExperience replay memory. Sampling mini-batches reduces dependence on the order of experiences. Nonterminal targets combine the immediate reward with 0.95 times the target network’s estimated best future value, while terminal targets use the final reward. The target network receives the model weights every 50 epochs to make learning more stable. These practices reflect the core ideas behind deep Q-learning (Mnih et al., 2015).</w:t>
      </w:r>
    </w:p>
    <w:p>
      <w:pPr/>
      <w:r/>
      <w:r>
        <w:t>The training notebook sets a maximum of 1,000 epochs, replay capacity of 512 transitions, and batch size of 32. It tracks the recent win rate across 32 games and only stops early if the rate reaches 100% and completion_check confirms wins from every accessible starting cell. The original milestone run reported this result at epoch 408 after 8.56 minutes; however, that run occurred before I corrected the replay terminal flag, so the revised notebook must be rerun in Codio to confirm its results. Checking all starting positions matters more than a single lucky win.</w:t>
      </w:r>
    </w:p>
    <w:p>
      <w:pPr>
        <w:pStyle w:val="SectionLabel"/>
        <w:keepNext/>
      </w:pPr>
      <w:r>
        <w:t>References</w:t>
      </w:r>
    </w:p>
    <w:p>
      <w:pPr>
        <w:ind w:hanging="720" w:left="720"/>
      </w:pPr>
      <w:r>
        <w:t>Mnih, V., Kavukcuoglu, K., Silver, D., Rusu, A. A., Veness, J., Bellemare, M. G., Graves, A., Riedmiller, M., Fidjeland, A. K., Ostrovski, G., Petersen, S., Beattie, C., Sadik, A., Antonoglou, I., King, H., Kumaran, D., Wierstra, D., Legg, S., &amp; Hassabis, D. (2015). Human-level control through deep reinforcement learning. Nature, 518, 529–533. https://doi.org/10.1038/nature14236</w:t>
      </w:r>
    </w:p>
    <w:p>
      <w:pPr>
        <w:ind w:hanging="720" w:left="720"/>
      </w:pPr>
      <w:r>
        <w:t>Sutton, R. S., &amp; Barto, A. G. (2018). Reinforcement learning: An introduction (2nd ed.). MIT Press. http://incompleteideas.net/book/the-book-2nd.html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Label"/>
    <w:basedOn w:val="Normal"/>
    <w:pPr>
      <w:spacing w:line="480" w:lineRule="auto" w:before="0" w:after="0"/>
      <w:ind w:firstLine="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