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64E78">
      <w:pPr>
        <w:ind w:firstLine="480"/>
        <w:jc w:val="both"/>
        <w:rPr>
          <w:rFonts w:hint="eastAsia" w:ascii="Book Antiqua" w:hAnsi="Book Antiqua"/>
        </w:rPr>
      </w:pPr>
      <w:r>
        <w:rPr>
          <w:rFonts w:ascii="Book Antiqua" w:hAnsi="Book Antiqua"/>
        </w:rPr>
        <w:t>原定於2020年應推進的非強制性中央公積金轉為強制性政策，因新冠疫情的全球蔓延而被迫暫時擱置，社會保障基金於2021 年公佈的《非強制性中央公積金制度審視報告》，建議設立2021至2023年為期三年的經濟觀察期，以檢視本澳經濟恢復情況，審慎部署央積金制度轉向強制性。然而近日社會保障基金公佈《檢視非強制性中央公積金現況及發展研究》，</w:t>
      </w:r>
      <w:r>
        <w:rPr>
          <w:rFonts w:hint="eastAsia" w:ascii="Book Antiqua" w:hAnsi="Book Antiqua"/>
        </w:rPr>
        <w:t>研究報告</w:t>
      </w:r>
      <w:r>
        <w:rPr>
          <w:rFonts w:ascii="Book Antiqua" w:hAnsi="Book Antiqua"/>
        </w:rPr>
        <w:t>指考慮到各行業復甦步伐不一，暫宜繼續維持非強制參與，對此，工聯政務委員會委員、律師程嘉雯表示，</w:t>
      </w:r>
      <w:r>
        <w:rPr>
          <w:rFonts w:hint="eastAsia" w:ascii="Book Antiqua" w:hAnsi="Book Antiqua"/>
        </w:rPr>
        <w:t>報告雖然基於中</w:t>
      </w:r>
      <w:r>
        <w:rPr>
          <w:rFonts w:ascii="Book Antiqua" w:hAnsi="Book Antiqua"/>
        </w:rPr>
        <w:t>小微企</w:t>
      </w:r>
      <w:r>
        <w:rPr>
          <w:rFonts w:hint="eastAsia" w:ascii="Book Antiqua" w:hAnsi="Book Antiqua"/>
        </w:rPr>
        <w:t>仍然</w:t>
      </w:r>
      <w:r>
        <w:rPr>
          <w:rFonts w:ascii="Book Antiqua" w:hAnsi="Book Antiqua"/>
        </w:rPr>
        <w:t>面臨</w:t>
      </w:r>
      <w:r>
        <w:rPr>
          <w:rFonts w:hint="eastAsia" w:ascii="Book Antiqua" w:hAnsi="Book Antiqua"/>
        </w:rPr>
        <w:t>不少經營</w:t>
      </w:r>
      <w:r>
        <w:rPr>
          <w:rFonts w:ascii="Book Antiqua" w:hAnsi="Book Antiqua"/>
        </w:rPr>
        <w:t>壓力</w:t>
      </w:r>
      <w:r>
        <w:rPr>
          <w:rFonts w:hint="eastAsia" w:ascii="Book Antiqua" w:hAnsi="Book Antiqua"/>
        </w:rPr>
        <w:t>而認為一定期間內繼續維持非強制性參與較為合適，但報告中亦提及多項利好因素，包括研究團隊認為</w:t>
      </w:r>
      <w:r>
        <w:rPr>
          <w:rFonts w:ascii="Book Antiqua" w:hAnsi="Book Antiqua"/>
        </w:rPr>
        <w:t>可預期僱主央積金供款的額外支出水平屬可負擔水平</w:t>
      </w:r>
      <w:r>
        <w:rPr>
          <w:rFonts w:hint="eastAsia" w:ascii="Book Antiqua" w:hAnsi="Book Antiqua"/>
        </w:rPr>
        <w:t>；</w:t>
      </w:r>
      <w:r>
        <w:rPr>
          <w:rFonts w:ascii="Book Antiqua" w:hAnsi="Book Antiqua"/>
        </w:rPr>
        <w:t>在學術上，僱主的供款可視作 “延後工資＂（Deferred Wage），是僱員實際工資的一部分，僱主應承擔社會責任，為僱員提供退休保障</w:t>
      </w:r>
      <w:r>
        <w:rPr>
          <w:rFonts w:hint="eastAsia" w:ascii="Book Antiqua" w:hAnsi="Book Antiqua"/>
        </w:rPr>
        <w:t>；</w:t>
      </w:r>
      <w:r>
        <w:rPr>
          <w:rFonts w:ascii="Book Antiqua" w:hAnsi="Book Antiqua"/>
        </w:rPr>
        <w:t>非強制央積金是一項透過時間累積財富的投資計劃，需要數十年的投入才可以體現成效，越早參與，可累積越多的退休儲備</w:t>
      </w:r>
      <w:r>
        <w:rPr>
          <w:rFonts w:hint="eastAsia" w:ascii="Book Antiqua" w:hAnsi="Book Antiqua"/>
        </w:rPr>
        <w:t>；並</w:t>
      </w:r>
      <w:r>
        <w:rPr>
          <w:rFonts w:ascii="Book Antiqua" w:hAnsi="Book Antiqua"/>
        </w:rPr>
        <w:t>認為</w:t>
      </w:r>
      <w:r>
        <w:t>實施全民性的強制央積金是最終目標</w:t>
      </w:r>
      <w:r>
        <w:rPr>
          <w:rFonts w:hint="eastAsia"/>
        </w:rPr>
        <w:t>。顯示社會已具備一定基礎將</w:t>
      </w:r>
      <w:r>
        <w:rPr>
          <w:rFonts w:ascii="Book Antiqua" w:hAnsi="Book Antiqua"/>
        </w:rPr>
        <w:t>非強制性中央公積金轉為強制性</w:t>
      </w:r>
      <w:r>
        <w:rPr>
          <w:rFonts w:hint="eastAsia" w:ascii="Book Antiqua" w:hAnsi="Book Antiqua"/>
        </w:rPr>
        <w:t>。</w:t>
      </w:r>
    </w:p>
    <w:p w14:paraId="2068F829">
      <w:pPr>
        <w:ind w:firstLine="480"/>
        <w:jc w:val="both"/>
        <w:rPr>
          <w:rFonts w:hint="eastAsia" w:ascii="Book Antiqua" w:hAnsi="Book Antiqua"/>
        </w:rPr>
      </w:pPr>
      <w:r>
        <w:rPr>
          <w:rFonts w:hint="eastAsia" w:ascii="Book Antiqua" w:hAnsi="Book Antiqua"/>
        </w:rPr>
        <w:t>而報告所指的三項設立</w:t>
      </w:r>
      <w:r>
        <w:rPr>
          <w:rFonts w:ascii="Book Antiqua" w:hAnsi="Book Antiqua"/>
        </w:rPr>
        <w:t>強制央積金準備工作的啟動條件</w:t>
      </w:r>
      <w:r>
        <w:rPr>
          <w:rFonts w:hint="eastAsia" w:ascii="Book Antiqua" w:hAnsi="Book Antiqua"/>
        </w:rPr>
        <w:t>，當中</w:t>
      </w:r>
      <w:r>
        <w:rPr>
          <w:rFonts w:ascii="Book Antiqua" w:hAnsi="Book Antiqua"/>
        </w:rPr>
        <w:t>職業儲蓄退休保障參與率超過 40%</w:t>
      </w:r>
      <w:r>
        <w:rPr>
          <w:rFonts w:hint="eastAsia" w:ascii="Book Antiqua" w:hAnsi="Book Antiqua"/>
        </w:rPr>
        <w:t>以及</w:t>
      </w:r>
      <w:r>
        <w:rPr>
          <w:rFonts w:ascii="Book Antiqua" w:hAnsi="Book Antiqua"/>
        </w:rPr>
        <w:t>本地就業居民收入中位數回復到 2019 年的水平</w:t>
      </w:r>
      <w:r>
        <w:rPr>
          <w:rFonts w:hint="eastAsia" w:ascii="Book Antiqua" w:hAnsi="Book Antiqua"/>
        </w:rPr>
        <w:t>兩項指標已達標，現尚需待</w:t>
      </w:r>
      <w:r>
        <w:rPr>
          <w:rFonts w:ascii="Book Antiqua" w:hAnsi="Book Antiqua"/>
        </w:rPr>
        <w:t>本澳實質 GDP 及行業收益支出水平同時基本達到 2019 年的水平</w:t>
      </w:r>
      <w:r>
        <w:rPr>
          <w:rFonts w:hint="eastAsia" w:ascii="Book Antiqua" w:hAnsi="Book Antiqua"/>
        </w:rPr>
        <w:t>，以及建立央積金電子服務平台兩項條件達標，她建議</w:t>
      </w:r>
      <w:r>
        <w:rPr>
          <w:rFonts w:ascii="Book Antiqua" w:hAnsi="Book Antiqua"/>
        </w:rPr>
        <w:t>盡快開展打造全功能的央積金電子服務平台的工作</w:t>
      </w:r>
      <w:r>
        <w:rPr>
          <w:rFonts w:hint="eastAsia" w:ascii="Book Antiqua" w:hAnsi="Book Antiqua"/>
        </w:rPr>
        <w:t>、加強</w:t>
      </w:r>
      <w:r>
        <w:t>強制</w:t>
      </w:r>
      <w:r>
        <w:rPr>
          <w:rFonts w:hint="eastAsia"/>
        </w:rPr>
        <w:t>性</w:t>
      </w:r>
      <w:r>
        <w:t>央積金</w:t>
      </w:r>
      <w:r>
        <w:rPr>
          <w:rFonts w:hint="eastAsia"/>
        </w:rPr>
        <w:t>的政策宣講</w:t>
      </w:r>
      <w:r>
        <w:rPr>
          <w:rFonts w:hint="eastAsia" w:ascii="Book Antiqua" w:hAnsi="Book Antiqua"/>
        </w:rPr>
        <w:t>、並期望當局每年主動檢視本澳GDP及</w:t>
      </w:r>
      <w:r>
        <w:rPr>
          <w:rFonts w:ascii="Book Antiqua" w:hAnsi="Book Antiqua"/>
        </w:rPr>
        <w:t>行業收益支出水平</w:t>
      </w:r>
      <w:r>
        <w:rPr>
          <w:rFonts w:hint="eastAsia" w:ascii="Book Antiqua" w:hAnsi="Book Antiqua"/>
        </w:rPr>
        <w:t>是否符合啟動條件，一旦符合報告所指的三項</w:t>
      </w:r>
      <w:r>
        <w:rPr>
          <w:rFonts w:ascii="Book Antiqua" w:hAnsi="Book Antiqua"/>
        </w:rPr>
        <w:t>條件</w:t>
      </w:r>
      <w:r>
        <w:rPr>
          <w:rFonts w:hint="eastAsia" w:ascii="Book Antiqua" w:hAnsi="Book Antiqua"/>
        </w:rPr>
        <w:t>，應</w:t>
      </w:r>
      <w:r>
        <w:rPr>
          <w:rFonts w:hint="eastAsia" w:ascii="Book Antiqua" w:hAnsi="Book Antiqua"/>
          <w:lang w:eastAsia="zh"/>
          <w:woUserID w:val="1"/>
        </w:rPr>
        <w:t>適</w:t>
      </w:r>
      <w:bookmarkStart w:id="0" w:name="_GoBack"/>
      <w:bookmarkEnd w:id="0"/>
      <w:r>
        <w:rPr>
          <w:rFonts w:hint="eastAsia" w:ascii="Book Antiqua" w:hAnsi="Book Antiqua"/>
        </w:rPr>
        <w:t>時啟動相關修法工作。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PMingLiU">
    <w:altName w:val="汉仪中等线KW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MingLiU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Book Antiqua">
    <w:altName w:val="Georgia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C5C"/>
    <w:rsid w:val="000252AC"/>
    <w:rsid w:val="00062FFE"/>
    <w:rsid w:val="002717C7"/>
    <w:rsid w:val="002F3DD8"/>
    <w:rsid w:val="004F3E2B"/>
    <w:rsid w:val="006D4FD7"/>
    <w:rsid w:val="00706C5C"/>
    <w:rsid w:val="00AD3911"/>
    <w:rsid w:val="00C111FB"/>
    <w:rsid w:val="00C32274"/>
    <w:rsid w:val="EBFE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標題 1 字元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標題 2 字元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標題 3 字元"/>
    <w:basedOn w:val="14"/>
    <w:link w:val="4"/>
    <w:semiHidden/>
    <w:uiPriority w:val="9"/>
    <w:rPr>
      <w:rFonts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標題 4 字元"/>
    <w:basedOn w:val="14"/>
    <w:link w:val="5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標題 5 字元"/>
    <w:basedOn w:val="14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標題 6 字元"/>
    <w:basedOn w:val="14"/>
    <w:link w:val="7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標題 7 字元"/>
    <w:basedOn w:val="14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標題 8 字元"/>
    <w:basedOn w:val="14"/>
    <w:link w:val="9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標題 9 字元"/>
    <w:basedOn w:val="14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標題 字元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標題 字元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文 字元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鮮明引文 字元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114</Words>
  <Characters>653</Characters>
  <Lines>5</Lines>
  <Paragraphs>1</Paragraphs>
  <TotalTime>116</TotalTime>
  <ScaleCrop>false</ScaleCrop>
  <LinksUpToDate>false</LinksUpToDate>
  <CharactersWithSpaces>766</CharactersWithSpaces>
  <Application>WPS Office WWO_wpscloud_20251224173010-b51a25e58c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2026-01-04T13:23:00Z</dcterms:created>
  <dc:creator>Administrator</dc:creator>
  <cp:lastModifiedBy>Administrator</cp:lastModifiedBy>
  <dcterms:modified xsi:type="dcterms:W3CDTF">2026-01-04T16:37:35Z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2052-12.9.0.24678</vt:lpwstr>
  </property>
  <property fmtid="{D5CDD505-2E9C-101B-9397-08002B2CF9AE}" pid="3" name="ICV">
    <vt:lpwstr>1C425D5E95359F17CF265A69B771B70A_43</vt:lpwstr>
  </property>
</Properties>
</file>