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D67610F">
      <w:pPr>
        <w:jc w:val="center"/>
        <w:rPr>
          <w:rFonts w:ascii="DFKai-SB" w:hAnsi="DFKai-SB" w:eastAsia="DFKai-SB"/>
          <w:sz w:val="28"/>
          <w:szCs w:val="28"/>
        </w:rPr>
      </w:pPr>
      <w:r>
        <w:rPr>
          <w:rFonts w:hint="eastAsia" w:ascii="DFKai-SB" w:hAnsi="DFKai-SB" w:eastAsia="DFKai-SB"/>
          <w:sz w:val="28"/>
          <w:szCs w:val="28"/>
        </w:rPr>
        <w:t>工聯青委舉辦「三五規劃」</w:t>
      </w:r>
      <w:r>
        <w:rPr>
          <w:rFonts w:hint="eastAsia" w:ascii="DFKai-SB" w:hAnsi="DFKai-SB" w:eastAsia="DFKai-SB"/>
          <w:sz w:val="28"/>
          <w:szCs w:val="28"/>
          <w:lang w:eastAsia="zh-CN"/>
        </w:rPr>
        <w:t>建言獻策</w:t>
      </w:r>
      <w:r>
        <w:rPr>
          <w:rFonts w:hint="eastAsia" w:ascii="DFKai-SB" w:hAnsi="DFKai-SB" w:eastAsia="DFKai-SB"/>
          <w:sz w:val="28"/>
          <w:szCs w:val="28"/>
        </w:rPr>
        <w:t>座談會</w:t>
      </w:r>
    </w:p>
    <w:p w14:paraId="0CCE20A1">
      <w:pPr>
        <w:spacing w:before="180" w:beforeLines="50" w:after="180" w:afterLines="50" w:line="440" w:lineRule="exact"/>
        <w:ind w:firstLine="560" w:firstLineChars="200"/>
        <w:jc w:val="both"/>
        <w:rPr>
          <w:rFonts w:ascii="DFKai-SB" w:hAnsi="DFKai-SB" w:eastAsia="DFKai-SB"/>
          <w:sz w:val="28"/>
          <w:szCs w:val="28"/>
        </w:rPr>
      </w:pPr>
      <w:r>
        <w:rPr>
          <w:rFonts w:hint="eastAsia" w:ascii="DFKai-SB" w:hAnsi="DFKai-SB" w:eastAsia="DFKai-SB"/>
          <w:sz w:val="28"/>
          <w:szCs w:val="28"/>
        </w:rPr>
        <w:t>為凝聚青年力量，共繪澳門未來發展藍圖，澳門工會聯合總會青年委員會於</w:t>
      </w:r>
      <w:r>
        <w:rPr>
          <w:rFonts w:ascii="DFKai-SB" w:hAnsi="DFKai-SB" w:eastAsia="DFKai-SB"/>
          <w:sz w:val="28"/>
          <w:szCs w:val="28"/>
        </w:rPr>
        <w:t>6</w:t>
      </w:r>
      <w:r>
        <w:rPr>
          <w:rFonts w:hint="eastAsia" w:ascii="DFKai-SB" w:hAnsi="DFKai-SB" w:eastAsia="DFKai-SB"/>
          <w:sz w:val="28"/>
          <w:szCs w:val="28"/>
        </w:rPr>
        <w:t>月</w:t>
      </w:r>
      <w:r>
        <w:rPr>
          <w:rFonts w:ascii="DFKai-SB" w:hAnsi="DFKai-SB" w:eastAsia="DFKai-SB"/>
          <w:sz w:val="28"/>
          <w:szCs w:val="28"/>
        </w:rPr>
        <w:t>9</w:t>
      </w:r>
      <w:r>
        <w:rPr>
          <w:rFonts w:hint="eastAsia" w:ascii="DFKai-SB" w:hAnsi="DFKai-SB" w:eastAsia="DFKai-SB"/>
          <w:sz w:val="28"/>
          <w:szCs w:val="28"/>
        </w:rPr>
        <w:t>日晚上八時在工聯大廈舉辦澳門特區「三五規劃」</w:t>
      </w:r>
      <w:r>
        <w:rPr>
          <w:rFonts w:hint="eastAsia" w:ascii="DFKai-SB" w:hAnsi="DFKai-SB" w:eastAsia="DFKai-SB"/>
          <w:sz w:val="28"/>
          <w:szCs w:val="28"/>
          <w:lang w:eastAsia="zh-CN"/>
        </w:rPr>
        <w:t>建言獻策</w:t>
      </w:r>
      <w:r>
        <w:rPr>
          <w:rFonts w:hint="eastAsia" w:ascii="DFKai-SB" w:hAnsi="DFKai-SB" w:eastAsia="DFKai-SB"/>
          <w:sz w:val="28"/>
          <w:szCs w:val="28"/>
        </w:rPr>
        <w:t>座談會。工聯總會會長林倫偉、理事長江銳輝、副理事長李靜儀等嘉賓到場與逾</w:t>
      </w:r>
      <w:r>
        <w:rPr>
          <w:rFonts w:ascii="DFKai-SB" w:hAnsi="DFKai-SB" w:eastAsia="DFKai-SB"/>
          <w:sz w:val="28"/>
          <w:szCs w:val="28"/>
        </w:rPr>
        <w:t>40</w:t>
      </w:r>
      <w:r>
        <w:rPr>
          <w:rFonts w:hint="eastAsia" w:ascii="DFKai-SB" w:hAnsi="DFKai-SB" w:eastAsia="DFKai-SB"/>
          <w:sz w:val="28"/>
          <w:szCs w:val="28"/>
        </w:rPr>
        <w:t>名各行業青年深入交流，為特區未來五年發展貢獻青年智慧。</w:t>
      </w:r>
    </w:p>
    <w:p w14:paraId="63B0BD2E">
      <w:pPr>
        <w:spacing w:before="180" w:beforeLines="50" w:after="180" w:afterLines="50" w:line="440" w:lineRule="exact"/>
        <w:ind w:firstLine="560" w:firstLineChars="200"/>
        <w:jc w:val="both"/>
        <w:rPr>
          <w:rFonts w:hint="eastAsia" w:ascii="DFKai-SB" w:hAnsi="DFKai-SB" w:eastAsia="DFKai-SB"/>
          <w:sz w:val="28"/>
          <w:szCs w:val="28"/>
        </w:rPr>
      </w:pPr>
      <w:r>
        <w:rPr>
          <w:rFonts w:hint="eastAsia" w:ascii="DFKai-SB" w:hAnsi="DFKai-SB" w:eastAsia="DFKai-SB"/>
          <w:sz w:val="28"/>
          <w:szCs w:val="28"/>
        </w:rPr>
        <w:t>座談會由工聯青委主任程嘉雯主持。她表示，工聯</w:t>
      </w:r>
      <w:bookmarkStart w:id="0" w:name="_GoBack"/>
      <w:bookmarkEnd w:id="0"/>
      <w:r>
        <w:rPr>
          <w:rFonts w:hint="eastAsia" w:ascii="DFKai-SB" w:hAnsi="DFKai-SB" w:eastAsia="DFKai-SB"/>
          <w:sz w:val="28"/>
          <w:szCs w:val="28"/>
        </w:rPr>
        <w:t>青委始終堅持</w:t>
      </w:r>
      <w:r>
        <w:rPr>
          <w:rFonts w:ascii="DFKai-SB" w:hAnsi="DFKai-SB" w:eastAsia="DFKai-SB"/>
          <w:sz w:val="28"/>
          <w:szCs w:val="28"/>
        </w:rPr>
        <w:t>“</w:t>
      </w:r>
      <w:r>
        <w:rPr>
          <w:rFonts w:hint="eastAsia" w:ascii="DFKai-SB" w:hAnsi="DFKai-SB" w:eastAsia="DFKai-SB"/>
          <w:sz w:val="28"/>
          <w:szCs w:val="28"/>
        </w:rPr>
        <w:t>撐青年，謀發展</w:t>
      </w:r>
      <w:r>
        <w:rPr>
          <w:rFonts w:ascii="DFKai-SB" w:hAnsi="DFKai-SB" w:eastAsia="DFKai-SB"/>
          <w:sz w:val="28"/>
          <w:szCs w:val="28"/>
        </w:rPr>
        <w:t>”</w:t>
      </w:r>
      <w:r>
        <w:rPr>
          <w:rFonts w:hint="eastAsia" w:ascii="DFKai-SB" w:hAnsi="DFKai-SB" w:eastAsia="DFKai-SB"/>
          <w:sz w:val="28"/>
          <w:szCs w:val="28"/>
        </w:rPr>
        <w:t>，將持續搭建交流平台、暢通訴求管道，助力廣大青年把握“三五規劃”帶來的新機遇，在</w:t>
      </w:r>
      <w:r>
        <w:rPr>
          <w:rFonts w:hint="eastAsia" w:ascii="DFKai-SB" w:hAnsi="DFKai-SB" w:eastAsia="DFKai-SB"/>
          <w:sz w:val="28"/>
          <w:szCs w:val="28"/>
          <w:lang w:eastAsia="zh-CN"/>
        </w:rPr>
        <w:t>促進特區高質量發展以及</w:t>
      </w:r>
      <w:r>
        <w:rPr>
          <w:rFonts w:hint="eastAsia" w:ascii="DFKai-SB" w:hAnsi="DFKai-SB" w:eastAsia="DFKai-SB"/>
          <w:sz w:val="28"/>
          <w:szCs w:val="28"/>
        </w:rPr>
        <w:t>融入和服務國家發展大局中實現人生價值。</w:t>
      </w:r>
    </w:p>
    <w:p w14:paraId="249894D8">
      <w:pPr>
        <w:spacing w:before="180" w:beforeLines="50" w:after="180" w:afterLines="50" w:line="440" w:lineRule="exact"/>
        <w:ind w:firstLine="560" w:firstLineChars="200"/>
        <w:jc w:val="both"/>
        <w:rPr>
          <w:rFonts w:hint="eastAsia" w:ascii="DFKai-SB" w:hAnsi="DFKai-SB" w:eastAsia="DFKai-SB"/>
          <w:sz w:val="28"/>
          <w:szCs w:val="28"/>
        </w:rPr>
      </w:pPr>
      <w:r>
        <w:rPr>
          <w:rFonts w:hint="eastAsia" w:ascii="DFKai-SB" w:hAnsi="DFKai-SB" w:eastAsia="DFKai-SB"/>
          <w:sz w:val="28"/>
          <w:szCs w:val="28"/>
        </w:rPr>
        <w:t>與會者圍繞青年就業</w:t>
      </w:r>
      <w:r>
        <w:rPr>
          <w:rFonts w:hint="eastAsia" w:ascii="DFKai-SB" w:hAnsi="DFKai-SB" w:eastAsia="DFKai-SB"/>
          <w:sz w:val="28"/>
          <w:szCs w:val="28"/>
          <w:lang w:eastAsia="zh-CN"/>
        </w:rPr>
        <w:t>創業</w:t>
      </w:r>
      <w:r>
        <w:rPr>
          <w:rFonts w:hint="eastAsia" w:ascii="DFKai-SB" w:hAnsi="DFKai-SB" w:eastAsia="DFKai-SB"/>
          <w:sz w:val="28"/>
          <w:szCs w:val="28"/>
        </w:rPr>
        <w:t>與產業轉型挑戰、住屋政策與青年安居、琴</w:t>
      </w:r>
      <w:r>
        <w:rPr>
          <w:rFonts w:hint="eastAsia" w:ascii="DFKai-SB" w:hAnsi="DFKai-SB" w:eastAsia="DFKai-SB"/>
          <w:sz w:val="28"/>
          <w:szCs w:val="28"/>
          <w:lang w:eastAsia="zh-CN"/>
        </w:rPr>
        <w:t>澳</w:t>
      </w:r>
      <w:r>
        <w:rPr>
          <w:rFonts w:hint="eastAsia" w:ascii="DFKai-SB" w:hAnsi="DFKai-SB" w:eastAsia="DFKai-SB"/>
          <w:sz w:val="28"/>
          <w:szCs w:val="28"/>
        </w:rPr>
        <w:t>融合與區域協同發展、生涯規劃與教育制度改革、生育支持與家庭福利政策、文化傳承與文旅創新生態、城市基建與智慧治理升級及金融創新與中葡平台</w:t>
      </w:r>
      <w:r>
        <w:rPr>
          <w:rFonts w:hint="eastAsia" w:ascii="DFKai-SB" w:hAnsi="DFKai-SB" w:eastAsia="DFKai-SB"/>
          <w:sz w:val="28"/>
          <w:szCs w:val="28"/>
          <w:lang w:eastAsia="zh-CN"/>
        </w:rPr>
        <w:t>建設</w:t>
      </w:r>
      <w:r>
        <w:rPr>
          <w:rFonts w:hint="eastAsia" w:ascii="DFKai-SB" w:hAnsi="DFKai-SB" w:eastAsia="DFKai-SB"/>
          <w:sz w:val="28"/>
          <w:szCs w:val="28"/>
        </w:rPr>
        <w:t>等議題提出多項建議。</w:t>
      </w:r>
    </w:p>
    <w:p w14:paraId="005912E9">
      <w:pPr>
        <w:spacing w:before="180" w:beforeLines="50" w:after="180" w:afterLines="50" w:line="440" w:lineRule="exact"/>
        <w:ind w:firstLine="560" w:firstLineChars="200"/>
        <w:jc w:val="both"/>
        <w:rPr>
          <w:rFonts w:ascii="DFKai-SB" w:hAnsi="DFKai-SB" w:eastAsia="DFKai-SB"/>
          <w:sz w:val="28"/>
          <w:szCs w:val="28"/>
        </w:rPr>
      </w:pPr>
      <w:r>
        <w:rPr>
          <w:rFonts w:hint="eastAsia" w:ascii="DFKai-SB" w:hAnsi="DFKai-SB" w:eastAsia="DFKai-SB"/>
          <w:sz w:val="28"/>
          <w:szCs w:val="28"/>
        </w:rPr>
        <w:t>多位發言者探討澳門經濟適度多元發展下的青年就業前景，討論聚焦於AI技術衝擊、人才短缺與專業錯配等問題，呼籲加強職業培訓、產學合作、</w:t>
      </w:r>
      <w:r>
        <w:rPr>
          <w:rFonts w:ascii="DFKai-SB" w:hAnsi="DFKai-SB" w:eastAsia="DFKai-SB"/>
          <w:sz w:val="28"/>
          <w:szCs w:val="28"/>
        </w:rPr>
        <w:t>鼓勵跨學科學習與第二專長發展</w:t>
      </w:r>
      <w:r>
        <w:rPr>
          <w:rFonts w:hint="eastAsia" w:ascii="DFKai-SB" w:hAnsi="DFKai-SB" w:eastAsia="DFKai-SB"/>
          <w:sz w:val="28"/>
          <w:szCs w:val="28"/>
        </w:rPr>
        <w:t>、</w:t>
      </w:r>
      <w:r>
        <w:rPr>
          <w:rFonts w:ascii="DFKai-SB" w:hAnsi="DFKai-SB" w:eastAsia="DFKai-SB"/>
          <w:sz w:val="28"/>
          <w:szCs w:val="28"/>
        </w:rPr>
        <w:t>推動夜間進修碩士/博士課程，支援在職人士升學</w:t>
      </w:r>
      <w:r>
        <w:rPr>
          <w:rFonts w:hint="eastAsia" w:ascii="DFKai-SB" w:hAnsi="DFKai-SB" w:eastAsia="DFKai-SB"/>
          <w:sz w:val="28"/>
          <w:szCs w:val="28"/>
        </w:rPr>
        <w:t>，以提升青年競爭力。</w:t>
      </w:r>
    </w:p>
    <w:p w14:paraId="25ABFF28">
      <w:pPr>
        <w:spacing w:before="180" w:beforeLines="50" w:after="180" w:afterLines="50" w:line="440" w:lineRule="exact"/>
        <w:ind w:firstLine="560" w:firstLineChars="200"/>
        <w:jc w:val="both"/>
        <w:rPr>
          <w:rFonts w:hint="eastAsia" w:ascii="DFKai-SB" w:hAnsi="DFKai-SB" w:eastAsia="DFKai-SB"/>
          <w:sz w:val="28"/>
          <w:szCs w:val="28"/>
        </w:rPr>
      </w:pPr>
      <w:r>
        <w:rPr>
          <w:rFonts w:hint="eastAsia" w:ascii="DFKai-SB" w:hAnsi="DFKai-SB" w:eastAsia="DFKai-SB"/>
          <w:sz w:val="28"/>
          <w:szCs w:val="28"/>
        </w:rPr>
        <w:t>亦有與會青年討論本澳特色金融發展方向，包括債券市場培育與中葡金融服務平台建設。建議加強專業人才培訓，推動跨境保險試點，並鼓勵青年掌握金融科技技能，發揮澳門連接國際的橋樑作用。</w:t>
      </w:r>
    </w:p>
    <w:p w14:paraId="6FF8534C">
      <w:pPr>
        <w:spacing w:before="180" w:beforeLines="50" w:after="180" w:afterLines="50" w:line="440" w:lineRule="exact"/>
        <w:ind w:firstLine="560" w:firstLineChars="200"/>
        <w:jc w:val="both"/>
        <w:rPr>
          <w:rFonts w:ascii="DFKai-SB" w:hAnsi="DFKai-SB" w:eastAsia="DFKai-SB"/>
          <w:sz w:val="28"/>
          <w:szCs w:val="28"/>
        </w:rPr>
      </w:pPr>
      <w:r>
        <w:rPr>
          <w:rFonts w:hint="eastAsia" w:ascii="DFKai-SB" w:hAnsi="DFKai-SB" w:eastAsia="DFKai-SB"/>
          <w:sz w:val="28"/>
          <w:szCs w:val="28"/>
        </w:rPr>
        <w:t>面對澳門的低生育率，發言者提出需整合托育、醫療與住房支援，建議擴增社區托育設施、提高育兒津貼，並將育兒狀況納入申請公共房屋的評分機制，全面降低年輕家庭養育負擔。</w:t>
      </w:r>
    </w:p>
    <w:p w14:paraId="71B994C9">
      <w:pPr>
        <w:spacing w:before="180" w:beforeLines="50" w:after="180" w:afterLines="50" w:line="440" w:lineRule="exact"/>
        <w:ind w:firstLine="560" w:firstLineChars="200"/>
        <w:jc w:val="both"/>
        <w:rPr>
          <w:rFonts w:hint="eastAsia" w:ascii="DFKai-SB" w:hAnsi="DFKai-SB" w:eastAsia="DFKai-SB"/>
          <w:sz w:val="28"/>
          <w:szCs w:val="28"/>
        </w:rPr>
      </w:pPr>
      <w:r>
        <w:rPr>
          <w:rFonts w:hint="eastAsia" w:ascii="DFKai-SB" w:hAnsi="DFKai-SB" w:eastAsia="DFKai-SB"/>
          <w:sz w:val="28"/>
          <w:szCs w:val="28"/>
        </w:rPr>
        <w:t>林倫偉總結時指出，今年是國家</w:t>
      </w:r>
      <w:r>
        <w:rPr>
          <w:rFonts w:ascii="DFKai-SB" w:hAnsi="DFKai-SB" w:eastAsia="DFKai-SB"/>
          <w:sz w:val="28"/>
          <w:szCs w:val="28"/>
        </w:rPr>
        <w:t>“</w:t>
      </w:r>
      <w:r>
        <w:rPr>
          <w:rFonts w:hint="eastAsia" w:ascii="DFKai-SB" w:hAnsi="DFKai-SB" w:eastAsia="DFKai-SB"/>
          <w:sz w:val="28"/>
          <w:szCs w:val="28"/>
        </w:rPr>
        <w:t>十五五</w:t>
      </w:r>
      <w:r>
        <w:rPr>
          <w:rFonts w:ascii="DFKai-SB" w:hAnsi="DFKai-SB" w:eastAsia="DFKai-SB"/>
          <w:sz w:val="28"/>
          <w:szCs w:val="28"/>
        </w:rPr>
        <w:t>”</w:t>
      </w:r>
      <w:r>
        <w:rPr>
          <w:rFonts w:hint="eastAsia" w:ascii="DFKai-SB" w:hAnsi="DFKai-SB" w:eastAsia="DFKai-SB"/>
          <w:sz w:val="28"/>
          <w:szCs w:val="28"/>
        </w:rPr>
        <w:t>與澳門</w:t>
      </w:r>
      <w:r>
        <w:rPr>
          <w:rFonts w:ascii="DFKai-SB" w:hAnsi="DFKai-SB" w:eastAsia="DFKai-SB"/>
          <w:sz w:val="28"/>
          <w:szCs w:val="28"/>
        </w:rPr>
        <w:t>“</w:t>
      </w:r>
      <w:r>
        <w:rPr>
          <w:rFonts w:hint="eastAsia" w:ascii="DFKai-SB" w:hAnsi="DFKai-SB" w:eastAsia="DFKai-SB"/>
          <w:sz w:val="28"/>
          <w:szCs w:val="28"/>
        </w:rPr>
        <w:t>三五規劃</w:t>
      </w:r>
      <w:r>
        <w:rPr>
          <w:rFonts w:ascii="DFKai-SB" w:hAnsi="DFKai-SB" w:eastAsia="DFKai-SB"/>
          <w:sz w:val="28"/>
          <w:szCs w:val="28"/>
        </w:rPr>
        <w:t>”</w:t>
      </w:r>
      <w:r>
        <w:rPr>
          <w:rFonts w:hint="eastAsia" w:ascii="DFKai-SB" w:hAnsi="DFKai-SB" w:eastAsia="DFKai-SB"/>
          <w:sz w:val="28"/>
          <w:szCs w:val="28"/>
        </w:rPr>
        <w:t>的雙開局之年，青年既是受益者更是建設者，期望青年練就本領，把握時代發展機遇。工聯將梳理座談意見形成建議書提交政府，並持續培養青年關心澳門，服務社會，建言獻策的能力。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altName w:val="DejaVu Sans"/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altName w:val="DejaVu Sans"/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altName w:val="Wingdings 3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DejaVu Sans">
    <w:panose1 w:val="020B0603030804020204"/>
    <w:charset w:val="00"/>
    <w:family w:val="auto"/>
    <w:pitch w:val="default"/>
    <w:sig w:usb0="E7006EFF" w:usb1="D200FDFF" w:usb2="0A246029" w:usb3="0400200C" w:csb0="600001FF" w:csb1="DFFF0000"/>
  </w:font>
  <w:font w:name="Calibri">
    <w:altName w:val="DejaVu Sans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Aptos">
    <w:altName w:val="Noto Sans CJK SC"/>
    <w:panose1 w:val="00000000000000000000"/>
    <w:charset w:val="00"/>
    <w:family w:val="swiss"/>
    <w:pitch w:val="default"/>
    <w:sig w:usb0="00000000" w:usb1="00000000" w:usb2="00000000" w:usb3="00000000" w:csb0="0000019F" w:csb1="00000000"/>
  </w:font>
  <w:font w:name="Noto Sans CJK SC">
    <w:panose1 w:val="020B0500000000000000"/>
    <w:charset w:val="86"/>
    <w:family w:val="auto"/>
    <w:pitch w:val="default"/>
    <w:sig w:usb0="30000083" w:usb1="2BDF3C10" w:usb2="00000016" w:usb3="00000000" w:csb0="602E0107" w:csb1="00000000"/>
  </w:font>
  <w:font w:name="PMingLiU">
    <w:altName w:val="文泉驿微米黑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文泉驿微米黑">
    <w:panose1 w:val="020B0606030804020204"/>
    <w:charset w:val="86"/>
    <w:family w:val="auto"/>
    <w:pitch w:val="default"/>
    <w:sig w:usb0="E10002EF" w:usb1="6BDFFCFB" w:usb2="00800036" w:usb3="00000000" w:csb0="603E019F" w:csb1="DFD70000"/>
  </w:font>
  <w:font w:name="Aptos Display">
    <w:altName w:val="Noto Sans CJK SC"/>
    <w:panose1 w:val="00000000000000000000"/>
    <w:charset w:val="00"/>
    <w:family w:val="swiss"/>
    <w:pitch w:val="default"/>
    <w:sig w:usb0="00000000" w:usb1="00000000" w:usb2="00000000" w:usb3="00000000" w:csb0="0000019F" w:csb1="00000000"/>
  </w:font>
  <w:font w:name="DFKai-SB">
    <w:altName w:val="文泉驿微米黑"/>
    <w:panose1 w:val="03000509000000000000"/>
    <w:charset w:val="88"/>
    <w:family w:val="script"/>
    <w:pitch w:val="default"/>
    <w:sig w:usb0="00000000" w:usb1="00000000" w:usb2="00000016" w:usb3="00000000" w:csb0="0010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8" w:lineRule="auto"/>
      </w:pPr>
      <w:r>
        <w:separator/>
      </w:r>
    </w:p>
  </w:footnote>
  <w:footnote w:type="continuationSeparator" w:id="1">
    <w:p>
      <w:pPr>
        <w:spacing w:before="0" w:after="0" w:line="278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1"/>
  <w:bordersDoNotSurroundFooter w:val="1"/>
  <w:documentProtection w:enforcement="0"/>
  <w:defaultTabStop w:val="480"/>
  <w:displayHorizontalDrawingGridEvery w:val="0"/>
  <w:displayVerticalDrawingGridEvery w:val="2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22B32"/>
    <w:rsid w:val="00022B32"/>
    <w:rsid w:val="000C2977"/>
    <w:rsid w:val="0059033F"/>
    <w:rsid w:val="00692258"/>
    <w:rsid w:val="006C5BF2"/>
    <w:rsid w:val="007A1BEB"/>
    <w:rsid w:val="00A40E6B"/>
    <w:rsid w:val="00AC350A"/>
    <w:rsid w:val="00B37A0D"/>
    <w:rsid w:val="00E26526"/>
    <w:rsid w:val="00ED483A"/>
    <w:rsid w:val="33BFD0B7"/>
    <w:rsid w:val="EAAEF3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pacing w:after="160" w:line="278" w:lineRule="auto"/>
    </w:pPr>
    <w:rPr>
      <w:rFonts w:asciiTheme="minorHAnsi" w:hAnsiTheme="minorHAnsi" w:eastAsiaTheme="minorEastAsia" w:cstheme="minorBidi"/>
      <w:kern w:val="2"/>
      <w:sz w:val="24"/>
      <w:szCs w:val="24"/>
      <w:lang w:val="en-US" w:eastAsia="zh-TW" w:bidi="ar-SA"/>
      <w14:ligatures w14:val="standardContextual"/>
    </w:rPr>
  </w:style>
  <w:style w:type="paragraph" w:styleId="2">
    <w:name w:val="heading 1"/>
    <w:basedOn w:val="1"/>
    <w:next w:val="1"/>
    <w:link w:val="17"/>
    <w:qFormat/>
    <w:uiPriority w:val="9"/>
    <w:pPr>
      <w:keepNext/>
      <w:keepLines/>
      <w:spacing w:before="480" w:after="80"/>
      <w:outlineLvl w:val="0"/>
    </w:pPr>
    <w:rPr>
      <w:rFonts w:asciiTheme="majorHAnsi" w:hAnsiTheme="majorHAnsi" w:eastAsiaTheme="majorEastAsia" w:cstheme="majorBidi"/>
      <w:color w:val="104862" w:themeColor="accent1" w:themeShade="BF"/>
      <w:sz w:val="48"/>
      <w:szCs w:val="48"/>
    </w:rPr>
  </w:style>
  <w:style w:type="paragraph" w:styleId="3">
    <w:name w:val="heading 2"/>
    <w:basedOn w:val="1"/>
    <w:next w:val="1"/>
    <w:link w:val="18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paragraph" w:styleId="4">
    <w:name w:val="heading 3"/>
    <w:basedOn w:val="1"/>
    <w:next w:val="1"/>
    <w:link w:val="19"/>
    <w:semiHidden/>
    <w:unhideWhenUsed/>
    <w:qFormat/>
    <w:uiPriority w:val="9"/>
    <w:pPr>
      <w:keepNext/>
      <w:keepLines/>
      <w:spacing w:before="160" w:after="40"/>
      <w:outlineLvl w:val="2"/>
    </w:pPr>
    <w:rPr>
      <w:rFonts w:eastAsiaTheme="majorEastAsia" w:cstheme="majorBidi"/>
      <w:color w:val="104862" w:themeColor="accent1" w:themeShade="BF"/>
      <w:sz w:val="32"/>
      <w:szCs w:val="32"/>
    </w:rPr>
  </w:style>
  <w:style w:type="paragraph" w:styleId="5">
    <w:name w:val="heading 4"/>
    <w:basedOn w:val="1"/>
    <w:next w:val="1"/>
    <w:link w:val="20"/>
    <w:semiHidden/>
    <w:unhideWhenUsed/>
    <w:qFormat/>
    <w:uiPriority w:val="9"/>
    <w:pPr>
      <w:keepNext/>
      <w:keepLines/>
      <w:spacing w:before="160" w:after="40"/>
      <w:outlineLvl w:val="3"/>
    </w:pPr>
    <w:rPr>
      <w:rFonts w:eastAsiaTheme="majorEastAsia" w:cstheme="majorBidi"/>
      <w:color w:val="104862" w:themeColor="accent1" w:themeShade="BF"/>
      <w:sz w:val="28"/>
      <w:szCs w:val="28"/>
    </w:rPr>
  </w:style>
  <w:style w:type="paragraph" w:styleId="6">
    <w:name w:val="heading 5"/>
    <w:basedOn w:val="1"/>
    <w:next w:val="1"/>
    <w:link w:val="21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104862" w:themeColor="accent1" w:themeShade="BF"/>
    </w:rPr>
  </w:style>
  <w:style w:type="paragraph" w:styleId="7">
    <w:name w:val="heading 6"/>
    <w:basedOn w:val="1"/>
    <w:next w:val="1"/>
    <w:link w:val="22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8">
    <w:name w:val="heading 7"/>
    <w:basedOn w:val="1"/>
    <w:next w:val="1"/>
    <w:link w:val="23"/>
    <w:semiHidden/>
    <w:unhideWhenUsed/>
    <w:qFormat/>
    <w:uiPriority w:val="9"/>
    <w:pPr>
      <w:keepNext/>
      <w:keepLines/>
      <w:spacing w:before="40" w:after="0"/>
      <w:ind w:left="100" w:leftChars="100"/>
      <w:outlineLvl w:val="6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4"/>
    <w:semiHidden/>
    <w:unhideWhenUsed/>
    <w:qFormat/>
    <w:uiPriority w:val="9"/>
    <w:pPr>
      <w:keepNext/>
      <w:keepLines/>
      <w:spacing w:before="40" w:after="0"/>
      <w:ind w:left="200" w:leftChars="200"/>
      <w:outlineLvl w:val="7"/>
    </w:pPr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0">
    <w:name w:val="heading 9"/>
    <w:basedOn w:val="1"/>
    <w:next w:val="1"/>
    <w:link w:val="25"/>
    <w:semiHidden/>
    <w:unhideWhenUsed/>
    <w:qFormat/>
    <w:uiPriority w:val="9"/>
    <w:pPr>
      <w:keepNext/>
      <w:keepLines/>
      <w:spacing w:before="40" w:after="0"/>
      <w:ind w:left="300" w:leftChars="300"/>
      <w:outlineLvl w:val="8"/>
    </w:pPr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6">
    <w:name w:val="Default Paragraph Font"/>
    <w:semiHidden/>
    <w:unhideWhenUsed/>
    <w:qFormat/>
    <w:uiPriority w:val="1"/>
  </w:style>
  <w:style w:type="table" w:default="1" w:styleId="15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footer"/>
    <w:basedOn w:val="1"/>
    <w:link w:val="36"/>
    <w:unhideWhenUsed/>
    <w:qFormat/>
    <w:uiPriority w:val="99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paragraph" w:styleId="12">
    <w:name w:val="header"/>
    <w:basedOn w:val="1"/>
    <w:link w:val="35"/>
    <w:unhideWhenUsed/>
    <w:qFormat/>
    <w:uiPriority w:val="99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paragraph" w:styleId="13">
    <w:name w:val="Subtitle"/>
    <w:basedOn w:val="1"/>
    <w:next w:val="1"/>
    <w:link w:val="27"/>
    <w:qFormat/>
    <w:uiPriority w:val="11"/>
    <w:pPr>
      <w:jc w:val="center"/>
    </w:pPr>
    <w:rPr>
      <w:rFonts w:asciiTheme="majorHAnsi" w:hAnsiTheme="majorHAnsi"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4">
    <w:name w:val="Title"/>
    <w:basedOn w:val="1"/>
    <w:next w:val="1"/>
    <w:link w:val="26"/>
    <w:qFormat/>
    <w:uiPriority w:val="10"/>
    <w:pPr>
      <w:spacing w:after="80" w:line="240" w:lineRule="auto"/>
      <w:contextualSpacing/>
      <w:jc w:val="center"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17">
    <w:name w:val="標題 1 字元"/>
    <w:basedOn w:val="16"/>
    <w:link w:val="2"/>
    <w:qFormat/>
    <w:uiPriority w:val="9"/>
    <w:rPr>
      <w:rFonts w:asciiTheme="majorHAnsi" w:hAnsiTheme="majorHAnsi" w:eastAsiaTheme="majorEastAsia" w:cstheme="majorBidi"/>
      <w:color w:val="104862" w:themeColor="accent1" w:themeShade="BF"/>
      <w:sz w:val="48"/>
      <w:szCs w:val="48"/>
    </w:rPr>
  </w:style>
  <w:style w:type="character" w:customStyle="1" w:styleId="18">
    <w:name w:val="標題 2 字元"/>
    <w:basedOn w:val="16"/>
    <w:link w:val="3"/>
    <w:semiHidden/>
    <w:qFormat/>
    <w:uiPriority w:val="9"/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character" w:customStyle="1" w:styleId="19">
    <w:name w:val="標題 3 字元"/>
    <w:basedOn w:val="16"/>
    <w:link w:val="4"/>
    <w:semiHidden/>
    <w:qFormat/>
    <w:uiPriority w:val="9"/>
    <w:rPr>
      <w:rFonts w:eastAsiaTheme="majorEastAsia" w:cstheme="majorBidi"/>
      <w:color w:val="104862" w:themeColor="accent1" w:themeShade="BF"/>
      <w:sz w:val="32"/>
      <w:szCs w:val="32"/>
    </w:rPr>
  </w:style>
  <w:style w:type="character" w:customStyle="1" w:styleId="20">
    <w:name w:val="標題 4 字元"/>
    <w:basedOn w:val="16"/>
    <w:link w:val="5"/>
    <w:semiHidden/>
    <w:qFormat/>
    <w:uiPriority w:val="9"/>
    <w:rPr>
      <w:rFonts w:eastAsiaTheme="majorEastAsia" w:cstheme="majorBidi"/>
      <w:color w:val="104862" w:themeColor="accent1" w:themeShade="BF"/>
      <w:sz w:val="28"/>
      <w:szCs w:val="28"/>
    </w:rPr>
  </w:style>
  <w:style w:type="character" w:customStyle="1" w:styleId="21">
    <w:name w:val="標題 5 字元"/>
    <w:basedOn w:val="16"/>
    <w:link w:val="6"/>
    <w:semiHidden/>
    <w:qFormat/>
    <w:uiPriority w:val="9"/>
    <w:rPr>
      <w:rFonts w:eastAsiaTheme="majorEastAsia" w:cstheme="majorBidi"/>
      <w:color w:val="104862" w:themeColor="accent1" w:themeShade="BF"/>
    </w:rPr>
  </w:style>
  <w:style w:type="character" w:customStyle="1" w:styleId="22">
    <w:name w:val="標題 6 字元"/>
    <w:basedOn w:val="16"/>
    <w:link w:val="7"/>
    <w:semiHidden/>
    <w:qFormat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3">
    <w:name w:val="標題 7 字元"/>
    <w:basedOn w:val="16"/>
    <w:link w:val="8"/>
    <w:semiHidden/>
    <w:qFormat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4">
    <w:name w:val="標題 8 字元"/>
    <w:basedOn w:val="16"/>
    <w:link w:val="9"/>
    <w:semiHidden/>
    <w:qFormat/>
    <w:uiPriority w:val="9"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5">
    <w:name w:val="標題 9 字元"/>
    <w:basedOn w:val="16"/>
    <w:link w:val="10"/>
    <w:semiHidden/>
    <w:qFormat/>
    <w:uiPriority w:val="9"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6">
    <w:name w:val="標題 字元"/>
    <w:basedOn w:val="16"/>
    <w:link w:val="14"/>
    <w:qFormat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7">
    <w:name w:val="副標題 字元"/>
    <w:basedOn w:val="16"/>
    <w:link w:val="13"/>
    <w:qFormat/>
    <w:uiPriority w:val="11"/>
    <w:rPr>
      <w:rFonts w:asciiTheme="majorHAnsi" w:hAnsiTheme="majorHAnsi"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8">
    <w:name w:val="Quote"/>
    <w:basedOn w:val="1"/>
    <w:next w:val="1"/>
    <w:link w:val="29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29">
    <w:name w:val="引文 字元"/>
    <w:basedOn w:val="16"/>
    <w:link w:val="28"/>
    <w:qFormat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30">
    <w:name w:val="List Paragraph"/>
    <w:basedOn w:val="1"/>
    <w:qFormat/>
    <w:uiPriority w:val="34"/>
    <w:pPr>
      <w:ind w:left="720"/>
      <w:contextualSpacing/>
    </w:pPr>
  </w:style>
  <w:style w:type="character" w:customStyle="1" w:styleId="31">
    <w:name w:val="Intense Emphasis"/>
    <w:basedOn w:val="16"/>
    <w:qFormat/>
    <w:uiPriority w:val="21"/>
    <w:rPr>
      <w:i/>
      <w:iCs/>
      <w:color w:val="104862" w:themeColor="accent1" w:themeShade="BF"/>
    </w:rPr>
  </w:style>
  <w:style w:type="paragraph" w:styleId="32">
    <w:name w:val="Intense Quote"/>
    <w:basedOn w:val="1"/>
    <w:next w:val="1"/>
    <w:link w:val="33"/>
    <w:qFormat/>
    <w:uiPriority w:val="30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104862" w:themeColor="accent1" w:themeShade="BF"/>
    </w:rPr>
  </w:style>
  <w:style w:type="character" w:customStyle="1" w:styleId="33">
    <w:name w:val="鮮明引文 字元"/>
    <w:basedOn w:val="16"/>
    <w:link w:val="32"/>
    <w:qFormat/>
    <w:uiPriority w:val="30"/>
    <w:rPr>
      <w:i/>
      <w:iCs/>
      <w:color w:val="104862" w:themeColor="accent1" w:themeShade="BF"/>
    </w:rPr>
  </w:style>
  <w:style w:type="character" w:customStyle="1" w:styleId="34">
    <w:name w:val="Intense Reference"/>
    <w:basedOn w:val="16"/>
    <w:qFormat/>
    <w:uiPriority w:val="32"/>
    <w:rPr>
      <w:b/>
      <w:bCs/>
      <w:smallCaps/>
      <w:color w:val="104862" w:themeColor="accent1" w:themeShade="BF"/>
      <w:spacing w:val="5"/>
    </w:rPr>
  </w:style>
  <w:style w:type="character" w:customStyle="1" w:styleId="35">
    <w:name w:val="頁首 字元"/>
    <w:basedOn w:val="16"/>
    <w:link w:val="12"/>
    <w:qFormat/>
    <w:uiPriority w:val="99"/>
    <w:rPr>
      <w:sz w:val="20"/>
      <w:szCs w:val="20"/>
    </w:rPr>
  </w:style>
  <w:style w:type="character" w:customStyle="1" w:styleId="36">
    <w:name w:val="頁尾 字元"/>
    <w:basedOn w:val="16"/>
    <w:link w:val="11"/>
    <w:qFormat/>
    <w:uiPriority w:val="99"/>
    <w:rPr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Sky123.Org</Company>
  <Pages>1</Pages>
  <Words>112</Words>
  <Characters>644</Characters>
  <Lines>5</Lines>
  <Paragraphs>1</Paragraphs>
  <TotalTime>23</TotalTime>
  <ScaleCrop>false</ScaleCrop>
  <LinksUpToDate>false</LinksUpToDate>
  <CharactersWithSpaces>755</CharactersWithSpaces>
  <Application>WPS Office_12.8.2.1119_F1E327BC-269C-435d-A152-05C5408002CA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2026-06-11T00:36:00Z</dcterms:created>
  <dc:creator>a m</dc:creator>
  <cp:lastModifiedBy>user</cp:lastModifiedBy>
  <cp:lastPrinted>2026-06-11T00:47:00Z</cp:lastPrinted>
  <dcterms:modified xsi:type="dcterms:W3CDTF">2026-06-10T17:36:30Z</dcterms:modified>
  <cp:revision>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2052-12.8.2.1119</vt:lpwstr>
  </property>
  <property fmtid="{D5CDD505-2E9C-101B-9397-08002B2CF9AE}" pid="3" name="ICV">
    <vt:lpwstr>DE1560328414C00C1E30296A9746246E_43</vt:lpwstr>
  </property>
</Properties>
</file>