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007BE6">
      <w:pPr>
        <w:spacing w:after="0" w:line="240" w:lineRule="auto"/>
        <w:jc w:val="both"/>
        <w:rPr>
          <w:rFonts w:ascii="標楷體" w:hAnsi="標楷體" w:eastAsia="標楷體"/>
          <w:b/>
          <w:bCs/>
          <w:sz w:val="28"/>
          <w:szCs w:val="28"/>
        </w:rPr>
      </w:pPr>
      <w:r>
        <w:rPr>
          <w:rFonts w:hint="eastAsia" w:ascii="標楷體" w:hAnsi="標楷體" w:eastAsia="標楷體"/>
          <w:b/>
          <w:bCs/>
          <w:sz w:val="28"/>
          <w:szCs w:val="28"/>
        </w:rPr>
        <w:t>澳門青年政務人才培訓計劃</w:t>
      </w:r>
      <w:r>
        <w:rPr>
          <w:rFonts w:ascii="標楷體" w:hAnsi="標楷體" w:eastAsia="標楷體"/>
          <w:b/>
          <w:bCs/>
          <w:sz w:val="28"/>
          <w:szCs w:val="28"/>
        </w:rPr>
        <w:t>-</w:t>
      </w:r>
      <w:r>
        <w:rPr>
          <w:rFonts w:hint="eastAsia" w:ascii="標楷體" w:hAnsi="標楷體" w:eastAsia="標楷體"/>
          <w:b/>
          <w:bCs/>
          <w:sz w:val="28"/>
          <w:szCs w:val="28"/>
        </w:rPr>
        <w:t>澳琴新質生產力社區發展策略比賽暨結業禮圓滿舉辦</w:t>
      </w:r>
    </w:p>
    <w:p w14:paraId="3BDF963C">
      <w:pPr>
        <w:spacing w:after="0" w:line="360" w:lineRule="auto"/>
        <w:ind w:firstLine="480" w:firstLineChars="200"/>
        <w:jc w:val="both"/>
        <w:rPr>
          <w:rFonts w:ascii="標楷體" w:hAnsi="標楷體" w:eastAsia="標楷體"/>
        </w:rPr>
      </w:pPr>
      <w:r>
        <w:rPr>
          <w:rFonts w:hint="eastAsia" w:ascii="標楷體" w:hAnsi="標楷體" w:eastAsia="標楷體"/>
        </w:rPr>
        <w:t>為培養澳門青年政務人才，推動澳琴深度合作與新質生產力發展，助力澳門青年融入國家發展大局，由澳門工會聯合總會、澳門工聯青年委員會及澳門工聯政務委員會合辦、澳門基金會資助的「澳門青年政務人才培訓計劃</w:t>
      </w:r>
      <w:r>
        <w:rPr>
          <w:rFonts w:hint="eastAsia" w:ascii="標楷體" w:hAnsi="標楷體" w:eastAsia="DengXian"/>
        </w:rPr>
        <w:t>—</w:t>
      </w:r>
      <w:r>
        <w:rPr>
          <w:rFonts w:hint="eastAsia" w:ascii="標楷體" w:hAnsi="標楷體" w:eastAsia="標楷體"/>
        </w:rPr>
        <w:t>澳琴新質生產力社區發展策略比賽暨結業禮」於</w:t>
      </w:r>
      <w:r>
        <w:rPr>
          <w:rFonts w:ascii="標楷體" w:hAnsi="標楷體" w:eastAsia="標楷體"/>
        </w:rPr>
        <w:t>2025</w:t>
      </w:r>
      <w:r>
        <w:rPr>
          <w:rFonts w:hint="eastAsia" w:ascii="標楷體" w:hAnsi="標楷體" w:eastAsia="標楷體"/>
        </w:rPr>
        <w:t>年</w:t>
      </w:r>
      <w:r>
        <w:rPr>
          <w:rFonts w:ascii="標楷體" w:hAnsi="標楷體" w:eastAsia="標楷體"/>
        </w:rPr>
        <w:t>8</w:t>
      </w:r>
      <w:r>
        <w:rPr>
          <w:rFonts w:hint="eastAsia" w:ascii="標楷體" w:hAnsi="標楷體" w:eastAsia="標楷體"/>
        </w:rPr>
        <w:t>月</w:t>
      </w:r>
      <w:r>
        <w:rPr>
          <w:rFonts w:ascii="標楷體" w:hAnsi="標楷體" w:eastAsia="標楷體"/>
        </w:rPr>
        <w:t>23</w:t>
      </w:r>
      <w:r>
        <w:rPr>
          <w:rFonts w:hint="eastAsia" w:ascii="標楷體" w:hAnsi="標楷體" w:eastAsia="標楷體"/>
        </w:rPr>
        <w:t>日假澳門雅辰酒店錢納利宴會廳舉辦。本年度培訓共有</w:t>
      </w:r>
      <w:r>
        <w:rPr>
          <w:rFonts w:hint="eastAsia" w:ascii="標楷體" w:hAnsi="標楷體" w:eastAsia="標楷體"/>
          <w:lang w:eastAsia="zh-TW"/>
        </w:rPr>
        <w:t>34</w:t>
      </w:r>
      <w:r>
        <w:rPr>
          <w:rFonts w:hint="eastAsia" w:ascii="標楷體" w:hAnsi="標楷體" w:eastAsia="標楷體"/>
        </w:rPr>
        <w:t>名學員完成</w:t>
      </w:r>
      <w:r>
        <w:rPr>
          <w:rFonts w:ascii="標楷體" w:hAnsi="標楷體" w:eastAsia="標楷體"/>
        </w:rPr>
        <w:t>36</w:t>
      </w:r>
      <w:r>
        <w:rPr>
          <w:rFonts w:hint="eastAsia" w:ascii="標楷體" w:hAnsi="標楷體" w:eastAsia="標楷體"/>
        </w:rPr>
        <w:t>學時課程獲頒發結業證書，其中</w:t>
      </w:r>
      <w:r>
        <w:rPr>
          <w:rFonts w:hint="eastAsia" w:ascii="標楷體" w:hAnsi="標楷體" w:eastAsia="DengXian"/>
          <w:lang w:eastAsia="zh-CN"/>
        </w:rPr>
        <w:t>9</w:t>
      </w:r>
      <w:r>
        <w:rPr>
          <w:rFonts w:hint="eastAsia" w:ascii="標楷體" w:hAnsi="標楷體" w:eastAsia="標楷體"/>
        </w:rPr>
        <w:t>名學員更被評委優秀學員。同時，比賽還設立了優秀獎、甲等獎、乙等獎、人氣獎、團結獎</w:t>
      </w:r>
      <w:r>
        <w:rPr>
          <w:rFonts w:hint="eastAsia" w:ascii="標楷體" w:hAnsi="標楷體" w:eastAsia="標楷體"/>
          <w:lang w:eastAsia="zh"/>
          <w:woUserID w:val="1"/>
        </w:rPr>
        <w:t>等</w:t>
      </w:r>
      <w:bookmarkStart w:id="0" w:name="_GoBack"/>
      <w:bookmarkEnd w:id="0"/>
      <w:r>
        <w:rPr>
          <w:rFonts w:hint="eastAsia" w:ascii="標楷體" w:hAnsi="標楷體" w:eastAsia="標楷體"/>
          <w:lang w:eastAsia="zh"/>
          <w:woUserID w:val="1"/>
        </w:rPr>
        <w:t>多個</w:t>
      </w:r>
      <w:r>
        <w:rPr>
          <w:rFonts w:hint="eastAsia" w:ascii="標楷體" w:hAnsi="標楷體" w:eastAsia="標楷體"/>
        </w:rPr>
        <w:t>團隊獎項，</w:t>
      </w:r>
      <w:r>
        <w:rPr>
          <w:rFonts w:ascii="標楷體" w:hAnsi="標楷體" w:eastAsia="標楷體"/>
        </w:rPr>
        <w:t>XXX</w:t>
      </w:r>
      <w:r>
        <w:rPr>
          <w:rFonts w:hint="eastAsia" w:ascii="標楷體" w:hAnsi="標楷體" w:eastAsia="標楷體"/>
        </w:rPr>
        <w:t>隊最終摘得優秀獎桂冠！</w:t>
      </w:r>
    </w:p>
    <w:p w14:paraId="1833ECBF">
      <w:pPr>
        <w:spacing w:after="0" w:line="360" w:lineRule="auto"/>
        <w:ind w:firstLine="480" w:firstLineChars="200"/>
        <w:jc w:val="both"/>
        <w:rPr>
          <w:rFonts w:ascii="標楷體" w:hAnsi="標楷體" w:eastAsia="標楷體"/>
        </w:rPr>
      </w:pPr>
      <w:r>
        <w:rPr>
          <w:rFonts w:hint="eastAsia" w:ascii="標楷體" w:hAnsi="標楷體" w:eastAsia="標楷體"/>
        </w:rPr>
        <w:t>在比賽環節中，各團隊圍繞「新質生產力推動澳琴社區可持續發展」的主題，從智慧城市、綠色經濟、數字文旅、產業融合等角度提出創新方案，展現澳門青年對區域合作的深入思考與實踐能力。</w:t>
      </w:r>
    </w:p>
    <w:p w14:paraId="6449A1D2">
      <w:pPr>
        <w:spacing w:after="0" w:line="360" w:lineRule="auto"/>
        <w:ind w:firstLine="480" w:firstLineChars="200"/>
        <w:jc w:val="both"/>
        <w:rPr>
          <w:rFonts w:ascii="標楷體" w:hAnsi="標楷體" w:eastAsia="標楷體"/>
        </w:rPr>
      </w:pPr>
      <w:r>
        <w:rPr>
          <w:rFonts w:hint="eastAsia" w:ascii="標楷體" w:hAnsi="標楷體" w:eastAsia="標楷體"/>
        </w:rPr>
        <w:t>澳門科技大學可持續發展研究所所長劉成昆作為賽事評審點評到，各隊的提案體現了學員們對新質生產力的深刻理解，即以科技創新驅動產業升級，以協同融合促進社會效益。本次培訓計劃結合理論與實踐，助力青年掌握政務知識與區域發展趨勢，為澳琴融合發展注入新動能。</w:t>
      </w:r>
    </w:p>
    <w:p w14:paraId="20C6E619">
      <w:pPr>
        <w:spacing w:after="0" w:line="360" w:lineRule="auto"/>
        <w:ind w:firstLine="480" w:firstLineChars="200"/>
        <w:jc w:val="both"/>
        <w:rPr>
          <w:rFonts w:ascii="標楷體" w:hAnsi="標楷體" w:eastAsia="標楷體"/>
        </w:rPr>
      </w:pPr>
      <w:r>
        <w:rPr>
          <w:rFonts w:hint="eastAsia" w:ascii="標楷體" w:hAnsi="標楷體" w:eastAsia="標楷體"/>
        </w:rPr>
        <w:t>據瞭解，「澳門青年政務人才培訓計劃」的目標為培養本澳優秀青年，鼓勵青年參與社會活動，啟發政治覺悟及訓練政務能力。</w:t>
      </w:r>
      <w:r>
        <w:rPr>
          <w:rFonts w:ascii="標楷體" w:hAnsi="標楷體" w:eastAsia="標楷體"/>
        </w:rPr>
        <w:t>2025</w:t>
      </w:r>
      <w:r>
        <w:rPr>
          <w:rFonts w:hint="eastAsia" w:ascii="標楷體" w:hAnsi="標楷體" w:eastAsia="標楷體"/>
        </w:rPr>
        <w:t>年度，</w:t>
      </w:r>
      <w:r>
        <w:rPr>
          <w:rFonts w:ascii="標楷體" w:hAnsi="標楷體" w:eastAsia="標楷體"/>
        </w:rPr>
        <w:t>43</w:t>
      </w:r>
      <w:r>
        <w:rPr>
          <w:rFonts w:hint="eastAsia" w:ascii="標楷體" w:hAnsi="標楷體" w:eastAsia="標楷體"/>
        </w:rPr>
        <w:t>名學員已完成近</w:t>
      </w:r>
      <w:r>
        <w:rPr>
          <w:rFonts w:ascii="標楷體" w:hAnsi="標楷體" w:eastAsia="標楷體"/>
        </w:rPr>
        <w:t>3</w:t>
      </w:r>
      <w:r>
        <w:rPr>
          <w:rFonts w:hint="eastAsia" w:ascii="標楷體" w:hAnsi="標楷體" w:eastAsia="標楷體"/>
        </w:rPr>
        <w:t>個多月的政務人才培訓，主辦方通過邀請本澳、外地眾多的專業學者及議員等星級導師開展進階培訓、專家指導及實地考察，讓參與者深入發掘澳琴社區的新質生產力及瞭解可能存在的問題，結合橫琴粵澳深度合作區的戰略定位，提出可行性解決方案或活化方案，引導青年深入思考社區發展的創新路徑，助力政府解決社會民生及經濟發展問題。</w:t>
      </w:r>
    </w:p>
    <w:p w14:paraId="62B9AE22">
      <w:pPr>
        <w:spacing w:after="0" w:line="360" w:lineRule="auto"/>
        <w:ind w:firstLine="480" w:firstLineChars="200"/>
        <w:jc w:val="both"/>
        <w:rPr>
          <w:rFonts w:ascii="標楷體" w:hAnsi="標楷體" w:eastAsia="標楷體"/>
        </w:rPr>
      </w:pPr>
      <w:r>
        <w:rPr>
          <w:rFonts w:hint="eastAsia" w:ascii="標楷體" w:hAnsi="標楷體" w:eastAsia="標楷體"/>
        </w:rPr>
        <w:t>澳門工會聯合總會青年委員會主任程嘉雯在結業禮致辭中表示，在「一國兩制」的獨特優勢下，澳門與祖國血脈相連，國家發展的壯闊浪潮為澳門青年提供了前所未有的機遇與舞臺。我們期待更多青年人才將培訓所學轉化為行動，在公共服務、企業創新或社會治理中發揮所長，成為推動澳門適度多元發展的中堅力量。同時，</w:t>
      </w:r>
      <w:r>
        <w:rPr>
          <w:rFonts w:hint="eastAsia" w:ascii="標楷體" w:hAnsi="標楷體" w:eastAsia="標楷體"/>
          <w:b/>
          <w:bCs/>
        </w:rPr>
        <w:t>要</w:t>
      </w:r>
      <w:r>
        <w:rPr>
          <w:rFonts w:hint="eastAsia" w:ascii="標楷體" w:hAnsi="標楷體" w:eastAsia="標楷體"/>
        </w:rPr>
        <w:t>不斷學習，持續提升專業能力；</w:t>
      </w:r>
      <w:r>
        <w:rPr>
          <w:rFonts w:hint="eastAsia" w:ascii="標楷體" w:hAnsi="標楷體" w:eastAsia="標楷體"/>
          <w:b/>
          <w:bCs/>
        </w:rPr>
        <w:t>要</w:t>
      </w:r>
      <w:r>
        <w:rPr>
          <w:rFonts w:hint="eastAsia" w:ascii="標楷體" w:hAnsi="標楷體" w:eastAsia="標楷體"/>
        </w:rPr>
        <w:t>勇於實踐，將理論轉化為可落地的方案；</w:t>
      </w:r>
      <w:r>
        <w:rPr>
          <w:rFonts w:hint="eastAsia" w:ascii="標楷體" w:hAnsi="標楷體" w:eastAsia="標楷體"/>
          <w:b/>
          <w:bCs/>
        </w:rPr>
        <w:t>要</w:t>
      </w:r>
      <w:r>
        <w:rPr>
          <w:rFonts w:hint="eastAsia" w:ascii="標楷體" w:hAnsi="標楷體" w:eastAsia="標楷體"/>
        </w:rPr>
        <w:t>胸懷家國，為國家發展，澳門建設貢獻青年力量！</w:t>
      </w:r>
    </w:p>
    <w:p w14:paraId="2F3345DA">
      <w:pPr>
        <w:spacing w:after="0" w:line="360" w:lineRule="auto"/>
        <w:ind w:firstLine="480" w:firstLineChars="200"/>
        <w:jc w:val="both"/>
        <w:rPr>
          <w:rFonts w:ascii="標楷體" w:hAnsi="標楷體" w:eastAsia="標楷體"/>
        </w:rPr>
      </w:pPr>
      <w:r>
        <w:rPr>
          <w:rFonts w:hint="eastAsia" w:ascii="標楷體" w:hAnsi="標楷體" w:eastAsia="標楷體"/>
        </w:rPr>
        <w:t>出席活動的有中央人民政府駐澳門特別行政區聯絡辦公室社工部副部長趙河清、澳門特別行政區教育及青年發展局代副局長蔡敏芝、澳門基金會行政委員會委員李偉農、澳門工會聯合總會會長何雪卿等。</w:t>
      </w:r>
    </w:p>
    <w:p w14:paraId="6BDC5427">
      <w:pPr>
        <w:spacing w:after="0" w:line="360" w:lineRule="auto"/>
        <w:ind w:firstLine="480" w:firstLineChars="200"/>
        <w:rPr>
          <w:rFonts w:ascii="標楷體" w:hAnsi="標楷體" w:eastAsia="標楷體"/>
        </w:rPr>
      </w:pPr>
    </w:p>
    <w:sectPr>
      <w:pgSz w:w="11906" w:h="16838"/>
      <w:pgMar w:top="1440" w:right="1800" w:bottom="1440" w:left="1800"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汉仪君黑KW 55J"/>
    <w:panose1 w:val="00000000000000000000"/>
    <w:charset w:val="00"/>
    <w:family w:val="swiss"/>
    <w:pitch w:val="default"/>
    <w:sig w:usb0="00000000" w:usb1="00000000" w:usb2="00000000" w:usb3="00000000" w:csb0="0000019F" w:csb1="00000000"/>
  </w:font>
  <w:font w:name="汉仪君黑KW 55J">
    <w:panose1 w:val="00020600040101010101"/>
    <w:charset w:val="86"/>
    <w:family w:val="auto"/>
    <w:pitch w:val="default"/>
    <w:sig w:usb0="A00002BF" w:usb1="0ACF7CFA" w:usb2="00000016" w:usb3="00000000" w:csb0="0004000F" w:csb1="00000000"/>
  </w:font>
  <w:font w:name="PMingLiU">
    <w:altName w:val="汉仪中等线KW"/>
    <w:panose1 w:val="02020500000000000000"/>
    <w:charset w:val="88"/>
    <w:family w:val="roman"/>
    <w:pitch w:val="default"/>
    <w:sig w:usb0="00000000" w:usb1="00000000" w:usb2="00000016" w:usb3="00000000" w:csb0="00100001" w:csb1="00000000"/>
  </w:font>
  <w:font w:name="汉仪中等线KW">
    <w:panose1 w:val="01010104010101010101"/>
    <w:charset w:val="86"/>
    <w:family w:val="auto"/>
    <w:pitch w:val="default"/>
    <w:sig w:usb0="800002BF" w:usb1="004F7CFA" w:usb2="00000000" w:usb3="00000000" w:csb0="00040001" w:csb1="00000000"/>
  </w:font>
  <w:font w:name="Aptos Display">
    <w:altName w:val="汉仪君黑KW 55J"/>
    <w:panose1 w:val="00000000000000000000"/>
    <w:charset w:val="00"/>
    <w:family w:val="swiss"/>
    <w:pitch w:val="default"/>
    <w:sig w:usb0="00000000" w:usb1="00000000" w:usb2="00000000" w:usb3="00000000" w:csb0="0000019F" w:csb1="00000000"/>
  </w:font>
  <w:font w:name="標楷體">
    <w:altName w:val="汉仪楷体KW"/>
    <w:panose1 w:val="03000509000000000000"/>
    <w:charset w:val="88"/>
    <w:family w:val="script"/>
    <w:pitch w:val="default"/>
    <w:sig w:usb0="00000000" w:usb1="00000000" w:usb2="00000016" w:usb3="00000000" w:csb0="00100001" w:csb1="00000000"/>
  </w:font>
  <w:font w:name="汉仪楷体KW">
    <w:panose1 w:val="00020600040101010101"/>
    <w:charset w:val="86"/>
    <w:family w:val="auto"/>
    <w:pitch w:val="default"/>
    <w:sig w:usb0="A00002BF" w:usb1="18EF7CFA" w:usb2="00000016" w:usb3="00000000" w:csb0="00040000" w:csb1="00000000"/>
  </w:font>
  <w:font w:name="DengXian">
    <w:altName w:val="汉仪中等线KW"/>
    <w:panose1 w:val="02010600030101010101"/>
    <w:charset w:val="86"/>
    <w:family w:val="auto"/>
    <w:pitch w:val="default"/>
    <w:sig w:usb0="00000000" w:usb1="00000000"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7DF9D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TW"/>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4"/>
      <w:szCs w:val="24"/>
      <w:lang w:val="en-US" w:eastAsia="zh-TW" w:bidi="ar-SA"/>
      <w14:ligatures w14:val="none"/>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20"/>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21"/>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unhideWhenUsed/>
    <w:qFormat/>
    <w:uiPriority w:val="9"/>
    <w:pPr>
      <w:keepNext/>
      <w:keepLines/>
      <w:spacing w:before="40" w:after="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unhideWhenUsed/>
    <w:qFormat/>
    <w:uiPriority w:val="9"/>
    <w:pPr>
      <w:keepNext/>
      <w:keepLines/>
      <w:spacing w:before="40" w:after="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unhideWhenUsed/>
    <w:qFormat/>
    <w:uiPriority w:val="9"/>
    <w:pPr>
      <w:keepNext/>
      <w:keepLines/>
      <w:spacing w:before="40" w:after="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unhideWhenUsed/>
    <w:qFormat/>
    <w:uiPriority w:val="9"/>
    <w:pPr>
      <w:keepNext/>
      <w:keepLines/>
      <w:spacing w:before="40" w:after="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qFormat/>
    <w:uiPriority w:val="1"/>
  </w:style>
  <w:style w:type="table" w:default="1" w:styleId="15">
    <w:name w:val="Normal Table"/>
    <w:unhideWhenUsed/>
    <w:qFormat/>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pPr>
    <w:rPr>
      <w:sz w:val="20"/>
      <w:szCs w:val="20"/>
    </w:rPr>
  </w:style>
  <w:style w:type="paragraph" w:styleId="12">
    <w:name w:val="header"/>
    <w:basedOn w:val="1"/>
    <w:link w:val="35"/>
    <w:unhideWhenUsed/>
    <w:uiPriority w:val="99"/>
    <w:pPr>
      <w:tabs>
        <w:tab w:val="center" w:pos="4153"/>
        <w:tab w:val="right" w:pos="8306"/>
      </w:tabs>
      <w:snapToGrid w:val="0"/>
    </w:pPr>
    <w:rPr>
      <w:sz w:val="20"/>
      <w:szCs w:val="20"/>
    </w:rPr>
  </w:style>
  <w:style w:type="paragraph" w:styleId="13">
    <w:name w:val="Subtitle"/>
    <w:basedOn w:val="1"/>
    <w:next w:val="1"/>
    <w:link w:val="27"/>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7">
    <w:name w:val="標題 1 字元"/>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18">
    <w:name w:val="標題 2 字元"/>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19">
    <w:name w:val="標題 3 字元"/>
    <w:basedOn w:val="16"/>
    <w:link w:val="4"/>
    <w:semiHidden/>
    <w:qFormat/>
    <w:uiPriority w:val="9"/>
    <w:rPr>
      <w:rFonts w:eastAsiaTheme="majorEastAsia" w:cstheme="majorBidi"/>
      <w:color w:val="104862" w:themeColor="accent1" w:themeShade="BF"/>
      <w:sz w:val="32"/>
      <w:szCs w:val="32"/>
    </w:rPr>
  </w:style>
  <w:style w:type="character" w:customStyle="1" w:styleId="20">
    <w:name w:val="標題 4 字元"/>
    <w:basedOn w:val="16"/>
    <w:link w:val="5"/>
    <w:semiHidden/>
    <w:qFormat/>
    <w:uiPriority w:val="9"/>
    <w:rPr>
      <w:rFonts w:eastAsiaTheme="majorEastAsia" w:cstheme="majorBidi"/>
      <w:color w:val="104862" w:themeColor="accent1" w:themeShade="BF"/>
      <w:sz w:val="28"/>
      <w:szCs w:val="28"/>
    </w:rPr>
  </w:style>
  <w:style w:type="character" w:customStyle="1" w:styleId="21">
    <w:name w:val="標題 5 字元"/>
    <w:basedOn w:val="16"/>
    <w:link w:val="6"/>
    <w:semiHidden/>
    <w:qFormat/>
    <w:uiPriority w:val="9"/>
    <w:rPr>
      <w:rFonts w:eastAsiaTheme="majorEastAsia" w:cstheme="majorBidi"/>
      <w:color w:val="104862" w:themeColor="accent1" w:themeShade="BF"/>
    </w:rPr>
  </w:style>
  <w:style w:type="character" w:customStyle="1" w:styleId="22">
    <w:name w:val="標題 6 字元"/>
    <w:basedOn w:val="16"/>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標題 7 字元"/>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標題 8 字元"/>
    <w:basedOn w:val="16"/>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標題 9 字元"/>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標題 字元"/>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標題 字元"/>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文 字元"/>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customStyle="1"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customStyle="1"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鮮明引文 字元"/>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頁首 字元"/>
    <w:basedOn w:val="16"/>
    <w:link w:val="12"/>
    <w:uiPriority w:val="99"/>
    <w:rPr>
      <w:sz w:val="20"/>
      <w:szCs w:val="20"/>
    </w:rPr>
  </w:style>
  <w:style w:type="character" w:customStyle="1" w:styleId="36">
    <w:name w:val="頁尾 字元"/>
    <w:basedOn w:val="16"/>
    <w:link w:val="11"/>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149</Words>
  <Characters>855</Characters>
  <Lines>7</Lines>
  <Paragraphs>2</Paragraphs>
  <TotalTime>0</TotalTime>
  <ScaleCrop>false</ScaleCrop>
  <LinksUpToDate>false</LinksUpToDate>
  <CharactersWithSpaces>1002</CharactersWithSpaces>
  <Application>WPS Office WWO_wpscloud_20250806173754-cb0c0c2a42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2025-08-17T01:06:00Z</dcterms:created>
  <dc:creator>a m</dc:creator>
  <cp:lastModifiedBy>marcopirlooo</cp:lastModifiedBy>
  <dcterms:modified xsi:type="dcterms:W3CDTF">2025-08-23T14:52:43Z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7F35C664D96016B23B65A968A48A90C7_43</vt:lpwstr>
  </property>
  <property fmtid="{D5CDD505-2E9C-101B-9397-08002B2CF9AE}" pid="3" name="KSOProductBuildVer">
    <vt:lpwstr>2052-12.9.0.22498</vt:lpwstr>
  </property>
</Properties>
</file>