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Reseller Agreement — TradeFundrr, LLC and Wall Street Bound, Inc.</w:t>
      </w:r>
    </w:p>
    <w:p>
      <w:pPr>
        <w:pStyle w:val="FirstParagraph"/>
      </w:pPr>
      <w:r>
        <w:rPr>
          <w:bCs/>
          <w:b/>
        </w:rPr>
        <w:t xml:space="preserve">Effective Date:</w:t>
      </w:r>
      <w:r>
        <w:t xml:space="preserve"> [DATE]</w:t>
      </w:r>
    </w:p>
    <w:p>
      <w:pPr>
        <w:pStyle w:val="BodyText"/>
      </w:pPr>
      <w:r>
        <w:rPr>
          <w:bCs/>
          <w:b/>
        </w:rPr>
        <w:t xml:space="preserve">Between:</w:t>
      </w:r>
    </w:p>
    <w:p>
      <w:pPr>
        <w:pStyle w:val="BodyText"/>
      </w:pPr>
      <w:r>
        <w:rPr>
          <w:bCs/>
          <w:b/>
        </w:rPr>
        <w:t xml:space="preserve">TradeFundrr, LLC</w:t>
      </w:r>
      <w:r>
        <w:t>, a Delaware limited liability company, with its principal place of business at 88 Pine Street, 23rd Floor, New York, NY 10005 (“Company”)</w:t>
      </w:r>
    </w:p>
    <w:p>
      <w:pPr>
        <w:pStyle w:val="BodyText"/>
      </w:pPr>
      <w:r>
        <w:rPr>
          <w:bCs/>
          <w:b/>
        </w:rPr>
        <w:t xml:space="preserve">and</w:t>
      </w:r>
    </w:p>
    <w:p>
      <w:pPr>
        <w:pStyle w:val="BodyText"/>
      </w:pPr>
      <w:r>
        <w:rPr>
          <w:bCs/>
          <w:b/>
        </w:rPr>
        <w:t xml:space="preserve">Wall Street Bound, Inc.</w:t>
      </w:r>
      <w:r>
        <w:t xml:space="preserve"> (d/b/a WallStreetBound.org), with its principal place of business at [ADDRESS] (“Master Reseller”)</w:t>
      </w:r>
    </w:p>
    <w:p>
      <w:pPr>
        <w:pStyle w:val="BodyText"/>
      </w:pPr>
      <w:r>
        <w:t>Each a “Party” and collectively the “Parties.”</w:t>
      </w:r>
    </w:p>
    <w:p>
      <w:pPr>
        <w:pStyle w:val="BodyText"/>
        <w:jc w:val="center"/>
      </w:pPr>
      <w:r>
        <w:rPr>
          <w:bCs/>
          <w:b/>
          <w:sz w:val="26"/>
        </w:rPr>
        <w:t xml:space="preserve">RECITALS</w:t>
      </w:r>
    </w:p>
    <w:p>
      <w:pPr>
        <w:pStyle w:val="BodyText"/>
      </w:pPr>
      <w:r>
        <w:t xml:space="preserve">WHEREAS, the Company develops and offers proprietary trading programs, courses, tools, and related products and services;</w:t>
      </w:r>
    </w:p>
    <w:p>
      <w:pPr>
        <w:pStyle w:val="BodyText"/>
      </w:pPr>
      <w:r>
        <w:t xml:space="preserve">WHEREAS, Master Reseller operates a network of marketing and distribution partners and desires to act as the Company’s authorized master reseller, with the right to appoint and manage Sub-Resellers to market and sell the Company’s Products to end customers worldwide (subject to applicable restrictions);</w:t>
      </w:r>
    </w:p>
    <w:p>
      <w:pPr>
        <w:pStyle w:val="BodyText"/>
      </w:pPr>
      <w:r>
        <w:t xml:space="preserve">WHEREAS, the Parties wish to establish a master framework under which Products, Sub-Resellers, and territories may be added over time without requiring a new agreement for each;</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Start w:id="20" w:name="definitions"/>
    <w:p>
      <w:pPr>
        <w:pStyle w:val="Heading2"/>
      </w:pPr>
      <w:r>
        <w:t xml:space="preserve">1. Definitions</w:t>
      </w:r>
    </w:p>
    <w:p>
      <w:pPr>
        <w:pStyle w:val="FirstParagraph"/>
      </w:pPr>
      <w:r>
        <w:rPr>
          <w:b/>
        </w:rPr>
        <w:t xml:space="preserve">1.1 </w:t>
      </w:r>
      <w:r>
        <w:rPr>
          <w:b/>
          <w:bCs/>
        </w:rPr>
        <w:t>“Affiliate”</w:t>
      </w:r>
      <w:r>
        <w:t xml:space="preserve"> means, with respect to a Party, any entity that directly or indirectly controls, is controlled by, or is under common control with that Party. For purposes of this definition, “control” means the ownership of more than fifty percent (50%) of the voting equity interests or equivalent ownership interest of an entity, or the power to direct or cause the direction of the management and policies of an entity.</w:t>
      </w:r>
    </w:p>
    <w:p>
      <w:pPr>
        <w:pStyle w:val="BodyText"/>
      </w:pPr>
      <w:r>
        <w:rPr>
          <w:b/>
        </w:rPr>
        <w:t xml:space="preserve">1.2 </w:t>
      </w:r>
      <w:r>
        <w:rPr>
          <w:b/>
          <w:bCs/>
        </w:rPr>
        <w:t>“Products”</w:t>
      </w:r>
      <w:r>
        <w:t xml:space="preserve"> means any and all trading programs, courses, subscriptions, tools, and related products or services offered by the Company and authorized for resale under this Agreement, as set forth in Exhibit A (Product Schedule), which may be updated from time to time in accordance with Section 2.5. For the avoidance of doubt, only Products designated as commission-eligible in Exhibit A shall generate commissions under Section 3.</w:t>
      </w:r>
    </w:p>
    <w:p>
      <w:pPr>
        <w:pStyle w:val="BodyText"/>
      </w:pPr>
      <w:r>
        <w:rPr>
          <w:b/>
        </w:rPr>
        <w:t xml:space="preserve">1.3 </w:t>
      </w:r>
      <w:r>
        <w:rPr>
          <w:b/>
          <w:bCs/>
        </w:rPr>
        <w:t>“Resale Price”</w:t>
      </w:r>
      <w:r>
        <w:t xml:space="preserve"> means the price at which each Product is to be offered to end customers, as specified in Exhibit A. Where a Product carries special resale pricing (identified in Exhibit A), the Resale Price is the discounted price. Where no special resale pricing applies, the Resale Price equals the Retail Price.</w:t>
      </w:r>
    </w:p>
    <w:p>
      <w:pPr>
        <w:pStyle w:val="BodyText"/>
      </w:pPr>
      <w:r>
        <w:rPr>
          <w:b/>
        </w:rPr>
        <w:t xml:space="preserve">1.4 </w:t>
      </w:r>
      <w:r>
        <w:rPr>
          <w:b/>
          <w:bCs/>
        </w:rPr>
        <w:t>“Retail Price”</w:t>
      </w:r>
      <w:r>
        <w:t xml:space="preserve"> means the standard, non-discounted price for each Product as published by the Company and listed in Exhibit A.</w:t>
      </w:r>
    </w:p>
    <w:p>
      <w:pPr>
        <w:pStyle w:val="BodyText"/>
      </w:pPr>
      <w:r>
        <w:rPr>
          <w:b/>
        </w:rPr>
        <w:t xml:space="preserve">1.5 </w:t>
      </w:r>
      <w:r>
        <w:rPr>
          <w:b/>
          <w:bCs/>
        </w:rPr>
        <w:t>“Tracking Mechanism”</w:t>
      </w:r>
      <w:r>
        <w:t xml:space="preserve"> means the unique referral links, discount codes, UTM parameters, cookies, pixel-based tracking, or other attribution technology designated by the Company and assigned to Master Reseller or its Sub-Resellers for the purpose of identifying Attributed Sales. The Company shall provide and maintain the Tracking Mechanism and shall assign unique tracking identifiers to each registered Sub-Reseller. The Company shall notify Master Reseller of any material changes to the Tracking Mechanism at least ten (10) business days in advance.</w:t>
      </w:r>
    </w:p>
    <w:p>
      <w:pPr>
        <w:pStyle w:val="BodyText"/>
      </w:pPr>
      <w:r>
        <w:rPr>
          <w:b/>
        </w:rPr>
        <w:t xml:space="preserve">1.6 </w:t>
      </w:r>
      <w:r>
        <w:rPr>
          <w:b/>
          <w:bCs/>
        </w:rPr>
        <w:t>“Attributed Sale”</w:t>
      </w:r>
      <w:r>
        <w:t xml:space="preserve"> means a Completed Purchase of a commission-eligible Product that is recorded by the Tracking Mechanism as originating from Master Reseller’s or a Sub-Reseller’s marketing efforts. In the event of a dispute over attribution — including where a customer interacts with multiple reseller channels or a direct Company channel — the following rules apply in order of priority: (i) the Tracking Mechanism’s recorded data controls; (ii) if the Tracking Mechanism fails to record or is ambiguous due to a technical failure, malfunction, or outage of the Tracking Mechanism (as opposed to user error by Master Reseller or a Sub-Reseller), the Parties shall cooperate in good faith to reconstruct attribution from the Company’s available records, including but not limited to server logs, payment processor data, customer-submitted referral information, and CRM records, and the Company shall make such records available to Master Reseller within ten (10) business days of a written request; (iii) if the Tracking Mechanism fails to record or is ambiguous for reasons other than a Company-side technical failure, the sale is attributed to the channel associated with the customer’s last click or referral interaction within thirty (30) days prior to purchase; and (iv) if attribution still cannot be determined after the foregoing steps, the sale is not attributed to Master Reseller.</w:t>
      </w:r>
    </w:p>
    <w:p>
      <w:pPr>
        <w:pStyle w:val="BodyText"/>
      </w:pPr>
      <w:r>
        <w:rPr>
          <w:b/>
        </w:rPr>
        <w:t xml:space="preserve">1.7 </w:t>
      </w:r>
      <w:r>
        <w:rPr>
          <w:b/>
          <w:bCs/>
        </w:rPr>
        <w:t>“Completed Purchase”</w:t>
      </w:r>
      <w:r>
        <w:t xml:space="preserve"> means a transaction in which an end customer has purchased a Product at the applicable Resale Price and payment has been received in full by the Company.</w:t>
      </w:r>
    </w:p>
    <w:p>
      <w:pPr>
        <w:pStyle w:val="BodyText"/>
      </w:pPr>
      <w:r>
        <w:rPr>
          <w:b/>
        </w:rPr>
        <w:t xml:space="preserve">1.8 </w:t>
      </w:r>
      <w:r>
        <w:rPr>
          <w:b/>
          <w:bCs/>
        </w:rPr>
        <w:t>“Commissionable Transaction”</w:t>
      </w:r>
      <w:r>
        <w:t xml:space="preserve"> means: (i) a Completed Purchase (initial sale at the Resale Price); and (ii) any one-time activation fee collected by the Company from an end customer attributable to an Attributed Sale, as listed in Exhibit A. For the avoidance of doubt, monthly subscription fees, recurring charges, and any other periodic fees are not Commissionable Transactions and do not generate commissions under this Agreement.</w:t>
      </w:r>
    </w:p>
    <w:p>
      <w:pPr>
        <w:pStyle w:val="BodyText"/>
      </w:pPr>
      <w:r>
        <w:rPr>
          <w:b/>
        </w:rPr>
        <w:t xml:space="preserve">1.9 </w:t>
      </w:r>
      <w:r>
        <w:rPr>
          <w:b/>
          <w:bCs/>
        </w:rPr>
        <w:t>“Funded Sales”</w:t>
      </w:r>
      <w:r>
        <w:t xml:space="preserve"> means the total number of Attributed Sales during a given calendar month, aggregated across all Sub-Resellers and Master Reseller’s direct efforts.</w:t>
      </w:r>
    </w:p>
    <w:p>
      <w:pPr>
        <w:pStyle w:val="BodyText"/>
      </w:pPr>
      <w:r>
        <w:rPr>
          <w:b/>
        </w:rPr>
        <w:t xml:space="preserve">1.10 </w:t>
      </w:r>
      <w:r>
        <w:rPr>
          <w:b/>
          <w:bCs/>
        </w:rPr>
        <w:t>“Sub-Reseller”</w:t>
      </w:r>
      <w:r>
        <w:t xml:space="preserve"> means any third party registered under Exhibit B (Sub-Reseller Register) and approved by the Company in accordance with Section 2.2 to market or sell the Products to end customers under this Agreement.</w:t>
      </w:r>
    </w:p>
    <w:p>
      <w:pPr>
        <w:pStyle w:val="BodyText"/>
      </w:pPr>
      <w:r>
        <w:rPr>
          <w:b/>
        </w:rPr>
        <w:t xml:space="preserve">1.11 </w:t>
      </w:r>
      <w:r>
        <w:rPr>
          <w:b/>
          <w:bCs/>
        </w:rPr>
        <w:t>“Marketing Materials”</w:t>
      </w:r>
      <w:r>
        <w:t xml:space="preserve"> means any marketing materials, advertising content, social media posts, landing pages, email campaigns, or other promotional materials relating to the Products.</w:t>
      </w:r>
    </w:p>
    <w:p>
      <w:pPr>
        <w:pStyle w:val="BodyText"/>
      </w:pPr>
      <w:r>
        <w:rPr>
          <w:b/>
        </w:rPr>
        <w:t xml:space="preserve">1.12 </w:t>
      </w:r>
      <w:r>
        <w:rPr>
          <w:b/>
          <w:bCs/>
        </w:rPr>
        <w:t>“Prohibited Conduct”</w:t>
      </w:r>
      <w:r>
        <w:t xml:space="preserve"> has the meaning set forth in Section 7.</w:t>
      </w:r>
    </w:p>
    <w:p>
      <w:pPr>
        <w:pStyle w:val="BodyText"/>
      </w:pPr>
      <w:r>
        <w:rPr>
          <w:b/>
        </w:rPr>
        <w:t xml:space="preserve">1.13 </w:t>
      </w:r>
      <w:r>
        <w:rPr>
          <w:b/>
          <w:bCs/>
        </w:rPr>
        <w:t>“Confidential Information”</w:t>
      </w:r>
      <w:r>
        <w:t xml:space="preserve"> has the meaning set forth in Section 8.1.</w:t>
      </w:r>
    </w:p>
    <w:p>
      <w:pPr>
        <w:pStyle w:val="BodyText"/>
      </w:pPr>
      <w:r>
        <w:rPr>
          <w:b/>
        </w:rPr>
        <w:t xml:space="preserve">1.14 </w:t>
      </w:r>
      <w:r>
        <w:rPr>
          <w:b/>
          <w:bCs/>
        </w:rPr>
        <w:t>“Territory”</w:t>
      </w:r>
      <w:r>
        <w:t xml:space="preserve"> means, with respect to each Sub-Reseller, the geographic region or market identified in that Sub-Reseller’s entry in Exhibit B. If no Territory is specified, the Sub-Reseller may market globally subject to the restrictions in this Agreement.</w:t>
      </w:r>
    </w:p>
    <w:p>
      <w:pPr>
        <w:pStyle w:val="BodyText"/>
      </w:pPr>
      <w:r>
        <w:rPr>
          <w:b/>
        </w:rPr>
        <w:t xml:space="preserve">1.15 </w:t>
      </w:r>
      <w:r>
        <w:rPr>
          <w:b/>
          <w:bCs/>
        </w:rPr>
        <w:t>“Change of Control”</w:t>
      </w:r>
      <w:r>
        <w:t xml:space="preserve"> means any transaction or series of related transactions resulting in: (i) the transfer, sale, or issuance of more than fifty percent (50%) of the voting equity interests of a Party to a person or entity (or group of Affiliated persons or entities) that did not hold such interests immediately prior to the transaction; (ii) a merger, consolidation, or similar business combination in which the holders of a Party’s voting equity interests immediately prior to the transaction hold less than fifty percent (50%) of the voting equity interests of the surviving or resulting entity; or (iii) the sale or transfer of all or substantially all of a Party’s assets.</w:t>
      </w:r>
    </w:p>
    <w:p>
      <w:pPr>
        <w:pStyle w:val="BodyText"/>
      </w:pPr>
      <w:r>
        <w:rPr>
          <w:b/>
        </w:rPr>
        <w:t xml:space="preserve">1.16 </w:t>
      </w:r>
      <w:r>
        <w:rPr>
          <w:b/>
          <w:bCs/>
        </w:rPr>
        <w:t>“Personal Data”</w:t>
      </w:r>
      <w:r>
        <w:t xml:space="preserve"> has the meaning given to “personal data” under the General Data Protection Regulation (EU) 2016/679 (“GDPR”) and, where applicable, the equivalent term under other applicable data protection laws.</w:t>
      </w:r>
    </w:p>
    <w:p>
      <w:pPr>
        <w:pStyle w:val="BodyText"/>
      </w:pPr>
      <w:r>
        <w:rPr>
          <w:b/>
        </w:rPr>
        <w:t xml:space="preserve">1.17 </w:t>
      </w:r>
      <w:r>
        <w:rPr>
          <w:b/>
          <w:bCs/>
        </w:rPr>
        <w:t>“Compliance Policy”</w:t>
      </w:r>
      <w:r>
        <w:t xml:space="preserve"> means the marketing compliance standards, disclosure requirements, and operational procedures set forth in Exhibit D, as updated from time to time in accordance with Section 4.3(c).</w:t>
      </w:r>
    </w:p>
    <w:bookmarkEnd w:id="20"/>
    <w:bookmarkStart w:id="21" w:name="appointment-and-scope"/>
    <w:p>
      <w:pPr>
        <w:pStyle w:val="Heading2"/>
      </w:pPr>
      <w:r>
        <w:t xml:space="preserve">2. Appointment and Scope</w:t>
      </w:r>
    </w:p>
    <w:p>
      <w:pPr>
        <w:pStyle w:val="FirstParagraph"/>
      </w:pPr>
      <w:r>
        <w:rPr>
          <w:b/>
        </w:rPr>
        <w:t xml:space="preserve">2.1 </w:t>
      </w:r>
      <w:r>
        <w:rPr>
          <w:b/>
          <w:bCs/>
        </w:rPr>
        <w:t xml:space="preserve">Master Reseller Appointment.</w:t>
      </w:r>
      <w:r>
        <w:t xml:space="preserve"> The Company hereby appoints Master Reseller, and Master Reseller accepts appointment, as a non-exclusive master reseller of the Products. Master Reseller’s primary role under this Agreement is to recruit, onboard, manage, and be accountable for Sub-Resellers who market and sell the Products to end customers. Master Reseller may also market and sell the Products directly. Nothing in this Agreement restricts the Company from selling the Products directly, appointing other resellers or master resellers, or distributing the Products through any other channel.</w:t>
      </w:r>
    </w:p>
    <w:p>
      <w:pPr>
        <w:pStyle w:val="BodyText"/>
      </w:pPr>
      <w:r>
        <w:rPr>
          <w:b/>
        </w:rPr>
        <w:t xml:space="preserve">2.2 </w:t>
      </w:r>
      <w:r>
        <w:rPr>
          <w:b/>
          <w:bCs/>
        </w:rPr>
        <w:t xml:space="preserve">Sub-Reseller Appointment and Registration.</w:t>
      </w:r>
      <w:r>
        <w:t xml:space="preserve"> Master Reseller may appoint Sub-Resellers to market and sell the Products, provided that:</w:t>
      </w:r>
    </w:p>
    <w:p>
      <w:pPr>
        <w:numPr>
          <w:ilvl w:val="0"/>
          <w:numId w:val="1001"/>
        </w:numPr>
      </w:pPr>
      <w:r>
        <w:t xml:space="preserve">Each Sub-Reseller must be registered by adding its information to Exhibit B (Sub-Reseller Register) and submitting the updated Exhibit B to the Company for approval. The Company shall approve or reject a proposed Sub-Reseller within ten (10) business days; the Company may reject a proposed Sub-Reseller in its reasonable discretion, including on compliance, reputational, or sanctions-screening grounds, and shall provide the basis for any rejection;</w:t>
      </w:r>
    </w:p>
    <w:p>
      <w:pPr>
        <w:numPr>
          <w:ilvl w:val="0"/>
          <w:numId w:val="1001"/>
        </w:numPr>
      </w:pPr>
      <w:r>
        <w:t xml:space="preserve">No Sub-Reseller may begin marketing or selling the Products until the Company has approved its registration in writing and the Company has issued unique Tracking Mechanism identifiers for that Sub-Reseller;</w:t>
      </w:r>
    </w:p>
    <w:p>
      <w:pPr>
        <w:numPr>
          <w:ilvl w:val="0"/>
          <w:numId w:val="1001"/>
        </w:numPr>
      </w:pPr>
      <w:r>
        <w:t xml:space="preserve">Master Reseller remains fully responsible for the acts and omissions of each Sub-Reseller as if they were Master Reseller’s own;</w:t>
      </w:r>
    </w:p>
    <w:p>
      <w:pPr>
        <w:numPr>
          <w:ilvl w:val="0"/>
          <w:numId w:val="1001"/>
        </w:numPr>
      </w:pPr>
      <w:r>
        <w:t xml:space="preserve">Each Sub-Reseller must comply with all terms of this Agreement, including the Compliance Policy;</w:t>
      </w:r>
    </w:p>
    <w:p>
      <w:pPr>
        <w:numPr>
          <w:ilvl w:val="0"/>
          <w:numId w:val="1001"/>
        </w:numPr>
      </w:pPr>
      <w:r>
        <w:t xml:space="preserve">Any compensation owed to a Sub-Reseller is the sole responsibility of Master Reseller and is not an obligation of the Company; and</w:t>
      </w:r>
    </w:p>
    <w:p>
      <w:pPr>
        <w:numPr>
          <w:ilvl w:val="0"/>
          <w:numId w:val="1001"/>
        </w:numPr>
      </w:pPr>
      <w:r>
        <w:t xml:space="preserve">Master Reseller shall enter into a written sub-reseller agreement with each Sub-Reseller on terms no less protective of the Company than those contained in this Agreement, including without limitation the obligations set forth in Sections 4.3 through 4.10, Section 8 (Confidentiality), Section 4.7 (Intellectual Property), and Exhibit C (Data Processing Agreement). Master Reseller shall provide the Company with a copy of each executed sub-reseller agreement within ten (10) business days of execution.</w:t>
      </w:r>
    </w:p>
    <w:p>
      <w:pPr>
        <w:pStyle w:val="FirstParagraph"/>
      </w:pPr>
      <w:r>
        <w:rPr>
          <w:b/>
        </w:rPr>
        <w:t xml:space="preserve">2.3 </w:t>
      </w:r>
      <w:r>
        <w:rPr>
          <w:b/>
          <w:bCs/>
        </w:rPr>
        <w:t xml:space="preserve">Sub-Reseller Removal.</w:t>
      </w:r>
      <w:r>
        <w:t xml:space="preserve"> The Company may require Master Reseller to terminate or suspend any Sub-Reseller upon written notice if the Company reasonably determines that the Sub-Reseller has engaged in Prohibited Conduct, violated applicable law, or poses a compliance or reputational risk. Master Reseller shall effect such termination or suspension within five (5) business days of receiving notice.</w:t>
      </w:r>
    </w:p>
    <w:p>
      <w:pPr>
        <w:pStyle w:val="BodyText"/>
      </w:pPr>
      <w:r>
        <w:rPr>
          <w:b/>
        </w:rPr>
        <w:t xml:space="preserve">2.4 </w:t>
      </w:r>
      <w:r>
        <w:rPr>
          <w:b/>
          <w:bCs/>
        </w:rPr>
        <w:t xml:space="preserve">Product Pricing.</w:t>
      </w:r>
      <w:r>
        <w:t xml:space="preserve"> The Products shall be offered to end customers exclusively at the Resale Prices set forth in Exhibit A. Neither Master Reseller nor any Sub-Reseller shall discount, bundle, or alter the pricing of any Product without the Company’s prior written consent.</w:t>
      </w:r>
    </w:p>
    <w:p>
      <w:pPr>
        <w:pStyle w:val="BodyText"/>
      </w:pPr>
      <w:r>
        <w:rPr>
          <w:b/>
        </w:rPr>
        <w:t xml:space="preserve">2.5 </w:t>
      </w:r>
      <w:r>
        <w:rPr>
          <w:b/>
          <w:bCs/>
        </w:rPr>
        <w:t xml:space="preserve">Addition and Removal of Products.</w:t>
      </w:r>
      <w:r>
        <w:t xml:space="preserve"> The Company may propose new Products for inclusion in Exhibit A at any time. Any addition of a new Product, including its Resale Price and applicable commission rate (if different from the standard tiers in Section 3.1), shall require the mutual written agreement of the Parties by executing an updated Exhibit A. The Company may remove a Product from Exhibit A upon thirty (30) days’ prior written notice to Master Reseller, provided that commissions on Commissionable Transactions for the removed Product that occur before the effective date of removal shall remain payable.</w:t>
      </w:r>
    </w:p>
    <w:p>
      <w:pPr>
        <w:pStyle w:val="BodyText"/>
      </w:pPr>
      <w:r>
        <w:rPr>
          <w:b/>
        </w:rPr>
        <w:t xml:space="preserve">2.6 </w:t>
      </w:r>
      <w:r>
        <w:rPr>
          <w:b/>
          <w:bCs/>
        </w:rPr>
        <w:t xml:space="preserve">Collection of Payment.</w:t>
      </w:r>
      <w:r>
        <w:t xml:space="preserve"> The Company shall collect all payments from end customers. Master Reseller and its Sub-Resellers shall not collect payment from end customers on behalf of the Company unless expressly authorized in writing.</w:t>
      </w:r>
    </w:p>
    <w:p>
      <w:pPr>
        <w:pStyle w:val="BodyText"/>
      </w:pPr>
      <w:r>
        <w:rPr>
          <w:b/>
        </w:rPr>
        <w:t xml:space="preserve">2.7 </w:t>
      </w:r>
      <w:r>
        <w:rPr>
          <w:b/>
          <w:bCs/>
        </w:rPr>
        <w:t xml:space="preserve">Commission-Ineligible Products.</w:t>
      </w:r>
      <w:r>
        <w:t xml:space="preserve"> Products designated as not commission-eligible in Exhibit A (including promotional accounts) may be marketed by Master Reseller and its Sub-Resellers with the Company’s prior written consent, but shall not generate any commission or count toward Funded Sales tier calculations.</w:t>
      </w:r>
    </w:p>
    <w:bookmarkEnd w:id="21"/>
    <w:bookmarkStart w:id="22" w:name="commission-structure"/>
    <w:p>
      <w:pPr>
        <w:pStyle w:val="Heading2"/>
      </w:pPr>
      <w:r>
        <w:t xml:space="preserve">3. Commission Structure</w:t>
      </w:r>
    </w:p>
    <w:p>
      <w:pPr>
        <w:pStyle w:val="FirstParagraph"/>
      </w:pPr>
      <w:r>
        <w:rPr>
          <w:b/>
        </w:rPr>
        <w:t xml:space="preserve">3.1 </w:t>
      </w:r>
      <w:r>
        <w:rPr>
          <w:b/>
          <w:bCs/>
        </w:rPr>
        <w:t xml:space="preserve">Tiered Commission on Initial Sales.</w:t>
      </w:r>
      <w:r>
        <w:t xml:space="preserve"> The Company shall pay Master Reseller a commission on each Attributed Sale of a commission-eligible Product based on the following monthly tiers, applied to the applicable Resale Price for the Product sold: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Funded Sales per Calendar Month</w:t>
            </w:r>
          </w:p>
        </w:tc>
        <w:tc>
          <w:tcPr/>
          <w:p>
            <w:pPr>
              <w:pStyle w:val="Compact"/>
              <w:jc w:val="left"/>
            </w:pPr>
            <w:r>
              <w:t xml:space="preserve">Commission Rate (% of Resale Price)</w:t>
            </w:r>
          </w:p>
        </w:tc>
      </w:tr>
      <w:tr>
        <w:tc>
          <w:tcPr/>
          <w:p>
            <w:pPr>
              <w:pStyle w:val="Compact"/>
              <w:jc w:val="left"/>
            </w:pPr>
            <w:r>
              <w:t xml:space="preserve">1–25</w:t>
            </w:r>
          </w:p>
        </w:tc>
        <w:tc>
          <w:tcPr/>
          <w:p>
            <w:pPr>
              <w:pStyle w:val="Compact"/>
              <w:jc w:val="left"/>
            </w:pPr>
            <w:r>
              <w:t xml:space="preserve">25%</w:t>
            </w:r>
          </w:p>
        </w:tc>
      </w:tr>
      <w:tr>
        <w:tc>
          <w:tcPr/>
          <w:p>
            <w:pPr>
              <w:pStyle w:val="Compact"/>
              <w:jc w:val="left"/>
            </w:pPr>
            <w:r>
              <w:t xml:space="preserve">26–50</w:t>
            </w:r>
          </w:p>
        </w:tc>
        <w:tc>
          <w:tcPr/>
          <w:p>
            <w:pPr>
              <w:pStyle w:val="Compact"/>
              <w:jc w:val="left"/>
            </w:pPr>
            <w:r>
              <w:t xml:space="preserve">30%</w:t>
            </w:r>
          </w:p>
        </w:tc>
      </w:tr>
      <w:tr>
        <w:tc>
          <w:tcPr/>
          <w:p>
            <w:pPr>
              <w:pStyle w:val="Compact"/>
              <w:jc w:val="left"/>
            </w:pPr>
            <w:r>
              <w:t xml:space="preserve">51+</w:t>
            </w:r>
          </w:p>
        </w:tc>
        <w:tc>
          <w:tcPr/>
          <w:p>
            <w:pPr>
              <w:pStyle w:val="Compact"/>
              <w:jc w:val="left"/>
            </w:pPr>
            <w:r>
              <w:t xml:space="preserve">35%</w:t>
            </w:r>
          </w:p>
        </w:tc>
      </w:tr>
    </w:tbl>
    <w:p>
      <w:pPr>
        <w:pStyle w:val="BodyText"/>
      </w:pPr>
      <w:r>
        <w:t xml:space="preserve">Product-specific commission rates, if different from the above, shall be noted in Exhibit A and shall govern for those Products.</w:t>
      </w:r>
    </w:p>
    <w:p>
      <w:pPr>
        <w:pStyle w:val="BodyText"/>
      </w:pPr>
      <w:r>
        <w:rPr>
          <w:b/>
        </w:rPr>
        <w:t xml:space="preserve">3.2 </w:t>
      </w:r>
      <w:r>
        <w:rPr>
          <w:b/>
          <w:bCs/>
        </w:rPr>
        <w:t xml:space="preserve">Tier Calculation.</w:t>
      </w:r>
      <w:r>
        <w:t xml:space="preserve"> Commission tiers reset on the first day of each calendar month. The applicable rate for each tier applies only to the Attributed Sales falling within that tier bracket during the calendar month. All Attributed Sales of commission-eligible Products across all Sub-Resellers are aggregated for purposes of determining the applicable tier. For clarity, if Master Reseller and its Sub-Resellers collectively generate 60 Funded Sales in a calendar month (across any combination of commission-eligible Products and Sub-Resellers): (i) sales 1–25 are paid at 25%; (ii) sales 26–50 are paid at 30%; and (iii) sales 51–60 are paid at 35%.</w:t>
      </w:r>
    </w:p>
    <w:p>
      <w:pPr>
        <w:pStyle w:val="BodyText"/>
      </w:pPr>
      <w:r>
        <w:rPr>
          <w:b/>
        </w:rPr>
        <w:t xml:space="preserve">3.3 </w:t>
      </w:r>
      <w:r>
        <w:rPr>
          <w:b/>
          <w:bCs/>
        </w:rPr>
        <w:t xml:space="preserve">Activation Fee Commissions.</w:t>
      </w:r>
      <w:r>
        <w:t xml:space="preserve"> For each commission-eligible Product that carries a one-time activation fee (as listed in Exhibit A), the Company shall pay Master Reseller a commission equal to twenty-five percent (25%) of each activation fee actually collected by the Company from an end customer attributable to an Attributed Sale. Activation fee commissions are a one-time payment per customer per Product and do not recur. Product-specific activation fee commission rates, if different from twenty-five percent (25%), may be agreed in writing and noted in Exhibit A.</w:t>
      </w:r>
    </w:p>
    <w:p>
      <w:pPr>
        <w:pStyle w:val="BodyText"/>
      </w:pPr>
      <w:r>
        <w:rPr>
          <w:b/>
        </w:rPr>
        <w:t xml:space="preserve">3.4 </w:t>
      </w:r>
      <w:r>
        <w:rPr>
          <w:b/>
          <w:bCs/>
        </w:rPr>
        <w:t xml:space="preserve">Exclusion of Recurring Fees.</w:t>
      </w:r>
      <w:r>
        <w:t xml:space="preserve"> For the avoidance of doubt, monthly subscription fees, recurring charges, and any other periodic fees listed in Exhibit A are not commissionable under this Agreement.</w:t>
      </w:r>
    </w:p>
    <w:p>
      <w:pPr>
        <w:pStyle w:val="BodyText"/>
      </w:pPr>
      <w:r>
        <w:rPr>
          <w:b/>
        </w:rPr>
        <w:t xml:space="preserve">3.5 </w:t>
      </w:r>
      <w:r>
        <w:rPr>
          <w:b/>
          <w:bCs/>
        </w:rPr>
        <w:t xml:space="preserve">Commission Base.</w:t>
      </w:r>
      <w:r>
        <w:t xml:space="preserve"> Commissions under Section 3.1 are calculated on the Resale Price (the initial purchase price). Commissions under Section 3.3 are calculated on the activation fee. No other fees or charges generate commissions unless expressly agreed in writing and noted in Exhibit A.</w:t>
      </w:r>
    </w:p>
    <w:p>
      <w:pPr>
        <w:pStyle w:val="BodyText"/>
      </w:pPr>
      <w:r>
        <w:rPr>
          <w:b/>
        </w:rPr>
        <w:t xml:space="preserve">3.6 </w:t>
      </w:r>
      <w:r>
        <w:rPr>
          <w:b/>
          <w:bCs/>
        </w:rPr>
        <w:t xml:space="preserve">Holdback Reserve.</w:t>
      </w:r>
      <w:r>
        <w:t xml:space="preserve"> The Company shall withhold ten percent (10%) of each month’s total commission payout (the “Holdback”) as a reserve against potential refunds, chargebacks, and payment reversals under Section 3.8. The Holdback shall be reconciled quarterly: within fifteen (15) days after the end of each calendar quarter, the Company shall apply the Holdback against any outstanding refund, chargeback, or clawback amounts owed by Master Reseller, and shall release the remaining balance to Master Reseller. Upon termination of this Agreement, the final Holdback shall be retained by the Company for one hundred eighty (180) days following the effective date of termination, after which the Company shall reconcile any remaining obligations and release the net balance to Master Reseller within thirty (30) days.</w:t>
      </w:r>
    </w:p>
    <w:p>
      <w:pPr>
        <w:pStyle w:val="BodyText"/>
      </w:pPr>
      <w:r>
        <w:rPr>
          <w:b/>
        </w:rPr>
        <w:t xml:space="preserve">3.7 </w:t>
      </w:r>
      <w:r>
        <w:rPr>
          <w:b/>
          <w:bCs/>
        </w:rPr>
        <w:t xml:space="preserve">Payment Terms.</w:t>
      </w:r>
      <w:r>
        <w:t xml:space="preserve"> Commissions (net of the Holdback) shall be calculated on a calendar-month basis and paid within thirty (30) days following the end of each calendar month in which the Commissionable Transactions occurred. All commission obligations under this Agreement are denominated in United States dollars (USD). Payments shall be made via wire transfer, ACH, or through the Rise platform (Riseworks.io), at the Company’s election, to an account or wallet designated by Master Reseller in writing. Where payment is made through the Rise platform or any other method involving conversion to cryptocurrency, stablecoin, or any non-USD currency, the Company’s obligation is discharged upon transmission of the USD-equivalent amount as calculated at the conversion rate at the time of the Company’s initiation of payment; any currency fluctuation, conversion loss, or volatility occurring after the Company initiates payment shall be borne solely by Master Reseller. If a selected payment method becomes unavailable due to platform outage, regulatory action, frozen funds, or other circumstances beyond the Company’s reasonable control, the Company shall promptly notify Master Reseller and remit payment through an alternative method specified in this Section within ten (10) business days of the original payment due date; such delay shall not constitute a breach of this Agreement. All bank fees, wire transfer fees, platform transaction fees, and currency conversion costs incurred on the receiving end shall be borne by Master Reseller. All commission amounts stated in this Agreement are exclusive of taxes. All commissions under this Agreement are paid solely to Master Reseller; the Company shall not be obligated to make any payment directly to any Sub-Reseller.</w:t>
      </w:r>
    </w:p>
    <w:p>
      <w:pPr>
        <w:pStyle w:val="BodyText"/>
      </w:pPr>
      <w:r>
        <w:rPr>
          <w:b/>
        </w:rPr>
        <w:t xml:space="preserve">3.8 </w:t>
      </w:r>
      <w:r>
        <w:rPr>
          <w:b/>
          <w:bCs/>
        </w:rPr>
        <w:t xml:space="preserve">Refunds and Chargebacks.</w:t>
      </w:r>
      <w:r>
        <w:t xml:space="preserve"> If an end customer receives a refund, initiates a chargeback, or reverses payment on a Commissionable Transaction after a commission has been paid to Master Reseller, the Company shall be entitled to: (i) apply the corresponding commission amount against the Holdback; and (ii) to the extent the Holdback is insufficient, deduct the remaining amount from the next commission payment(s) due to Master Reseller. If no future commissions are due or the outstanding balance exceeds future commissions reasonably expected, Master Reseller shall remit the overpaid commission amount to the Company within thirty (30) days of written demand. The Company shall notify Master Reseller promptly of any chargeback and provide reasonable documentation. Commissions on Commissionable Transactions that are reversed within the same calendar month in which they occurred shall not be included in that month’s commission calculation. The Company’s right to claw back commissions under this Section shall apply only to refunds, chargebacks, or payment reversals that occur within one hundred eighty (180) days of the original transaction date. After such 180-day period, commissions shall be deemed fully earned and non-recoverable, except in cases of Prohibited Conduct, in which case the clawback right shall have no time limitation.</w:t>
      </w:r>
    </w:p>
    <w:p>
      <w:pPr>
        <w:pStyle w:val="BodyText"/>
      </w:pPr>
      <w:r>
        <w:rPr>
          <w:b/>
        </w:rPr>
        <w:t xml:space="preserve">3.9 </w:t>
      </w:r>
      <w:r>
        <w:rPr>
          <w:b/>
          <w:bCs/>
        </w:rPr>
        <w:t xml:space="preserve">Reporting.</w:t>
      </w:r>
      <w:r>
        <w:t xml:space="preserve"> The Company shall provide Master Reseller with a monthly statement showing: (i) the number of Attributed Sales by Product and by Sub-Reseller; (ii) the applicable commission tier(s); (iii) activation fees collected; (iv) the Holdback withheld and any amounts applied; (v) any adjustments under Section 3.8; and (vi) the total commission payable (net of Holdback) for the preceding calendar month. The statement shall include sufficient detail for Master Reseller to verify attribution, including Tracking Mechanism data associated with each Attributed Sale.</w:t>
      </w:r>
    </w:p>
    <w:p>
      <w:pPr>
        <w:pStyle w:val="BodyText"/>
      </w:pPr>
      <w:r>
        <w:rPr>
          <w:b/>
        </w:rPr>
        <w:t xml:space="preserve">3.10 </w:t>
      </w:r>
      <w:r>
        <w:rPr>
          <w:b/>
          <w:bCs/>
        </w:rPr>
        <w:t xml:space="preserve">Disputes.</w:t>
      </w:r>
      <w:r>
        <w:t xml:space="preserve"> If Master Reseller disputes any commission calculation, Holdback application, or attribution determination, Master Reseller must notify the Company in writing within fifteen (15) days of receiving the monthly statement. The Parties shall work in good faith to resolve any dispute. Failure to dispute within this period constitutes acceptance of the statement.</w:t>
      </w:r>
    </w:p>
    <w:p>
      <w:pPr>
        <w:pStyle w:val="BodyText"/>
      </w:pPr>
      <w:r>
        <w:rPr>
          <w:b/>
        </w:rPr>
        <w:t xml:space="preserve">3.11 </w:t>
      </w:r>
      <w:r>
        <w:rPr>
          <w:b/>
          <w:bCs/>
        </w:rPr>
        <w:t xml:space="preserve">Taxes and Tax Reporting.</w:t>
      </w:r>
      <w:r>
        <w:t xml:space="preserve"> Each Party is responsible for its own taxes arising from this Agreement. The Company will report commissions paid to Master Reseller on IRS Form 1099 (or applicable successor form) to the extent required by law. Master Reseller shall provide the Company with a completed IRS Form W-9 (or W-8BEN/W-8BEN-E, as applicable) prior to the first commission payment. If the Company is required by law to withhold any taxes from commission payments, the Company shall deduct such amounts, remit them to the applicable taxing authority, and provide Master Reseller with documentation of the withholding. Master Reseller shall be solely responsible for all tax obligations and tax reporting arising from payments made by Master Reseller to its Sub-Resellers.</w:t>
      </w:r>
    </w:p>
    <w:p>
      <w:pPr>
        <w:pStyle w:val="BodyText"/>
      </w:pPr>
      <w:r>
        <w:rPr>
          <w:b/>
        </w:rPr>
        <w:t xml:space="preserve">3.12 </w:t>
      </w:r>
      <w:r>
        <w:rPr>
          <w:b/>
          <w:bCs/>
        </w:rPr>
        <w:t xml:space="preserve">Set-Off.</w:t>
      </w:r>
      <w:r>
        <w:t xml:space="preserve"> The Company may set off any amounts owed by Master Reseller to the Company under this Agreement — including without limitation refund and chargeback recoveries under Section 3.8 and commission clawbacks under Section 7.3 — against any commissions, Holdback balances, or other amounts payable to Master Reseller. The Company shall provide written notice and reasonable documentation of any set-off.</w:t>
      </w:r>
    </w:p>
    <w:bookmarkEnd w:id="22"/>
    <w:bookmarkStart w:id="23" w:name="master-reseller-obligations"/>
    <w:p>
      <w:pPr>
        <w:pStyle w:val="Heading2"/>
      </w:pPr>
      <w:r>
        <w:t xml:space="preserve">4. Master Reseller Obligations</w:t>
      </w:r>
    </w:p>
    <w:p>
      <w:pPr>
        <w:pStyle w:val="FirstParagraph"/>
      </w:pPr>
      <w:r>
        <w:rPr>
          <w:b/>
        </w:rPr>
        <w:t xml:space="preserve">4.1 </w:t>
      </w:r>
      <w:r>
        <w:rPr>
          <w:b/>
          <w:bCs/>
        </w:rPr>
        <w:t xml:space="preserve">Prior Approval of Marketing Materials.</w:t>
      </w:r>
      <w:r>
        <w:t xml:space="preserve"> Master Reseller and its Sub-Resellers shall not publish, distribute, or otherwise use any Marketing Materials unless and until such Marketing Materials have been submitted to the Company and approved in writing. Master Reseller shall submit all proposed Marketing Materials (including those of its Sub-Resellers) to the Company at least five (5) business days prior to intended use. The Company shall approve or reject submitted Marketing Materials within five (5) business days of receipt; if the Company does not respond within such period, the Marketing Materials shall be deemed not approved. Approval may be revoked by the Company at any time upon written notice, and Master Reseller shall cause the immediate cessation of use of such materials. Master Reseller is responsible for ensuring Sub-Reseller compliance with this Section.</w:t>
      </w:r>
    </w:p>
    <w:p>
      <w:pPr>
        <w:pStyle w:val="BodyText"/>
      </w:pPr>
      <w:r>
        <w:rPr>
          <w:b/>
        </w:rPr>
        <w:t xml:space="preserve">4.2 </w:t>
      </w:r>
      <w:r>
        <w:rPr>
          <w:b/>
          <w:bCs/>
        </w:rPr>
        <w:t xml:space="preserve">Marketing Standards.</w:t>
      </w:r>
      <w:r>
        <w:t xml:space="preserve"> Master Reseller shall market and promote the Products in a professional manner consistent with the Company’s brand guidelines and any Marketing Materials approved by the Company. Master Reseller shall not, and shall ensure that its Sub-Resellers do not, make any representations, warranties, or guarantees regarding the Products that are not expressly authorized by the Company in writing.</w:t>
      </w:r>
    </w:p>
    <w:p>
      <w:pPr>
        <w:pStyle w:val="BodyText"/>
      </w:pPr>
      <w:r>
        <w:rPr>
          <w:b/>
        </w:rPr>
        <w:t xml:space="preserve">4.3 </w:t>
      </w:r>
      <w:r>
        <w:rPr>
          <w:b/>
          <w:bCs/>
        </w:rPr>
        <w:t xml:space="preserve">Advertising, Consumer-Protection, and Marketing Compliance.</w:t>
      </w:r>
    </w:p>
    <w:p>
      <w:pPr>
        <w:numPr>
          <w:ilvl w:val="0"/>
          <w:numId w:val="1002"/>
        </w:numPr>
      </w:pPr>
      <w:r>
        <w:rPr>
          <w:bCs/>
          <w:b/>
        </w:rPr>
        <w:t xml:space="preserve">Core Prohibitions.</w:t>
      </w:r>
      <w:r>
        <w:t xml:space="preserve"> Neither Master Reseller nor any Sub-Reseller shall, in connection with the marketing of the Products: (i) make any express or implied earnings claim, income claim, profit claim, or performance claim that is not truthful, substantiated by competent and reliable evidence, and expressly pre-authorized by the Company in writing; (ii) present any endorsement, testimonial, review, or case study without disclosing the material connection between the endorser and Master Reseller, the Sub-Reseller, or the Company (as applicable) clearly and conspicuously; (iii) represent or imply that the Products guarantee trading profits or income, that users will achieve particular financial outcomes, that funded-account programs eliminate financial risk, or that the Products constitute investment advice or securities recommendations; or (iv) send unsolicited commercial communications, make unsolicited calls or texts using automated systems, or deploy cookies or tracking technologies on its own properties, in each case in violation of applicable law.</w:t>
      </w:r>
    </w:p>
    <w:p>
      <w:pPr>
        <w:numPr>
          <w:ilvl w:val="0"/>
          <w:numId w:val="1002"/>
        </w:numPr>
      </w:pPr>
      <w:r>
        <w:rPr>
          <w:bCs/>
          <w:b/>
        </w:rPr>
        <w:t xml:space="preserve">Compliance with Applicable Law.</w:t>
      </w:r>
      <w:r>
        <w:t xml:space="preserve"> Master Reseller shall, and shall cause each Sub-Reseller to, comply with all applicable advertising, consumer-protection, endorsement, financial-promotion, anti-spam, telemarketing, electronic-communications, and cookie-consent laws in each jurisdiction where it markets the Products, including without limitation the FTC’s Guides Concerning the Use of Endorsements and Testimonials in Advertising (16 CFR Part 255), the CAN-SPAM Act, the Telephone Consumer Protection Act, Canada’s Anti-Spam Legislation, and the EU ePrivacy Directive and its national implementations (each, as applicable to the Master Reseller’s or Sub-Reseller’s activities in the relevant jurisdiction).</w:t>
      </w:r>
    </w:p>
    <w:p>
      <w:pPr>
        <w:numPr>
          <w:ilvl w:val="0"/>
          <w:numId w:val="1002"/>
        </w:numPr>
      </w:pPr>
      <w:r>
        <w:rPr>
          <w:bCs/>
          <w:b/>
        </w:rPr>
        <w:t xml:space="preserve">Compliance Policy.</w:t>
      </w:r>
      <w:r>
        <w:t xml:space="preserve"> The Company shall maintain a Compliance Policy (Exhibit D) setting forth the specific operational procedures, disclosure formats, substantiation standards, consent-management requirements, and record-retention periods that implement the obligations in this Section 4.3. The Company may update the Compliance Policy upon thirty (30) days’ prior written notice to Master Reseller; provided, however, that any update that materially increases Master Reseller’s obligations beyond what applicable law requires shall not be effective unless agreed in writing by both Parties. Updates that reflect changes in applicable law, regulatory guidance, or advertising-platform policies shall be deemed not to materially increase Master Reseller’s obligations.</w:t>
      </w:r>
    </w:p>
    <w:p>
      <w:pPr>
        <w:numPr>
          <w:ilvl w:val="0"/>
          <w:numId w:val="1002"/>
        </w:numPr>
      </w:pPr>
      <w:r>
        <w:rPr>
          <w:bCs/>
          <w:b/>
        </w:rPr>
        <w:t xml:space="preserve">Financial-Promotion Compliance.</w:t>
      </w:r>
      <w:r>
        <w:t xml:space="preserve"> Master Reseller shall not, and shall cause each Sub-Reseller not to, market the Products into any jurisdiction where doing so would require a license, registration, or regulatory approval that neither Master Reseller, the applicable Sub-Reseller, nor the Company holds. Master Reseller shall promptly notify the Company if it or any Sub-Reseller receives any inquiry or communication from a financial regulator related to the marketing of the Products. The Company retains sole discretion to restrict marketing of the Products in any jurisdiction by written notice.</w:t>
      </w:r>
    </w:p>
    <w:p>
      <w:pPr>
        <w:pStyle w:val="FirstParagraph"/>
      </w:pPr>
      <w:r>
        <w:rPr>
          <w:b/>
        </w:rPr>
        <w:t xml:space="preserve">4.4 </w:t>
      </w:r>
      <w:r>
        <w:rPr>
          <w:b/>
          <w:bCs/>
        </w:rPr>
        <w:t xml:space="preserve">Prohibition on Paid Search Traffic.</w:t>
      </w:r>
      <w:r>
        <w:t xml:space="preserve"> Neither Master Reseller nor any Sub-Reseller shall run paid advertising campaigns that direct traffic to any referral link, affiliate link, or Tracking Mechanism URL. This includes, without limitation, Google Ads, Bing Ads, Meta Ads, and any other paid search, display, social media, or pay-per-click advertising platform where the destination URL is a referral link or Tracking Mechanism URL. Master Reseller and Sub-Resellers may run paid advertising to their own websites or landing pages, provided that such pages do not automatically redirect to a referral link or Tracking Mechanism URL and that any Marketing Materials on such pages have been approved under Section 4.1.</w:t>
      </w:r>
    </w:p>
    <w:p>
      <w:pPr>
        <w:pStyle w:val="BodyText"/>
      </w:pPr>
      <w:r>
        <w:rPr>
          <w:b/>
        </w:rPr>
        <w:t xml:space="preserve">4.5 </w:t>
      </w:r>
      <w:r>
        <w:rPr>
          <w:b/>
          <w:bCs/>
        </w:rPr>
        <w:t xml:space="preserve">Sub-Reseller Management.</w:t>
      </w:r>
      <w:r>
        <w:t xml:space="preserve"> Master Reseller shall: (i) maintain a current and accurate Sub-Reseller Register (Exhibit B); (ii) provide the Company with updated copies of Exhibit B within five (5) business days of any change; (iii) monitor Sub-Reseller activities for compliance with this Agreement and the Compliance Policy; (iv) promptly investigate and report to the Company any suspected Prohibited Conduct or compliance violations by a Sub-Reseller; and (v) take all necessary action to enforce the terms of this Agreement against its Sub-Resellers, including suspension or termination of non-compliant Sub-Resellers.</w:t>
      </w:r>
    </w:p>
    <w:p>
      <w:pPr>
        <w:pStyle w:val="BodyText"/>
      </w:pPr>
      <w:r>
        <w:rPr>
          <w:b/>
        </w:rPr>
        <w:t xml:space="preserve">4.6 </w:t>
      </w:r>
      <w:r>
        <w:rPr>
          <w:b/>
          <w:bCs/>
        </w:rPr>
        <w:t xml:space="preserve">No Authority to Bind; No Agency.</w:t>
      </w:r>
      <w:r>
        <w:t xml:space="preserve"> Master Reseller is an independent contractor. Nothing in this Agreement creates a joint venture, partnership, employment, or agency relationship between Master Reseller and the Company. Master Reseller has no authority to bind the Company or make commitments on the Company’s behalf. Each Sub-Reseller acts solely as a contractor of Master Reseller and not of the Company; no Sub-Reseller has any authority, actual or apparent, to act on behalf of, bind, or create any obligation for the Company. Master Reseller shall ensure that each sub-reseller agreement and all Sub-Reseller-facing communications clearly state that the Sub-Reseller has no relationship with or authority on behalf of the Company.</w:t>
      </w:r>
    </w:p>
    <w:p>
      <w:pPr>
        <w:pStyle w:val="BodyText"/>
      </w:pPr>
      <w:r>
        <w:rPr>
          <w:b/>
        </w:rPr>
        <w:t xml:space="preserve">4.7 </w:t>
      </w:r>
      <w:r>
        <w:rPr>
          <w:b/>
          <w:bCs/>
        </w:rPr>
        <w:t xml:space="preserve">Intellectual Property.</w:t>
      </w:r>
      <w:r>
        <w:t xml:space="preserve"> Master Reseller may use the Company’s name, trademarks, and logos solely for the purpose of marketing the Products under this Agreement and in accordance with any brand guidelines provided by the Company. All goodwill arising from such use inures to the Company. Master Reseller shall not modify, alter, or create derivative works from the Company’s intellectual property.</w:t>
      </w:r>
    </w:p>
    <w:p>
      <w:pPr>
        <w:pStyle w:val="BodyText"/>
      </w:pPr>
      <w:r>
        <w:rPr>
          <w:b/>
        </w:rPr>
        <w:t xml:space="preserve">4.8 </w:t>
      </w:r>
      <w:r>
        <w:rPr>
          <w:b/>
          <w:bCs/>
        </w:rPr>
        <w:t xml:space="preserve">Anti-Corruption and FCPA Compliance.</w:t>
      </w:r>
      <w:r>
        <w:t xml:space="preserve"> Master Reseller represents and warrants that neither Master Reseller nor any of its Sub-Resellers, officers, directors, employees, or agents has made or will make, directly or indirectly, any payment, offer, or promise of anything of value to any government official, political party, or public international organization for the purpose of obtaining or retaining business or securing an improper advantage in connection with this Agreement. Master Reseller shall comply, and shall cause its Sub-Resellers to comply, with the U.S. Foreign Corrupt Practices Act, the UK Bribery Act 2010, and all other applicable anti-corruption laws. A breach of this Section shall constitute grounds for immediate termination under Section 6.4.</w:t>
      </w:r>
    </w:p>
    <w:p>
      <w:pPr>
        <w:pStyle w:val="BodyText"/>
      </w:pPr>
      <w:r>
        <w:rPr>
          <w:b/>
        </w:rPr>
        <w:t xml:space="preserve">4.9 </w:t>
      </w:r>
      <w:r>
        <w:rPr>
          <w:b/>
          <w:bCs/>
        </w:rPr>
        <w:t xml:space="preserve">Sanctions and Export Compliance.</w:t>
      </w:r>
      <w:r>
        <w:t xml:space="preserve"> Master Reseller represents and warrants that neither Master Reseller nor any of its Sub-Resellers is: (i) located in, organized under the laws of, or a resident of any country or territory subject to comprehensive U.S. sanctions (including Cuba, Iran, North Korea, Syria, and the Crimea, Donetsk, and Luhansk regions of Ukraine, as updated from time to time); (ii) listed on the U.S. Treasury Department’s Specially Designated Nationals and Blocked Persons List, the U.S. Commerce Department’s Entity List, or any other applicable restricted-party list; or (iii) owned or controlled by any such person or entity. Master Reseller shall not, and shall ensure that its Sub-Resellers do not, market, sell, or facilitate access to the Products to any end customer in a sanctioned jurisdiction or to any sanctioned person. Master Reseller shall screen each Sub-Reseller against applicable sanctions lists before appointment and on an ongoing basis. A breach of this Section shall constitute grounds for immediate termination under Section 6.4.</w:t>
      </w:r>
    </w:p>
    <w:p>
      <w:pPr>
        <w:pStyle w:val="BodyText"/>
      </w:pPr>
      <w:r>
        <w:rPr>
          <w:b/>
        </w:rPr>
        <w:t xml:space="preserve">4.10 </w:t>
      </w:r>
      <w:r>
        <w:rPr>
          <w:b/>
          <w:bCs/>
        </w:rPr>
        <w:t xml:space="preserve">Data Protection.</w:t>
      </w:r>
      <w:r>
        <w:t xml:space="preserve"> To the extent Master Reseller or any Sub-Reseller processes Personal Data in connection with this Agreement, the Parties’ respective obligations shall be governed by the Data Processing Agreement attached as Exhibit C, which is incorporated by reference.</w:t>
      </w:r>
    </w:p>
    <w:p>
      <w:pPr>
        <w:pStyle w:val="BodyText"/>
      </w:pPr>
      <w:r>
        <w:rPr>
          <w:b/>
        </w:rPr>
        <w:t xml:space="preserve">4.11 </w:t>
      </w:r>
      <w:r>
        <w:rPr>
          <w:b/>
          <w:bCs/>
        </w:rPr>
        <w:t xml:space="preserve">Non-Circumvention.</w:t>
      </w:r>
      <w:r>
        <w:t xml:space="preserve"> During the term of this Agreement and for a period of twelve (12) months following its termination or expiration, Master Reseller shall not, and shall cause its Sub-Resellers not to, directly or indirectly: (i) solicit, divert, or attempt to divert any end customer introduced through the Tracking Mechanism to purchase competing products or services that are substantially similar to the Products; or (ii) bypass, avoid, or circumvent the Tracking Mechanism or this Agreement to avoid the payment of commissions, fees, or other obligations hereunder. This Section does not restrict Master Reseller from marketing or selling products or services that are not substantially similar to the Products.</w:t>
      </w:r>
    </w:p>
    <w:p>
      <w:pPr>
        <w:pStyle w:val="BodyText"/>
      </w:pPr>
      <w:r>
        <w:rPr>
          <w:b/>
        </w:rPr>
        <w:t xml:space="preserve">4.12 </w:t>
      </w:r>
      <w:r>
        <w:rPr>
          <w:b/>
          <w:bCs/>
        </w:rPr>
        <w:t xml:space="preserve">Insurance.</w:t>
      </w:r>
      <w:r>
        <w:t xml:space="preserve"> Master Reseller shall obtain and maintain, at its own expense, throughout the term of this Agreement and for a period of one (1) year following termination or expiration: (i) commercial general liability insurance with a minimum per-occurrence limit of one million U.S. dollars ($1,000,000) and a minimum aggregate limit of two million U.S. dollars ($2,000,000); and (ii) cyber liability and privacy insurance with a minimum limit of one million U.S. dollars ($1,000,000) per claim and in the aggregate, covering network security liability, privacy liability, data breach response costs, and regulatory defense. All policies shall name the Company as an additional insured and shall provide that the insurer will give the Company at least thirty (30) days’ prior written notice of cancellation, non-renewal, or material change. Master Reseller shall provide the Company with certificates of insurance upon request. The Company may waive or adjust the insurance requirements of this Section in writing; any such waiver or adjustment shall not be deemed a waiver of any other obligation under this Agreement.</w:t>
      </w:r>
    </w:p>
    <w:p>
      <w:pPr>
        <w:pStyle w:val="BodyText"/>
      </w:pPr>
      <w:r>
        <w:rPr>
          <w:b/>
        </w:rPr>
        <w:t xml:space="preserve">4.13 </w:t>
      </w:r>
      <w:r>
        <w:rPr>
          <w:b/>
          <w:bCs/>
        </w:rPr>
        <w:t xml:space="preserve">Change of Control Notification.</w:t>
      </w:r>
      <w:r>
        <w:t xml:space="preserve"> Master Reseller shall notify the Company in writing at least thirty (30) days prior to any anticipated Change of Control of Master Reseller. If Master Reseller undergoes a Change of Control, the Company may, in its sole discretion, within thirty (30) days of receiving notice (or, if no notice was provided, within thirty (30) days of becoming aware of the Change of Control): (i) consent to the continuation of this Agreement; (ii) require re-approval of all Sub-Resellers under Section 2.2, with all Sub-Reseller activities suspended pending re-approval; or (iii) terminate this Agreement immediately upon written notice. Failure to provide timely notice of a Change of Control shall constitute a material breach.</w:t>
      </w:r>
    </w:p>
    <w:p>
      <w:pPr>
        <w:pStyle w:val="BodyText"/>
      </w:pPr>
      <w:r>
        <w:rPr>
          <w:b/>
        </w:rPr>
        <w:t xml:space="preserve">4.14 </w:t>
      </w:r>
      <w:r>
        <w:rPr>
          <w:b/>
          <w:bCs/>
        </w:rPr>
        <w:t xml:space="preserve">Compliance with Law.</w:t>
      </w:r>
      <w:r>
        <w:t xml:space="preserve"> Master Reseller shall comply with all applicable laws, rules, and regulations in connection with its activities under this Agreement, including without limitation any laws applicable to its Sub-Resellers’ jurisdictions of operation and the specific compliance requirements set forth in this Section 4.</w:t>
      </w:r>
    </w:p>
    <w:bookmarkEnd w:id="23"/>
    <w:bookmarkStart w:id="24" w:name="company-obligations"/>
    <w:p>
      <w:pPr>
        <w:pStyle w:val="Heading2"/>
      </w:pPr>
      <w:r>
        <w:t xml:space="preserve">5. Company Obligations</w:t>
      </w:r>
    </w:p>
    <w:p>
      <w:pPr>
        <w:pStyle w:val="FirstParagraph"/>
      </w:pPr>
      <w:r>
        <w:rPr>
          <w:b/>
        </w:rPr>
        <w:t xml:space="preserve">5.1 </w:t>
      </w:r>
      <w:r>
        <w:rPr>
          <w:b/>
          <w:bCs/>
        </w:rPr>
        <w:t xml:space="preserve">Product Delivery.</w:t>
      </w:r>
      <w:r>
        <w:t xml:space="preserve"> The Company shall be responsible for delivering the Products to end customers who complete a purchase.</w:t>
      </w:r>
    </w:p>
    <w:p>
      <w:pPr>
        <w:pStyle w:val="BodyText"/>
      </w:pPr>
      <w:r>
        <w:rPr>
          <w:b/>
        </w:rPr>
        <w:t xml:space="preserve">5.2 </w:t>
      </w:r>
      <w:r>
        <w:rPr>
          <w:b/>
          <w:bCs/>
        </w:rPr>
        <w:t xml:space="preserve">Customer Support.</w:t>
      </w:r>
      <w:r>
        <w:t xml:space="preserve"> The Company shall provide end-customer support for the Products. Master Reseller shall direct, and shall cause its Sub-Resellers to direct, all customer inquiries regarding Product content, performance, or technical issues to the Company.</w:t>
      </w:r>
    </w:p>
    <w:p>
      <w:pPr>
        <w:pStyle w:val="BodyText"/>
      </w:pPr>
      <w:r>
        <w:rPr>
          <w:b/>
        </w:rPr>
        <w:t xml:space="preserve">5.3 </w:t>
      </w:r>
      <w:r>
        <w:rPr>
          <w:b/>
          <w:bCs/>
        </w:rPr>
        <w:t xml:space="preserve">Marketing Materials and Compliance Support.</w:t>
      </w:r>
      <w:r>
        <w:t xml:space="preserve"> The Company shall provide Master Reseller with marketing materials, Product descriptions, brand guidelines, approved earnings disclaimers, and the Compliance Policy (Exhibit D) as reasonably necessary for Master Reseller and its Sub-Resellers to perform under this Agreement.</w:t>
      </w:r>
    </w:p>
    <w:p>
      <w:pPr>
        <w:pStyle w:val="BodyText"/>
      </w:pPr>
      <w:r>
        <w:rPr>
          <w:b/>
        </w:rPr>
        <w:t xml:space="preserve">5.4 </w:t>
      </w:r>
      <w:r>
        <w:rPr>
          <w:b/>
          <w:bCs/>
        </w:rPr>
        <w:t xml:space="preserve">Tracking Mechanism.</w:t>
      </w:r>
      <w:r>
        <w:t xml:space="preserve"> The Company shall provide and maintain the Tracking Mechanism, including issuing unique tracking identifiers for each approved Sub-Reseller, and shall ensure the Tracking Mechanism is reasonably accurate and operational. The Company shall be responsible for implementing and maintaining any required cookie or tracking consent mechanism on its own websites and checkout pages. The Company shall promptly notify Master Reseller of any material Tracking Mechanism failures or outages. In the event of a failure or outage, the attribution reconstruction process set forth in Section 1.6(ii) shall apply.</w:t>
      </w:r>
    </w:p>
    <w:p>
      <w:pPr>
        <w:pStyle w:val="BodyText"/>
      </w:pPr>
      <w:r>
        <w:rPr>
          <w:b/>
        </w:rPr>
        <w:t xml:space="preserve">5.5 </w:t>
      </w:r>
      <w:r>
        <w:rPr>
          <w:b/>
          <w:bCs/>
        </w:rPr>
        <w:t xml:space="preserve">Master Reseller Verification Right.</w:t>
      </w:r>
      <w:r>
        <w:t xml:space="preserve"> Upon Master Reseller’s written request, made no more than once per calendar quarter and with at least fifteen (15) business days’ prior notice, the Company shall make available for inspection by Master Reseller or its designated independent auditor (who shall be bound by confidentiality obligations acceptable to the Company) such books and records as are reasonably necessary to verify the accuracy of Attributed Sale counts, activation fee collections, Holdback balances, Tracking Mechanism data, and commission calculations for the twelve (12)-month period preceding the request. If the inspection reveals an underpayment exceeding five percent (5%) for any calendar month, the Company shall promptly pay the deficiency plus interest at one percent (1%) per month from the date originally due, and shall reimburse Master Reseller’s reasonable audit costs. If no such underpayment is found, Master Reseller shall bear its own audit costs.</w:t>
      </w:r>
    </w:p>
    <w:p>
      <w:pPr>
        <w:pStyle w:val="BodyText"/>
      </w:pPr>
      <w:r>
        <w:rPr>
          <w:b/>
        </w:rPr>
        <w:t xml:space="preserve">5.6 </w:t>
      </w:r>
      <w:r>
        <w:rPr>
          <w:b/>
          <w:bCs/>
        </w:rPr>
        <w:t xml:space="preserve">Regulatory Cooperation.</w:t>
      </w:r>
      <w:r>
        <w:t xml:space="preserve"> The Company shall promptly notify Master Reseller if the Company receives any inquiry, enforcement action, or regulatory communication from any governmental authority that relates to the Products or their marketing. The Parties shall cooperate in good faith in responding to any such matter. The Company retains sole discretion to modify, suspend, or discontinue any Product or restrict marketing in any jurisdiction in response to regulatory developments, and such actions shall not constitute a breach of this Agreement.</w:t>
      </w:r>
    </w:p>
    <w:bookmarkEnd w:id="24"/>
    <w:bookmarkStart w:id="25" w:name="term-and-termination"/>
    <w:p>
      <w:pPr>
        <w:pStyle w:val="Heading2"/>
      </w:pPr>
      <w:r>
        <w:t xml:space="preserve">6. Term and Termination</w:t>
      </w:r>
    </w:p>
    <w:p>
      <w:pPr>
        <w:pStyle w:val="FirstParagraph"/>
      </w:pPr>
      <w:r>
        <w:rPr>
          <w:b/>
        </w:rPr>
        <w:t xml:space="preserve">6.1 </w:t>
      </w:r>
      <w:r>
        <w:rPr>
          <w:b/>
          <w:bCs/>
        </w:rPr>
        <w:t xml:space="preserve">Initial Term.</w:t>
      </w:r>
      <w:r>
        <w:t xml:space="preserve"> This Agreement shall commence on the Effective Date and continue for a period of one (1) year (the “Initial Term”).</w:t>
      </w:r>
    </w:p>
    <w:p>
      <w:pPr>
        <w:pStyle w:val="BodyText"/>
      </w:pPr>
      <w:r>
        <w:rPr>
          <w:b/>
        </w:rPr>
        <w:t xml:space="preserve">6.2 </w:t>
      </w:r>
      <w:r>
        <w:rPr>
          <w:b/>
          <w:bCs/>
        </w:rPr>
        <w:t xml:space="preserve">Renewal.</w:t>
      </w:r>
      <w:r>
        <w:t xml:space="preserve"> Following the Initial Term, this Agreement shall automatically renew for successive one (1)-year periods unless either Party provides written notice of non-renewal at least thirty (30) days prior to the end of the then-current term.</w:t>
      </w:r>
    </w:p>
    <w:p>
      <w:pPr>
        <w:pStyle w:val="BodyText"/>
      </w:pPr>
      <w:r>
        <w:rPr>
          <w:b/>
        </w:rPr>
        <w:t xml:space="preserve">6.3 </w:t>
      </w:r>
      <w:r>
        <w:rPr>
          <w:b/>
          <w:bCs/>
        </w:rPr>
        <w:t xml:space="preserve">Termination for Convenience.</w:t>
      </w:r>
      <w:r>
        <w:t xml:space="preserve"> Either Party may terminate this Agreement at any time, with or without cause, by providing thirty (30) days’ prior written notice to the other Party.</w:t>
      </w:r>
    </w:p>
    <w:p>
      <w:pPr>
        <w:pStyle w:val="BodyText"/>
      </w:pPr>
      <w:r>
        <w:rPr>
          <w:b/>
        </w:rPr>
        <w:t xml:space="preserve">6.4 </w:t>
      </w:r>
      <w:r>
        <w:rPr>
          <w:b/>
          <w:bCs/>
        </w:rPr>
        <w:t xml:space="preserve">Termination for Cause.</w:t>
      </w:r>
      <w:r>
        <w:t xml:space="preserve"> Either Party may terminate this Agreement immediately upon written notice if the other Party: (i) materially breaches this Agreement and fails to cure such breach within fifteen (15) days of receiving written notice thereof; (ii) engages in Prohibited Conduct; (iii) breaches Section 4.8, 4.9, or 4.10 (including Exhibit C); or (iv) becomes insolvent, files for bankruptcy, or has a receiver appointed for a substantial part of its assets. The Company may also terminate this Agreement pursuant to Section 4.13 upon a Change of Control of Master Reseller. Either Party may terminate this Agreement immediately upon written notice if performance becomes illegal due to sanctions, regulatory action, or a change in applicable law.</w:t>
      </w:r>
    </w:p>
    <w:p>
      <w:pPr>
        <w:pStyle w:val="BodyText"/>
      </w:pPr>
      <w:r>
        <w:rPr>
          <w:b/>
        </w:rPr>
        <w:t xml:space="preserve">6.5 </w:t>
      </w:r>
      <w:r>
        <w:rPr>
          <w:b/>
          <w:bCs/>
        </w:rPr>
        <w:t xml:space="preserve">Effect of Termination.</w:t>
      </w:r>
      <w:r>
        <w:t xml:space="preserve"> Upon termination or expiration: (i) Master Reseller shall immediately cease, and shall cause all Sub-Resellers to immediately cease, marketing and selling the Products; (ii) the Company shall pay all commissions earned on Commissionable Transactions that occurred prior to the effective date of termination, subject to set-off under Section 3.12 and the post-termination Holdback retention under Section 3.6; (iii) Master Reseller shall immediately cease, and shall cause all Sub-Resellers to immediately cease, all use of the Company’s intellectual property and return or destroy any Confidential Information; (iv) Master Reseller shall terminate all sub-reseller agreements to the extent they relate to the Products; (v) Master Reseller and its Sub-Resellers shall comply with the data return and deletion obligations in Exhibit C; and (vi) all provisions that by their nature are intended to survive shall survive in accordance with Section 13.8.</w:t>
      </w:r>
    </w:p>
    <w:p>
      <w:pPr>
        <w:pStyle w:val="BodyText"/>
      </w:pPr>
      <w:r>
        <w:rPr>
          <w:b/>
        </w:rPr>
        <w:t xml:space="preserve">6.6 </w:t>
      </w:r>
      <w:r>
        <w:rPr>
          <w:b/>
          <w:bCs/>
        </w:rPr>
        <w:t xml:space="preserve">Tail Commissions.</w:t>
      </w:r>
      <w:r>
        <w:t xml:space="preserve"> Following termination or expiration, the Company shall pay Master Reseller commissions on Attributed Sales that are Completed Purchases occurring within thirty (30) days after the effective date of termination, provided that such sales are directly traceable through the Tracking Mechanism to marketing efforts that occurred prior to termination. Activation fee commissions under Section 3.3 shall also be payable on activation fees collected within thirty (30) days after termination from end customers attributable to pre-termination Attributed Sales. Tail commissions shall be calculated at the rates that would have applied under Sections 3.1 and 3.3 and shall be subject to the post-termination Holdback. No tail commissions shall be owed on transactions occurring more than thirty (30) days after termination.</w:t>
      </w:r>
    </w:p>
    <w:bookmarkEnd w:id="25"/>
    <w:bookmarkStart w:id="26" w:name="prohibited-conduct-and-abuse"/>
    <w:p>
      <w:pPr>
        <w:pStyle w:val="Heading2"/>
      </w:pPr>
      <w:r>
        <w:t xml:space="preserve">7. Prohibited Conduct and Abuse</w:t>
      </w:r>
    </w:p>
    <w:p>
      <w:pPr>
        <w:pStyle w:val="FirstParagraph"/>
      </w:pPr>
      <w:r>
        <w:rPr>
          <w:b/>
        </w:rPr>
        <w:t xml:space="preserve">7.1 </w:t>
      </w:r>
      <w:r>
        <w:rPr>
          <w:b/>
          <w:bCs/>
        </w:rPr>
        <w:t xml:space="preserve">Prohibited Conduct.</w:t>
      </w:r>
      <w:r>
        <w:t xml:space="preserve"> The following activities constitute “Prohibited Conduct” under this Agreement, whether committed by Master Reseller or any of its Sub-Resellers:</w:t>
      </w:r>
    </w:p>
    <w:p>
      <w:pPr>
        <w:numPr>
          <w:ilvl w:val="0"/>
          <w:numId w:val="1003"/>
        </w:numPr>
      </w:pPr>
      <w:r>
        <w:t xml:space="preserve">Generating fraudulent, fictitious, or fabricated sales, including the use of stolen payment information, synthetic identities, or manufactured customer accounts;</w:t>
      </w:r>
    </w:p>
    <w:p>
      <w:pPr>
        <w:numPr>
          <w:ilvl w:val="0"/>
          <w:numId w:val="1003"/>
        </w:numPr>
      </w:pPr>
      <w:r>
        <w:t xml:space="preserve">Incentivizing purchases through unauthorized cashback, rebate, or kickback schemes that effectively reduce the Resale Price below the amount specified in Exhibit A;</w:t>
      </w:r>
    </w:p>
    <w:p>
      <w:pPr>
        <w:numPr>
          <w:ilvl w:val="0"/>
          <w:numId w:val="1003"/>
        </w:numPr>
      </w:pPr>
      <w:r>
        <w:t xml:space="preserve">Making earnings claims, income claims, profit claims, performance claims, or misleading financial representations in violation of Section 4.3(a);</w:t>
      </w:r>
    </w:p>
    <w:p>
      <w:pPr>
        <w:numPr>
          <w:ilvl w:val="0"/>
          <w:numId w:val="1003"/>
        </w:numPr>
      </w:pPr>
      <w:r>
        <w:t xml:space="preserve">Failing to disclose material connections as required by Section 4.3(a)(ii) and the Compliance Policy;</w:t>
      </w:r>
    </w:p>
    <w:p>
      <w:pPr>
        <w:numPr>
          <w:ilvl w:val="0"/>
          <w:numId w:val="1003"/>
        </w:numPr>
      </w:pPr>
      <w:r>
        <w:t xml:space="preserve">Sending unsolicited commercial communications, making unsolicited automated calls or texts, or deploying cookies or tracking technologies in violation of applicable law or Section 4.3(a)(iv);</w:t>
      </w:r>
    </w:p>
    <w:p>
      <w:pPr>
        <w:numPr>
          <w:ilvl w:val="0"/>
          <w:numId w:val="1003"/>
        </w:numPr>
      </w:pPr>
      <w:r>
        <w:t xml:space="preserve">Manipulating commission tiers through sale-splitting, artificial timing, or any other scheme designed to inflate Funded Sales counts;</w:t>
      </w:r>
    </w:p>
    <w:p>
      <w:pPr>
        <w:numPr>
          <w:ilvl w:val="0"/>
          <w:numId w:val="1003"/>
        </w:numPr>
      </w:pPr>
      <w:r>
        <w:t xml:space="preserve">Purchasing Products through Master Reseller’s or a Sub-Reseller’s own referral channels to generate commissions (self-referral);</w:t>
      </w:r>
    </w:p>
    <w:p>
      <w:pPr>
        <w:numPr>
          <w:ilvl w:val="0"/>
          <w:numId w:val="1003"/>
        </w:numPr>
      </w:pPr>
      <w:r>
        <w:t xml:space="preserve">Reselling or transferring purchased Product accounts from one end customer to another;</w:t>
      </w:r>
    </w:p>
    <w:p>
      <w:pPr>
        <w:numPr>
          <w:ilvl w:val="0"/>
          <w:numId w:val="1003"/>
        </w:numPr>
      </w:pPr>
      <w:r>
        <w:t xml:space="preserve">Publishing, distributing, or using Marketing Materials not approved under Section 4.1;</w:t>
      </w:r>
    </w:p>
    <w:p>
      <w:pPr>
        <w:numPr>
          <w:ilvl w:val="0"/>
          <w:numId w:val="1003"/>
        </w:numPr>
      </w:pPr>
      <w:r>
        <w:t xml:space="preserve">Tampering with, circumventing, or manipulating the Tracking Mechanism;</w:t>
      </w:r>
    </w:p>
    <w:p>
      <w:pPr>
        <w:numPr>
          <w:ilvl w:val="0"/>
          <w:numId w:val="1003"/>
        </w:numPr>
      </w:pPr>
      <w:r>
        <w:t xml:space="preserve">Appointing or permitting a Sub-Reseller to operate without prior Company approval and registration in Exhibit B;</w:t>
      </w:r>
    </w:p>
    <w:p>
      <w:pPr>
        <w:numPr>
          <w:ilvl w:val="0"/>
          <w:numId w:val="1003"/>
        </w:numPr>
      </w:pPr>
      <w:r>
        <w:t xml:space="preserve">Running paid advertising campaigns that direct traffic to any referral link, affiliate link, or Tracking Mechanism URL in violation of Section 4.4;</w:t>
      </w:r>
    </w:p>
    <w:p>
      <w:pPr>
        <w:numPr>
          <w:ilvl w:val="0"/>
          <w:numId w:val="1003"/>
        </w:numPr>
      </w:pPr>
      <w:r>
        <w:t xml:space="preserve">Marketing or claiming commissions on commission-ineligible Products in violation of Section 2.7;</w:t>
      </w:r>
    </w:p>
    <w:p>
      <w:pPr>
        <w:numPr>
          <w:ilvl w:val="0"/>
          <w:numId w:val="1003"/>
        </w:numPr>
      </w:pPr>
      <w:r>
        <w:t xml:space="preserve">Processing Personal Data in violation of Exhibit C;</w:t>
      </w:r>
    </w:p>
    <w:p>
      <w:pPr>
        <w:numPr>
          <w:ilvl w:val="0"/>
          <w:numId w:val="1003"/>
        </w:numPr>
      </w:pPr>
      <w:r>
        <w:t xml:space="preserve">Marketing the Products into a jurisdiction in violation of Section 4.3(d); and</w:t>
      </w:r>
    </w:p>
    <w:p>
      <w:pPr>
        <w:numPr>
          <w:ilvl w:val="0"/>
          <w:numId w:val="1003"/>
        </w:numPr>
      </w:pPr>
      <w:r>
        <w:t xml:space="preserve">Any other activity that the Company reasonably determines constitutes fraud, abuse, or manipulation of this Agreement.</w:t>
      </w:r>
    </w:p>
    <w:p>
      <w:pPr>
        <w:pStyle w:val="FirstParagraph"/>
      </w:pPr>
      <w:r>
        <w:rPr>
          <w:b/>
        </w:rPr>
        <w:t xml:space="preserve">7.2 </w:t>
      </w:r>
      <w:r>
        <w:rPr>
          <w:b/>
          <w:bCs/>
        </w:rPr>
        <w:t xml:space="preserve">Monitoring and Audit.</w:t>
      </w:r>
      <w:r>
        <w:t xml:space="preserve"> The Company reserves the right to monitor sales activity, advertising campaigns, referral traffic sources, and marketing compliance, and to investigate suspected Prohibited Conduct. The Company may audit Master Reseller’s and any Sub-Reseller’s sales records, marketing materials, advertising accounts, consent records, and sub-reseller agreements upon reasonable notice.</w:t>
      </w:r>
    </w:p>
    <w:p>
      <w:pPr>
        <w:pStyle w:val="BodyText"/>
      </w:pPr>
      <w:r>
        <w:rPr>
          <w:b/>
        </w:rPr>
        <w:t xml:space="preserve">7.3 </w:t>
      </w:r>
      <w:r>
        <w:rPr>
          <w:b/>
          <w:bCs/>
        </w:rPr>
        <w:t xml:space="preserve">Remedies for Prohibited Conduct.</w:t>
      </w:r>
      <w:r>
        <w:t xml:space="preserve"> Upon determination that Prohibited Conduct has occurred, the Company may, in its sole discretion: (i) withhold or claw back commissions attributable to the Prohibited Conduct, without regard to the 180-day limitation in Section 3.8; (ii) suspend Master Reseller’s or the applicable Sub-Reseller’s participation pending investigation; (iii) require Master Reseller to immediately terminate the offending Sub-Reseller; and (iv) terminate this Agreement immediately pursuant to Section 6.4(ii). These remedies are cumulative and do not limit any other rights or remedies available at law or in equity.</w:t>
      </w:r>
    </w:p>
    <w:bookmarkEnd w:id="26"/>
    <w:bookmarkStart w:id="27" w:name="confidentiality"/>
    <w:p>
      <w:pPr>
        <w:pStyle w:val="Heading2"/>
      </w:pPr>
      <w:r>
        <w:t xml:space="preserve">8. Confidentiality</w:t>
      </w:r>
    </w:p>
    <w:p>
      <w:pPr>
        <w:pStyle w:val="FirstParagraph"/>
      </w:pPr>
      <w:r>
        <w:rPr>
          <w:b/>
        </w:rPr>
        <w:t xml:space="preserve">8.1 </w:t>
      </w:r>
      <w:r>
        <w:rPr>
          <w:b/>
          <w:bCs/>
        </w:rPr>
        <w:t xml:space="preserve">Confidential Information.</w:t>
      </w:r>
      <w:r>
        <w:t xml:space="preserve"> Each Party agrees to keep confidential all non-public business, financial, and technical information disclosed by the other Party in connection with this Agreement (“Confidential Information”), including without limitation commission rates, sales data, Tracking Mechanism specifications, Sub-Reseller information, and customer information. Confidential Information does not include information that: (i) is or becomes publicly available without breach of this Agreement; (ii) was known to the receiving Party prior to disclosure; (iii) is independently developed without reference to the disclosing Party’s Confidential Information; or (iv) is received from a third party without restriction.</w:t>
      </w:r>
    </w:p>
    <w:p>
      <w:pPr>
        <w:pStyle w:val="BodyText"/>
      </w:pPr>
      <w:r>
        <w:rPr>
          <w:b/>
        </w:rPr>
        <w:t xml:space="preserve">8.2 </w:t>
      </w:r>
      <w:r>
        <w:rPr>
          <w:b/>
          <w:bCs/>
        </w:rPr>
        <w:t xml:space="preserve">Duration.</w:t>
      </w:r>
      <w:r>
        <w:t xml:space="preserve"> The obligations under this Section 8 shall survive termination for a period of two (2) years.</w:t>
      </w:r>
    </w:p>
    <w:bookmarkEnd w:id="27"/>
    <w:bookmarkStart w:id="28" w:name="representations-and-warranties"/>
    <w:p>
      <w:pPr>
        <w:pStyle w:val="Heading2"/>
      </w:pPr>
      <w:r>
        <w:t xml:space="preserve">9. Representations and Warranties</w:t>
      </w:r>
    </w:p>
    <w:p>
      <w:pPr>
        <w:pStyle w:val="FirstParagraph"/>
      </w:pPr>
      <w:r>
        <w:rPr>
          <w:b/>
        </w:rPr>
        <w:t xml:space="preserve">9.1 </w:t>
      </w:r>
      <w:r>
        <w:rPr>
          <w:b/>
          <w:bCs/>
        </w:rPr>
        <w:t xml:space="preserve">Mutual Representations.</w:t>
      </w:r>
      <w:r>
        <w:t xml:space="preserve"> Each Party represents and warrants that: (i) it is duly organized, validly existing, and in good standing under the laws of its jurisdiction of formation; (ii) it has full power and authority to enter into and perform this Agreement; (iii) the execution and performance of this Agreement does not conflict with any other agreement to which it is a party; and (iv) this Agreement constitutes a legal, valid, and binding obligation enforceable against it in accordance with its terms.</w:t>
      </w:r>
    </w:p>
    <w:p>
      <w:pPr>
        <w:pStyle w:val="BodyText"/>
      </w:pPr>
      <w:r>
        <w:rPr>
          <w:b/>
        </w:rPr>
        <w:t xml:space="preserve">9.2 </w:t>
      </w:r>
      <w:r>
        <w:rPr>
          <w:b/>
          <w:bCs/>
        </w:rPr>
        <w:t xml:space="preserve">Regulatory Good-Standing Representations.</w:t>
      </w:r>
      <w:r>
        <w:t xml:space="preserve"> Each Party represents and warrants that neither it nor any of its principals, officers, directors, or controlling persons is: (i) subject to any order, judgment, decree, or sanction of the SEC, CFTC, FINRA, or NFA (or any equivalent regulatory body) that would prohibit, restrict, or condition its performance under this Agreement; or (ii) subject to any statutory disqualification under Section 3(a)(39) of the Securities Exchange Act of 1934 or CFTC Regulation 1.63. Each Party shall promptly notify the other if any of the foregoing ceases to be accurate.</w:t>
      </w:r>
    </w:p>
    <w:p>
      <w:pPr>
        <w:pStyle w:val="BodyText"/>
      </w:pPr>
      <w:r>
        <w:rPr>
          <w:b/>
        </w:rPr>
        <w:t xml:space="preserve">9.3 </w:t>
      </w:r>
      <w:r>
        <w:rPr>
          <w:b/>
          <w:bCs/>
        </w:rPr>
        <w:t xml:space="preserve">Master Reseller Representations.</w:t>
      </w:r>
      <w:r>
        <w:t xml:space="preserve"> Master Reseller additionally represents and warrants that: (i) it holds all licenses, permits, and authorizations necessary to perform its obligations under this Agreement in each jurisdiction where it or its Sub-Resellers operate; (ii) it has conducted and will conduct appropriate due diligence on each Sub-Reseller prior to appointment, including verification of identity, legal status, sanctions screening, and regulatory good-standing verification; (iii) all information provided to the Company in connection with this Agreement is and will be accurate and complete in all material respects; and (iv) each sub-reseller agreement contains terms no less protective of the Company than those in this Agreement.</w:t>
      </w:r>
    </w:p>
    <w:p>
      <w:pPr>
        <w:pStyle w:val="BodyText"/>
      </w:pPr>
      <w:r>
        <w:rPr>
          <w:b/>
        </w:rPr>
        <w:t xml:space="preserve">9.4 </w:t>
      </w:r>
      <w:r>
        <w:rPr>
          <w:b/>
          <w:bCs/>
        </w:rPr>
        <w:t xml:space="preserve">Company Representations.</w:t>
      </w:r>
      <w:r>
        <w:t xml:space="preserve"> The Company additionally represents and warrants that: (i) it has all rights necessary to authorize the resale of the Products; (ii) the Products, as delivered by the Company, do not, to the Company’s knowledge, infringe any third party’s intellectual property rights; (iii) to the Company’s knowledge as of the Effective Date, the Products are lawful to offer and sell in the United States in the manner contemplated by this Agreement; and (iv) as of the Effective Date, the Company is not aware of any pending regulatory proceeding that would prohibit the sale or marketing of the Products in the United States. The Company does not represent or warrant the legality of the Products or their marketing in any jurisdiction outside the United States; responsibility for determining Product-marketing legality in non-U.S. jurisdictions rests with Master Reseller pursuant to Section 4.3(d).</w:t>
      </w:r>
    </w:p>
    <w:p>
      <w:pPr>
        <w:pStyle w:val="BodyText"/>
      </w:pPr>
      <w:r>
        <w:rPr>
          <w:b/>
        </w:rPr>
        <w:t xml:space="preserve">9.5 </w:t>
      </w:r>
      <w:r>
        <w:rPr>
          <w:b/>
          <w:bCs/>
        </w:rPr>
        <w:t xml:space="preserve">Disclaimer.</w:t>
      </w:r>
      <w:r>
        <w:t xml:space="preserve"> EXCEPT AS EXPRESSLY SET FORTH IN THIS AGREEMENT, NEITHER PARTY MAKES ANY WARRANTIES, EXPRESS OR IMPLIED, INCLUDING WITHOUT LIMITATION ANY IMPLIED WARRANTIES OF MERCHANTABILITY, FITNESS FOR A PARTICULAR PURPOSE, OR NON-INFRINGEMENT.</w:t>
      </w:r>
    </w:p>
    <w:bookmarkEnd w:id="28"/>
    <w:bookmarkStart w:id="29" w:name="limitation-of-liability"/>
    <w:p>
      <w:pPr>
        <w:pStyle w:val="Heading2"/>
      </w:pPr>
      <w:r>
        <w:t xml:space="preserve">10. Limitation of Liability</w:t>
      </w:r>
    </w:p>
    <w:p>
      <w:pPr>
        <w:pStyle w:val="FirstParagraph"/>
      </w:pPr>
      <w:r>
        <w:rPr>
          <w:b/>
        </w:rPr>
        <w:t xml:space="preserve">10.1 </w:t>
      </w:r>
      <w:r>
        <w:rPr>
          <w:b/>
          <w:bCs/>
        </w:rPr>
        <w:t xml:space="preserve">Cap.</w:t>
      </w:r>
      <w:r>
        <w:t xml:space="preserve"> Except for liability arising from Prohibited Conduct, breach of Section 8, breach of Section 4.10 or Exhibit C, indemnification obligations under Section 11, and payment obligations under Section 3, neither Party’s aggregate liability under this Agreement shall exceed the total commissions paid or payable to Master Reseller in the twelve (12) months preceding the event giving rise to the claim.</w:t>
      </w:r>
    </w:p>
    <w:p>
      <w:pPr>
        <w:pStyle w:val="BodyText"/>
      </w:pPr>
      <w:r>
        <w:rPr>
          <w:b/>
        </w:rPr>
        <w:t xml:space="preserve">10.2 </w:t>
      </w:r>
      <w:r>
        <w:rPr>
          <w:b/>
          <w:bCs/>
        </w:rPr>
        <w:t xml:space="preserve">Consequential Damages.</w:t>
      </w:r>
      <w:r>
        <w:t xml:space="preserve"> In no event shall either Party be liable to the other for any indirect, incidental, special, consequential, or punitive damages arising out of or related to this Agreement, regardless of the theory of liability.</w:t>
      </w:r>
    </w:p>
    <w:bookmarkEnd w:id="29"/>
    <w:bookmarkStart w:id="30" w:name="indemnification"/>
    <w:p>
      <w:pPr>
        <w:pStyle w:val="Heading2"/>
      </w:pPr>
      <w:r>
        <w:t xml:space="preserve">11. Indemnification</w:t>
      </w:r>
    </w:p>
    <w:p>
      <w:pPr>
        <w:pStyle w:val="FirstParagraph"/>
      </w:pPr>
      <w:r>
        <w:rPr>
          <w:b/>
        </w:rPr>
        <w:t xml:space="preserve">11.1 </w:t>
      </w:r>
      <w:r>
        <w:rPr>
          <w:b/>
          <w:bCs/>
        </w:rPr>
        <w:t xml:space="preserve">By Master Reseller.</w:t>
      </w:r>
      <w:r>
        <w:t xml:space="preserve"> Master Reseller shall indemnify, defend, and hold harmless the Company and its officers, directors, employees, and agents from and against any claims, damages, losses, liabilities, fines, penalties, and expenses (including reasonable attorneys’ fees) arising out of or related to: (i) Master Reseller’s or any Sub-Reseller’s breach of this Agreement, including Exhibits C and D; (ii) Prohibited Conduct; (iii) Master Reseller’s or any Sub-Reseller’s violation of applicable law, including advertising, consumer-protection, anti-corruption, sanctions, data protection, anti-spam, telemarketing, financial-promotion, and cookie-consent laws; (iv) Master Reseller’s arrangements with its Sub-Resellers, including any Sub-Reseller claims for compensation; (v) any data breach, unauthorized disclosure, or misuse of Personal Data caused by Master Reseller or any Sub-Reseller; or (vi) any third-party claim arising from a Sub-Reseller’s actual or alleged authority to act on behalf of the Company.</w:t>
      </w:r>
    </w:p>
    <w:p>
      <w:pPr>
        <w:pStyle w:val="BodyText"/>
      </w:pPr>
      <w:r>
        <w:rPr>
          <w:b/>
        </w:rPr>
        <w:t xml:space="preserve">11.2 </w:t>
      </w:r>
      <w:r>
        <w:rPr>
          <w:b/>
          <w:bCs/>
        </w:rPr>
        <w:t xml:space="preserve">By Company.</w:t>
      </w:r>
      <w:r>
        <w:t xml:space="preserve"> The Company shall indemnify, defend, and hold harmless Master Reseller and its officers, directors, employees, and agents from and against any claims, damages, losses, liabilities, and expenses (including reasonable attorneys’ fees) arising out of or related to: (i) the Company’s breach of this Agreement; (ii) any claim that the Products infringe a third party’s intellectual property rights; or (iii) any regulatory enforcement action directly arising from the Company’s own marketing of the Products (as distinct from marketing conducted by Master Reseller or its Sub-Resellers).</w:t>
      </w:r>
    </w:p>
    <w:p>
      <w:pPr>
        <w:pStyle w:val="BodyText"/>
      </w:pPr>
      <w:r>
        <w:rPr>
          <w:b/>
        </w:rPr>
        <w:t xml:space="preserve">11.3 </w:t>
      </w:r>
      <w:r>
        <w:rPr>
          <w:b/>
          <w:bCs/>
        </w:rPr>
        <w:t xml:space="preserve">Indemnification Procedure.</w:t>
      </w:r>
      <w:r>
        <w:t xml:space="preserve"> The Party seeking indemnification shall: (i) promptly notify the indemnifying Party in writing, provided that failure to provide prompt notice shall not relieve the indemnifying Party except to the extent materially prejudiced; (ii) grant the indemnifying Party sole control of the defense and settlement, provided that the indemnifying Party shall not settle in a manner that imposes obligations on the indemnified Party without prior written consent (not to be unreasonably withheld); and (iii) provide reasonable cooperation at the indemnifying Party’s expense. The indemnified Party may participate at its own expense.</w:t>
      </w:r>
    </w:p>
    <w:bookmarkEnd w:id="30"/>
    <w:bookmarkStart w:id="31" w:name="dispute-resolution"/>
    <w:p>
      <w:pPr>
        <w:pStyle w:val="Heading2"/>
      </w:pPr>
      <w:r>
        <w:t xml:space="preserve">12. Dispute Resolution</w:t>
      </w:r>
    </w:p>
    <w:p>
      <w:pPr>
        <w:pStyle w:val="FirstParagraph"/>
      </w:pPr>
      <w:r>
        <w:rPr>
          <w:b/>
        </w:rPr>
        <w:t xml:space="preserve">12.1 </w:t>
      </w:r>
      <w:r>
        <w:rPr>
          <w:b/>
          <w:bCs/>
        </w:rPr>
        <w:t xml:space="preserve">Governing Law.</w:t>
      </w:r>
      <w:r>
        <w:t xml:space="preserve"> This Agreement shall be governed by the laws of the State of New York, without regard to conflict-of-laws principles.</w:t>
      </w:r>
    </w:p>
    <w:p>
      <w:pPr>
        <w:pStyle w:val="BodyText"/>
      </w:pPr>
      <w:r>
        <w:rPr>
          <w:b/>
        </w:rPr>
        <w:t xml:space="preserve">12.2 </w:t>
      </w:r>
      <w:r>
        <w:rPr>
          <w:b/>
          <w:bCs/>
        </w:rPr>
        <w:t xml:space="preserve">Binding Arbitration.</w:t>
      </w:r>
      <w:r>
        <w:t xml:space="preserve"> Any dispute arising out of or relating to this Agreement shall be resolved by binding arbitration in New York, New York, under the Commercial Arbitration Rules of the American Arbitration Association. The arbitration shall be conducted by a single arbitrator mutually selected by the Parties; if the Parties cannot agree within fifteen (15) days, the AAA shall appoint one. The arbitrator’s decision shall be final and binding, and judgment may be entered in any court of competent jurisdiction. Each Party shall bear its own attorneys’ fees, and the Parties shall share arbitrator and administrative costs equally unless the arbitrator determines otherwise. The proceedings and award shall be confidential except as required by law or to enforce the award. THE PARTIES WAIVE ANY RIGHT TO PARTICIPATE IN A CLASS ACTION, CLASS ARBITRATION, OR CONSOLIDATED ARBITRATION.</w:t>
      </w:r>
    </w:p>
    <w:p>
      <w:pPr>
        <w:pStyle w:val="BodyText"/>
      </w:pPr>
      <w:r>
        <w:rPr>
          <w:b/>
        </w:rPr>
        <w:t xml:space="preserve">12.3 </w:t>
      </w:r>
      <w:r>
        <w:rPr>
          <w:b/>
          <w:bCs/>
        </w:rPr>
        <w:t xml:space="preserve">Equitable Relief.</w:t>
      </w:r>
      <w:r>
        <w:t xml:space="preserve"> Notwithstanding Section 12.2, either Party may seek injunctive or other equitable relief in any court of competent jurisdiction to prevent irreparable harm pending arbitration.</w:t>
      </w:r>
    </w:p>
    <w:bookmarkEnd w:id="31"/>
    <w:bookmarkStart w:id="32" w:name="general-provisions"/>
    <w:p>
      <w:pPr>
        <w:pStyle w:val="Heading2"/>
      </w:pPr>
      <w:r>
        <w:t xml:space="preserve">13. General Provisions</w:t>
      </w:r>
    </w:p>
    <w:p>
      <w:pPr>
        <w:pStyle w:val="FirstParagraph"/>
      </w:pPr>
      <w:r>
        <w:rPr>
          <w:b/>
        </w:rPr>
        <w:t xml:space="preserve">13.1 </w:t>
      </w:r>
      <w:r>
        <w:rPr>
          <w:b/>
          <w:bCs/>
        </w:rPr>
        <w:t xml:space="preserve">Force Majeure.</w:t>
      </w:r>
      <w:r>
        <w:t xml:space="preserve"> Neither Party shall be liable for any failure or delay in performing its obligations (other than payment obligations) to the extent caused by circumstances beyond its reasonable control, including acts of God, natural disaster, pandemic, war, terrorism, civil unrest, labor disputes, internet or telecommunications failures, or cyberattack (each, a “Force Majeure Event”). For the avoidance of doubt, illegality arising from sanctions, embargoes, or regulatory action is governed by Sections 4.9, 4.3(d), and 6.4, and is not a Force Majeure Event. The affected Party shall promptly notify the other Party and use commercially reasonable efforts to resume performance. If a Force Majeure Event continues for more than sixty (60) consecutive days, either Party may terminate this Agreement upon written notice, without liability except for commissions accrued on Commissionable Transactions prior to termination.</w:t>
      </w:r>
    </w:p>
    <w:p>
      <w:pPr>
        <w:pStyle w:val="BodyText"/>
      </w:pPr>
      <w:r>
        <w:rPr>
          <w:b/>
        </w:rPr>
        <w:t xml:space="preserve">13.2 </w:t>
      </w:r>
      <w:r>
        <w:rPr>
          <w:b/>
          <w:bCs/>
        </w:rPr>
        <w:t xml:space="preserve">Entire Agreement.</w:t>
      </w:r>
      <w:r>
        <w:t xml:space="preserve"> This Agreement, including all Exhibits, constitutes the entire agreement between the Parties with respect to its subject matter and supersedes all prior negotiations, representations, and agreements.</w:t>
      </w:r>
    </w:p>
    <w:p>
      <w:pPr>
        <w:pStyle w:val="BodyText"/>
      </w:pPr>
      <w:r>
        <w:rPr>
          <w:b/>
        </w:rPr>
        <w:t xml:space="preserve">13.3 </w:t>
      </w:r>
      <w:r>
        <w:rPr>
          <w:b/>
          <w:bCs/>
        </w:rPr>
        <w:t xml:space="preserve">Order of Precedence.</w:t>
      </w:r>
      <w:r>
        <w:t xml:space="preserve"> In the event of any conflict between the body of this Agreement and any Exhibit: (i) the body controls, except that product-specific Resale Prices and commission rates in Exhibit A govern for those Products, and the data processing terms in Exhibit C govern their subject matter; (ii) the Compliance Policy (Exhibit D) supplements but does not override the body — in the event of a conflict between Exhibit D and the body, the body controls.</w:t>
      </w:r>
    </w:p>
    <w:p>
      <w:pPr>
        <w:pStyle w:val="BodyText"/>
      </w:pPr>
      <w:r>
        <w:rPr>
          <w:b/>
        </w:rPr>
        <w:t xml:space="preserve">13.4 </w:t>
      </w:r>
      <w:r>
        <w:rPr>
          <w:b/>
          <w:bCs/>
        </w:rPr>
        <w:t xml:space="preserve">Amendments.</w:t>
      </w:r>
      <w:r>
        <w:t xml:space="preserve"> This Agreement may only be amended by a written instrument signed by both Parties. Updates to Exhibit A shall be governed by Section 2.5. Updates to Exhibit B shall be governed by Section 2.2. Updates to Exhibit D shall be governed by Section 4.3(c).</w:t>
      </w:r>
    </w:p>
    <w:p>
      <w:pPr>
        <w:pStyle w:val="BodyText"/>
      </w:pPr>
      <w:r>
        <w:rPr>
          <w:b/>
        </w:rPr>
        <w:t xml:space="preserve">13.5 </w:t>
      </w:r>
      <w:r>
        <w:rPr>
          <w:b/>
          <w:bCs/>
        </w:rPr>
        <w:t xml:space="preserve">Assignment.</w:t>
      </w:r>
      <w:r>
        <w:t xml:space="preserve"> Neither Party may assign this Agreement without the other Party’s prior written consent, except that the Company may assign in connection with a merger, acquisition, or sale of substantially all of its assets. Any purported assignment in violation of this Section is void.</w:t>
      </w:r>
    </w:p>
    <w:p>
      <w:pPr>
        <w:pStyle w:val="BodyText"/>
      </w:pPr>
      <w:r>
        <w:rPr>
          <w:b/>
        </w:rPr>
        <w:t xml:space="preserve">13.6 </w:t>
      </w:r>
      <w:r>
        <w:rPr>
          <w:b/>
          <w:bCs/>
        </w:rPr>
        <w:t xml:space="preserve">Notices.</w:t>
      </w:r>
      <w:r>
        <w:t xml:space="preserve"> All notices shall be in writing and sent to the addresses set forth above (or such other address as designated in writing). Notices shall be deemed given upon: (i) personal delivery; (ii) one business day after deposit with a nationally recognized overnight courier; or (iii) transmission by email with confirmation of receipt.</w:t>
      </w:r>
    </w:p>
    <w:p>
      <w:pPr>
        <w:pStyle w:val="BodyText"/>
      </w:pPr>
      <w:r>
        <w:rPr>
          <w:b/>
        </w:rPr>
        <w:t xml:space="preserve">13.7 </w:t>
      </w:r>
      <w:r>
        <w:rPr>
          <w:b/>
          <w:bCs/>
        </w:rPr>
        <w:t xml:space="preserve">Severability; Waiver.</w:t>
      </w:r>
      <w:r>
        <w:t xml:space="preserve"> If any provision is held invalid or unenforceable, the remaining provisions continue in full force and effect. The failure to enforce any right shall not constitute a waiver.</w:t>
      </w:r>
    </w:p>
    <w:p>
      <w:pPr>
        <w:pStyle w:val="BodyText"/>
      </w:pPr>
      <w:r>
        <w:rPr>
          <w:b/>
        </w:rPr>
        <w:t xml:space="preserve">13.8 </w:t>
      </w:r>
      <w:r>
        <w:rPr>
          <w:b/>
          <w:bCs/>
        </w:rPr>
        <w:t xml:space="preserve">Survival.</w:t>
      </w:r>
      <w:r>
        <w:t xml:space="preserve"> The following provisions shall survive termination or expiration: Section 1 (Definitions, to the extent necessary to interpret surviving provisions), Section 3.6 (Holdback, for the post-termination retention period), Section 3.8 (Refunds and Chargebacks), Section 3.11 (Taxes), Section 3.12 (Set-Off), Section 4.6 (No Agency), Section 4.10 and Exhibit C (Data Protection, to the extent of data return, deletion, and ongoing obligations), Section 4.11 (Non-Circumvention), Section 4.12 (Insurance, for the post-termination period), Section 6.5 (Effect of Termination), Section 6.6 (Tail Commissions), Section 7.3 (Remedies for Prohibited Conduct), Section 8 (Confidentiality), Section 9 (Representations, to the extent claims arose during the term), Section 10 (Limitation of Liability), Section 11 (Indemnification), Section 12 (Dispute Resolution), and this Section 13.8.</w:t>
      </w:r>
    </w:p>
    <w:p>
      <w:pPr>
        <w:pStyle w:val="BodyText"/>
      </w:pPr>
      <w:r>
        <w:rPr>
          <w:b/>
        </w:rPr>
        <w:t xml:space="preserve">13.9 </w:t>
      </w:r>
      <w:r>
        <w:rPr>
          <w:b/>
          <w:bCs/>
        </w:rPr>
        <w:t xml:space="preserve">Counterparts and Electronic Signatures.</w:t>
      </w:r>
      <w:r>
        <w:t xml:space="preserve"> This Agreement may be executed in counterparts, each of which shall be deemed an original. Execution by electronic signature (including DocuSign, Adobe Sign, or similar platform) or PDF transmission shall have the same legal effect as delivery of an original signed copy.</w:t>
      </w:r>
    </w:p>
    <w:p>
      <w:pPr>
        <w:pStyle w:val="BodyText"/>
      </w:pPr>
      <w:r>
        <w:rPr>
          <w:bCs/>
          <w:b/>
        </w:rPr>
        <w:t xml:space="preserve">IN WITNESS WHEREOF</w:t>
      </w:r>
      <w:r>
        <w:t xml:space="preserve">, the Parties have executed this Agreement as of the Effective Date.</w:t>
      </w:r>
    </w:p>
    <w:p>
      <w:pPr>
        <w:pStyle w:val="BodyText"/>
      </w:pPr>
      <w:r>
        <w:rPr>
          <w:bCs/>
          <w:b/>
        </w:rPr>
        <w:t xml:space="preserve">TradeFundrr, LLC</w:t>
      </w:r>
    </w:p>
    <w:p>
      <w:pPr>
        <w:pStyle w:val="BodyText"/>
      </w:pPr>
      <w:r>
        <w:t xml:space="preserve">Signature: _______________</w:t>
      </w:r>
    </w:p>
    <w:p>
      <w:pPr>
        <w:pStyle w:val="BodyText"/>
      </w:pPr>
      <w:r>
        <w:t xml:space="preserve">Name: Jason Love</w:t>
      </w:r>
    </w:p>
    <w:p>
      <w:pPr>
        <w:pStyle w:val="BodyText"/>
      </w:pPr>
      <w:r>
        <w:t xml:space="preserve">Title: Director of Operations</w:t>
      </w:r>
    </w:p>
    <w:p>
      <w:pPr>
        <w:pStyle w:val="BodyText"/>
      </w:pPr>
      <w:r>
        <w:t xml:space="preserve">Date: _______________</w:t>
      </w:r>
    </w:p>
    <w:p>
      <w:pPr>
        <w:pStyle w:val="BodyText"/>
      </w:pPr>
      <w:r>
        <w:rPr>
          <w:bCs/>
          <w:b/>
        </w:rPr>
        <w:t xml:space="preserve">Wall Street Bound, Inc.</w:t>
      </w:r>
      <w:r>
        <w:t xml:space="preserve"> (d/b/a WallStreetBound.org)</w:t>
      </w:r>
    </w:p>
    <w:p>
      <w:pPr>
        <w:pStyle w:val="BodyText"/>
      </w:pPr>
      <w:r>
        <w:t xml:space="preserve">Signature: _______________</w:t>
      </w:r>
    </w:p>
    <w:p>
      <w:pPr>
        <w:pStyle w:val="BodyText"/>
      </w:pPr>
      <w:r>
        <w:t xml:space="preserve">Name: _______________</w:t>
      </w:r>
    </w:p>
    <w:p>
      <w:pPr>
        <w:pStyle w:val="BodyText"/>
      </w:pPr>
      <w:r>
        <w:t xml:space="preserve">Title: _______________</w:t>
      </w:r>
    </w:p>
    <w:p>
      <w:pPr>
        <w:pStyle w:val="BodyText"/>
      </w:pPr>
      <w:r>
        <w:t xml:space="preserve">Date: _______________</w:t>
      </w:r>
    </w:p>
    <w:p>
      <w:r>
        <w:br w:type="page"/>
      </w:r>
    </w:p>
    <w:bookmarkEnd w:id="32"/>
    <w:bookmarkStart w:id="33" w:name="exhibit-a-product-schedule"/>
    <w:p>
      <w:pPr>
        <w:pStyle w:val="Heading1"/>
      </w:pPr>
      <w:r>
        <w:t xml:space="preserve">Exhibit A — Product Schedule</w:t>
      </w:r>
    </w:p>
    <w:p>
      <w:pPr>
        <w:pStyle w:val="FirstParagraph"/>
      </w:pPr>
      <w:r>
        <w:rPr>
          <w:bCs/>
          <w:b/>
        </w:rPr>
        <w:t xml:space="preserve">Effective as of: [DATE]</w:t>
      </w:r>
    </w:p>
    <w:p>
      <w:pPr>
        <w:pStyle w:val="BodyText"/>
      </w:pPr>
      <w:r>
        <w:t xml:space="preserve">This Exhibit A sets forth the Products authorized for resale under the Master Reseller Agreement between TradeFundrr, LLC and Wall Street Bound, Inc. (d/b/a WallStreetBound.org).</w:t>
      </w:r>
    </w:p>
    <w:p>
      <w:pPr>
        <w:pStyle w:val="BodyText"/>
      </w:pPr>
      <w:r>
        <w:rPr>
          <w:bCs/>
          <w:b/>
        </w:rPr>
        <w:t xml:space="preserve">Important Notes:</w:t>
      </w:r>
    </w:p>
    <w:p>
      <w:pPr>
        <w:numPr>
          <w:ilvl w:val="0"/>
          <w:numId w:val="1004"/>
        </w:numPr>
      </w:pPr>
      <w:r>
        <w:t xml:space="preserve">Initial-sale commissions are calculated on the Resale Price per Section 3.1. Activation fee commissions are calculated per Section 3.3 at twenty-five percent (25%) unless a product-specific rate is noted below. Monthly subscription fees are listed for reference only and are not commissionable (Section 3.4).</w:t>
      </w:r>
    </w:p>
    <w:p>
      <w:pPr>
        <w:numPr>
          <w:ilvl w:val="0"/>
          <w:numId w:val="1004"/>
        </w:numPr>
      </w:pPr>
      <w:r>
        <w:t xml:space="preserve">Products marked as commission-ineligible do not generate commissions and do not count toward Funded Sales tier calculations.</w:t>
      </w:r>
    </w:p>
    <w:p>
      <w:pPr>
        <w:numPr>
          <w:ilvl w:val="0"/>
          <w:numId w:val="1004"/>
        </w:numPr>
      </w:pPr>
      <w:r>
        <w:t xml:space="preserve">Only Express Options and Express Stocks carry special resale pricing ($899 vs. $1,499 retail). All other commission-eligible Products are listed at retail price.</w:t>
      </w:r>
    </w:p>
    <w:p>
      <w:pPr>
        <w:numPr>
          <w:ilvl w:val="0"/>
          <w:numId w:val="1004"/>
        </w:numPr>
      </w:pPr>
      <w:r>
        <w:t xml:space="preserve">In the event of any conflict between this Exhibit A and the body of the Agreement, the body controls, except that product-specific Resale Prices and commission rates noted herein govern per Section 13.3.</w:t>
      </w:r>
    </w:p>
    <w:p>
      <w:pPr>
        <w:pStyle w:val="FirstParagraph"/>
      </w:pPr>
      <w:r>
        <w:rPr>
          <w:bCs/>
          <w:b/>
        </w:rPr>
        <w:t xml:space="preserve">Section 1 — Options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(one-time,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Options</w:t>
            </w:r>
          </w:p>
        </w:tc>
        <w:tc>
          <w:tcPr/>
          <w:p>
            <w:pPr>
              <w:pStyle w:val="TableSmall"/>
              <w:jc w:val="left"/>
            </w:pPr>
            <w:r>
              <w:t xml:space="preserve">Express trading program for options</w:t>
            </w:r>
          </w:p>
        </w:tc>
        <w:tc>
          <w:tcPr/>
          <w:p>
            <w:pPr>
              <w:pStyle w:val="TableSmall"/>
              <w:jc w:val="left"/>
            </w:pPr>
            <w:r>
              <w:t xml:space="preserve">$25K</w:t>
            </w:r>
          </w:p>
        </w:tc>
        <w:tc>
          <w:tcPr/>
          <w:p>
            <w:pPr>
              <w:pStyle w:val="TableSmall"/>
              <w:jc w:val="left"/>
            </w:pPr>
            <w:r>
              <w:t xml:space="preserve">$899.00</w:t>
            </w:r>
          </w:p>
        </w:tc>
        <w:tc>
          <w:tcPr/>
          <w:p>
            <w:pPr>
              <w:pStyle w:val="TableSmall"/>
              <w:jc w:val="left"/>
            </w:pPr>
            <w:r>
              <w:t xml:space="preserve">$1,499.00</w:t>
            </w:r>
          </w:p>
        </w:tc>
        <w:tc>
          <w:tcPr/>
          <w:p>
            <w:pPr>
              <w:pStyle w:val="TableSmall"/>
              <w:jc w:val="left"/>
            </w:pPr>
            <w:r>
              <w:t xml:space="preserve">—</w:t>
            </w:r>
          </w:p>
        </w:tc>
        <w:tc>
          <w:tcPr/>
          <w:p>
            <w:pPr>
              <w:pStyle w:val="TableSmall"/>
              <w:jc w:val="left"/>
            </w:pPr>
            <w:r>
              <w:t xml:space="preserve">$99/mo</w:t>
            </w:r>
          </w:p>
        </w:tc>
        <w:tc>
          <w:tcPr/>
          <w:p>
            <w:pPr>
              <w:pStyle w:val="TableSmall"/>
              <w:jc w:val="left"/>
            </w:pPr>
            <w:r>
              <w:t xml:space="preserve">Yes</w:t>
            </w:r>
          </w:p>
        </w:tc>
        <w:tc>
          <w:tcPr/>
          <w:p>
            <w:pPr>
              <w:pStyle w:val="TableSmall"/>
              <w:jc w:val="left"/>
            </w:pPr>
            <w:r>
              <w:t xml:space="preserve">Yes</w:t>
            </w:r>
          </w:p>
        </w:tc>
      </w:tr>
      <w:tr>
        <w:tc>
          <w:tcPr/>
          <w:p>
            <w:pPr>
              <w:pStyle w:val="TableSmall"/>
              <w:jc w:val="left"/>
            </w:pPr>
            <w:r>
              <w:t xml:space="preserve">Express Options 10K</w:t>
            </w:r>
          </w:p>
        </w:tc>
        <w:tc>
          <w:tcPr/>
          <w:p>
            <w:pPr>
              <w:pStyle w:val="TableSmall"/>
              <w:jc w:val="left"/>
            </w:pPr>
            <w:r>
              <w:t xml:space="preserve">Express options program, $10K account</w:t>
            </w:r>
          </w:p>
        </w:tc>
        <w:tc>
          <w:tcPr/>
          <w:p>
            <w:pPr>
              <w:pStyle w:val="TableSmall"/>
              <w:jc w:val="left"/>
            </w:pPr>
            <w:r>
              <w:t xml:space="preserve">$10K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Options</w:t>
            </w:r>
          </w:p>
        </w:tc>
        <w:tc>
          <w:tcPr/>
          <w:p>
            <w:pPr>
              <w:pStyle w:val="TableSmall"/>
              <w:jc w:val="left"/>
            </w:pPr>
            <w:r>
              <w:t xml:space="preserve">Growth evaluation program for options</w:t>
            </w:r>
          </w:p>
        </w:tc>
        <w:tc>
          <w:tcPr/>
          <w:p>
            <w:pPr>
              <w:pStyle w:val="TableSmall"/>
              <w:jc w:val="left"/>
            </w:pPr>
            <w:r>
              <w:t xml:space="preserve">$25K</w:t>
            </w:r>
          </w:p>
        </w:tc>
        <w:tc>
          <w:tcPr/>
          <w:p>
            <w:pPr>
              <w:pStyle w:val="TableSmall"/>
              <w:jc w:val="left"/>
            </w:pPr>
            <w:r>
              <w:t xml:space="preserve">$399.00</w:t>
            </w:r>
          </w:p>
        </w:tc>
        <w:tc>
          <w:tcPr/>
          <w:p>
            <w:pPr>
              <w:pStyle w:val="TableSmall"/>
              <w:jc w:val="left"/>
            </w:pPr>
            <w:r>
              <w:t xml:space="preserve">$399.00</w:t>
            </w:r>
          </w:p>
        </w:tc>
        <w:tc>
          <w:tcPr/>
          <w:p>
            <w:pPr>
              <w:pStyle w:val="TableSmall"/>
              <w:jc w:val="left"/>
            </w:pPr>
            <w:r>
              <w:t xml:space="preserve">$149</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bl>
    <w:p>
      <w:pPr>
        <w:pStyle w:val="BodyText"/>
      </w:pPr>
      <w:r>
        <w:rPr>
          <w:bCs/>
          <w:b/>
        </w:rPr>
        <w:t xml:space="preserve">Section 2 — Stocks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(one-time,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Stocks</w:t>
            </w:r>
          </w:p>
        </w:tc>
        <w:tc>
          <w:tcPr/>
          <w:p>
            <w:pPr>
              <w:pStyle w:val="TableSmall"/>
              <w:jc w:val="left"/>
            </w:pPr>
            <w:r>
              <w:t xml:space="preserve">Express trading program for stocks</w:t>
            </w:r>
          </w:p>
        </w:tc>
        <w:tc>
          <w:tcPr/>
          <w:p>
            <w:pPr>
              <w:pStyle w:val="TableSmall"/>
              <w:jc w:val="left"/>
            </w:pPr>
            <w:r>
              <w:t xml:space="preserve">$100K</w:t>
            </w:r>
          </w:p>
        </w:tc>
        <w:tc>
          <w:tcPr/>
          <w:p>
            <w:pPr>
              <w:pStyle w:val="TableSmall"/>
              <w:jc w:val="left"/>
            </w:pPr>
            <w:r>
              <w:t xml:space="preserve">$899.00</w:t>
            </w:r>
          </w:p>
        </w:tc>
        <w:tc>
          <w:tcPr/>
          <w:p>
            <w:pPr>
              <w:pStyle w:val="TableSmall"/>
              <w:jc w:val="left"/>
            </w:pPr>
            <w:r>
              <w:t xml:space="preserve">$1,499.00</w:t>
            </w:r>
          </w:p>
        </w:tc>
        <w:tc>
          <w:tcPr/>
          <w:p>
            <w:pPr>
              <w:pStyle w:val="TableSmall"/>
              <w:jc w:val="left"/>
            </w:pPr>
            <w:r>
              <w:t xml:space="preserve">—</w:t>
            </w:r>
          </w:p>
        </w:tc>
        <w:tc>
          <w:tcPr/>
          <w:p>
            <w:pPr>
              <w:pStyle w:val="TableSmall"/>
              <w:jc w:val="left"/>
            </w:pPr>
            <w:r>
              <w:t xml:space="preserve">$99/mo</w:t>
            </w:r>
          </w:p>
        </w:tc>
        <w:tc>
          <w:tcPr/>
          <w:p>
            <w:pPr>
              <w:pStyle w:val="TableSmall"/>
              <w:jc w:val="left"/>
            </w:pPr>
            <w:r>
              <w:t xml:space="preserve">Yes</w:t>
            </w:r>
          </w:p>
        </w:tc>
        <w:tc>
          <w:tcPr/>
          <w:p>
            <w:pPr>
              <w:pStyle w:val="TableSmall"/>
              <w:jc w:val="left"/>
            </w:pPr>
            <w:r>
              <w:t xml:space="preserve">Yes</w:t>
            </w:r>
          </w:p>
        </w:tc>
      </w:tr>
      <w:tr>
        <w:tc>
          <w:tcPr/>
          <w:p>
            <w:pPr>
              <w:pStyle w:val="TableSmall"/>
              <w:jc w:val="left"/>
            </w:pPr>
            <w:r>
              <w:t xml:space="preserve">Growth Stocks</w:t>
            </w:r>
          </w:p>
        </w:tc>
        <w:tc>
          <w:tcPr/>
          <w:p>
            <w:pPr>
              <w:pStyle w:val="TableSmall"/>
              <w:jc w:val="left"/>
            </w:pPr>
            <w:r>
              <w:t xml:space="preserve">Growth evaluation program for stocks</w:t>
            </w:r>
          </w:p>
        </w:tc>
        <w:tc>
          <w:tcPr/>
          <w:p>
            <w:pPr>
              <w:pStyle w:val="TableSmall"/>
              <w:jc w:val="left"/>
            </w:pPr>
            <w:r>
              <w:t xml:space="preserve">$100K</w:t>
            </w:r>
          </w:p>
        </w:tc>
        <w:tc>
          <w:tcPr/>
          <w:p>
            <w:pPr>
              <w:pStyle w:val="TableSmall"/>
              <w:jc w:val="left"/>
            </w:pPr>
            <w:r>
              <w:t xml:space="preserve">$399.00</w:t>
            </w:r>
          </w:p>
        </w:tc>
        <w:tc>
          <w:tcPr/>
          <w:p>
            <w:pPr>
              <w:pStyle w:val="TableSmall"/>
              <w:jc w:val="left"/>
            </w:pPr>
            <w:r>
              <w:t xml:space="preserve">$399.00</w:t>
            </w:r>
          </w:p>
        </w:tc>
        <w:tc>
          <w:tcPr/>
          <w:p>
            <w:pPr>
              <w:pStyle w:val="TableSmall"/>
              <w:jc w:val="left"/>
            </w:pPr>
            <w:r>
              <w:t xml:space="preserve">$149</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bl>
    <w:p>
      <w:pPr>
        <w:pStyle w:val="BodyText"/>
      </w:pPr>
      <w:r>
        <w:rPr>
          <w:bCs/>
          <w:b/>
        </w:rPr>
        <w:t xml:space="preserve">Section 3 — Futures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(one-time,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Futures 50K</w:t>
            </w:r>
          </w:p>
        </w:tc>
        <w:tc>
          <w:tcPr/>
          <w:p>
            <w:pPr>
              <w:pStyle w:val="TableSmall"/>
              <w:jc w:val="left"/>
            </w:pPr>
            <w:r>
              <w:t xml:space="preserve">Express futures funding, $50K account</w:t>
            </w:r>
          </w:p>
        </w:tc>
        <w:tc>
          <w:tcPr/>
          <w:p>
            <w:pPr>
              <w:pStyle w:val="TableSmall"/>
              <w:jc w:val="left"/>
            </w:pPr>
            <w:r>
              <w:t xml:space="preserve">$50K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Express Futures 100K</w:t>
            </w:r>
          </w:p>
        </w:tc>
        <w:tc>
          <w:tcPr/>
          <w:p>
            <w:pPr>
              <w:pStyle w:val="TableSmall"/>
              <w:jc w:val="left"/>
            </w:pPr>
            <w:r>
              <w:t xml:space="preserve">Express futures funding, $100K account</w:t>
            </w:r>
          </w:p>
        </w:tc>
        <w:tc>
          <w:tcPr/>
          <w:p>
            <w:pPr>
              <w:pStyle w:val="TableSmall"/>
              <w:jc w:val="left"/>
            </w:pPr>
            <w:r>
              <w:t xml:space="preserve">$100K</w:t>
            </w:r>
          </w:p>
        </w:tc>
        <w:tc>
          <w:tcPr/>
          <w:p>
            <w:pPr>
              <w:pStyle w:val="TableSmall"/>
              <w:jc w:val="left"/>
            </w:pPr>
            <w:r>
              <w:t xml:space="preserve">$1,999.00</w:t>
            </w:r>
          </w:p>
        </w:tc>
        <w:tc>
          <w:tcPr/>
          <w:p>
            <w:pPr>
              <w:pStyle w:val="TableSmall"/>
              <w:jc w:val="left"/>
            </w:pPr>
            <w:r>
              <w:t xml:space="preserve">$1,999.00</w:t>
            </w:r>
          </w:p>
        </w:tc>
        <w:tc>
          <w:tcPr/>
          <w:p>
            <w:pPr>
              <w:pStyle w:val="TableSmall"/>
              <w:jc w:val="left"/>
            </w:pPr>
            <w:r>
              <w:t xml:space="preserve">—</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Futures 50K</w:t>
            </w:r>
          </w:p>
        </w:tc>
        <w:tc>
          <w:tcPr/>
          <w:p>
            <w:pPr>
              <w:pStyle w:val="TableSmall"/>
              <w:jc w:val="left"/>
            </w:pPr>
            <w:r>
              <w:t xml:space="preserve">Growth futures evaluation, $50K account</w:t>
            </w:r>
          </w:p>
        </w:tc>
        <w:tc>
          <w:tcPr/>
          <w:p>
            <w:pPr>
              <w:pStyle w:val="TableSmall"/>
              <w:jc w:val="left"/>
            </w:pPr>
            <w:r>
              <w:t xml:space="preserve">$50K</w:t>
            </w:r>
          </w:p>
        </w:tc>
        <w:tc>
          <w:tcPr/>
          <w:p>
            <w:pPr>
              <w:pStyle w:val="TableSmall"/>
              <w:jc w:val="left"/>
            </w:pPr>
            <w:r>
              <w:t xml:space="preserve">$129.00</w:t>
            </w:r>
          </w:p>
        </w:tc>
        <w:tc>
          <w:tcPr/>
          <w:p>
            <w:pPr>
              <w:pStyle w:val="TableSmall"/>
              <w:jc w:val="left"/>
            </w:pPr>
            <w:r>
              <w:t xml:space="preserve">$129.00</w:t>
            </w:r>
          </w:p>
        </w:tc>
        <w:tc>
          <w:tcPr/>
          <w:p>
            <w:pPr>
              <w:pStyle w:val="TableSmall"/>
              <w:jc w:val="left"/>
            </w:pPr>
            <w:r>
              <w:t xml:space="preserve">$129</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Futures 100K</w:t>
            </w:r>
          </w:p>
        </w:tc>
        <w:tc>
          <w:tcPr/>
          <w:p>
            <w:pPr>
              <w:pStyle w:val="TableSmall"/>
              <w:jc w:val="left"/>
            </w:pPr>
            <w:r>
              <w:t xml:space="preserve">Growth futures evaluation, $100K account</w:t>
            </w:r>
          </w:p>
        </w:tc>
        <w:tc>
          <w:tcPr/>
          <w:p>
            <w:pPr>
              <w:pStyle w:val="TableSmall"/>
              <w:jc w:val="left"/>
            </w:pPr>
            <w:r>
              <w:t xml:space="preserve">$100K</w:t>
            </w:r>
          </w:p>
        </w:tc>
        <w:tc>
          <w:tcPr/>
          <w:p>
            <w:pPr>
              <w:pStyle w:val="TableSmall"/>
              <w:jc w:val="left"/>
            </w:pPr>
            <w:r>
              <w:t xml:space="preserve">$199.00</w:t>
            </w:r>
          </w:p>
        </w:tc>
        <w:tc>
          <w:tcPr/>
          <w:p>
            <w:pPr>
              <w:pStyle w:val="TableSmall"/>
              <w:jc w:val="left"/>
            </w:pPr>
            <w:r>
              <w:t xml:space="preserve">$199.00</w:t>
            </w:r>
          </w:p>
        </w:tc>
        <w:tc>
          <w:tcPr/>
          <w:p>
            <w:pPr>
              <w:pStyle w:val="TableSmall"/>
              <w:jc w:val="left"/>
            </w:pPr>
            <w:r>
              <w:t xml:space="preserve">$199</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Promo Futures 50K</w:t>
            </w:r>
          </w:p>
        </w:tc>
        <w:tc>
          <w:tcPr/>
          <w:p>
            <w:pPr>
              <w:pStyle w:val="TableSmall"/>
              <w:jc w:val="left"/>
            </w:pPr>
            <w:r>
              <w:t xml:space="preserve">Promo futures evaluation, $50K account</w:t>
            </w:r>
          </w:p>
        </w:tc>
        <w:tc>
          <w:tcPr/>
          <w:p>
            <w:pPr>
              <w:pStyle w:val="TableSmall"/>
              <w:jc w:val="left"/>
            </w:pPr>
            <w:r>
              <w:t xml:space="preserve">$50K</w:t>
            </w:r>
          </w:p>
        </w:tc>
        <w:tc>
          <w:tcPr/>
          <w:p>
            <w:pPr>
              <w:pStyle w:val="TableSmall"/>
              <w:jc w:val="left"/>
            </w:pPr>
            <w:r>
              <w:t xml:space="preserve">N/A</w:t>
            </w:r>
          </w:p>
        </w:tc>
        <w:tc>
          <w:tcPr/>
          <w:p>
            <w:pPr>
              <w:pStyle w:val="TableSmall"/>
              <w:jc w:val="left"/>
            </w:pPr>
            <w:r>
              <w:t xml:space="preserve">$19.00</w:t>
            </w:r>
          </w:p>
        </w:tc>
        <w:tc>
          <w:tcPr/>
          <w:p>
            <w:pPr>
              <w:pStyle w:val="TableSmall"/>
              <w:jc w:val="left"/>
            </w:pPr>
            <w:r>
              <w:t xml:space="preserve">$129</w:t>
            </w:r>
          </w:p>
        </w:tc>
        <w:tc>
          <w:tcPr/>
          <w:p>
            <w:pPr>
              <w:pStyle w:val="TableSmall"/>
              <w:jc w:val="left"/>
            </w:pPr>
            <w:r>
              <w:t xml:space="preserve">$29/mo</w:t>
            </w:r>
          </w:p>
        </w:tc>
        <w:tc>
          <w:tcPr/>
          <w:p>
            <w:pPr>
              <w:pStyle w:val="TableSmall"/>
              <w:jc w:val="left"/>
            </w:pPr>
            <w:r>
              <w:t xml:space="preserve">No</w:t>
            </w:r>
          </w:p>
        </w:tc>
        <w:tc>
          <w:tcPr/>
          <w:p>
            <w:pPr>
              <w:pStyle w:val="TableSmall"/>
              <w:jc w:val="left"/>
            </w:pPr>
            <w:r>
              <w:rPr>
                <w:bCs/>
                <w:b/>
              </w:rPr>
              <w:t xml:space="preserve">No</w:t>
            </w:r>
          </w:p>
        </w:tc>
      </w:tr>
    </w:tbl>
    <w:p>
      <w:pPr>
        <w:pStyle w:val="BodyText"/>
      </w:pPr>
      <w:r>
        <w:rPr>
          <w:bCs/>
          <w:b/>
        </w:rPr>
        <w:t xml:space="preserve">Section 4 — Crypto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(one-time,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Crypto 50K</w:t>
            </w:r>
          </w:p>
        </w:tc>
        <w:tc>
          <w:tcPr/>
          <w:p>
            <w:pPr>
              <w:pStyle w:val="TableSmall"/>
              <w:jc w:val="left"/>
            </w:pPr>
            <w:r>
              <w:t xml:space="preserve">Express crypto funding, $50K account</w:t>
            </w:r>
          </w:p>
        </w:tc>
        <w:tc>
          <w:tcPr/>
          <w:p>
            <w:pPr>
              <w:pStyle w:val="TableSmall"/>
              <w:jc w:val="left"/>
            </w:pPr>
            <w:r>
              <w:t xml:space="preserve">$50K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w:t>
            </w:r>
          </w:p>
        </w:tc>
        <w:tc>
          <w:tcPr/>
          <w:p>
            <w:pPr>
              <w:pStyle w:val="TableSmall"/>
              <w:jc w:val="left"/>
            </w:pPr>
            <w:r>
              <w:t xml:space="preserve">—</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Express Crypto 100K</w:t>
            </w:r>
          </w:p>
        </w:tc>
        <w:tc>
          <w:tcPr/>
          <w:p>
            <w:pPr>
              <w:pStyle w:val="TableSmall"/>
              <w:jc w:val="left"/>
            </w:pPr>
            <w:r>
              <w:t xml:space="preserve">Express crypto funding, $100K account</w:t>
            </w:r>
          </w:p>
        </w:tc>
        <w:tc>
          <w:tcPr/>
          <w:p>
            <w:pPr>
              <w:pStyle w:val="TableSmall"/>
              <w:jc w:val="left"/>
            </w:pPr>
            <w:r>
              <w:t xml:space="preserve">$100K</w:t>
            </w:r>
          </w:p>
        </w:tc>
        <w:tc>
          <w:tcPr/>
          <w:p>
            <w:pPr>
              <w:pStyle w:val="TableSmall"/>
              <w:jc w:val="left"/>
            </w:pPr>
            <w:r>
              <w:t xml:space="preserve">$1,999.00</w:t>
            </w:r>
          </w:p>
        </w:tc>
        <w:tc>
          <w:tcPr/>
          <w:p>
            <w:pPr>
              <w:pStyle w:val="TableSmall"/>
              <w:jc w:val="left"/>
            </w:pPr>
            <w:r>
              <w:t xml:space="preserve">$1,999.00</w:t>
            </w:r>
          </w:p>
        </w:tc>
        <w:tc>
          <w:tcPr/>
          <w:p>
            <w:pPr>
              <w:pStyle w:val="TableSmall"/>
              <w:jc w:val="left"/>
            </w:pPr>
            <w:r>
              <w:t xml:space="preserve">—</w:t>
            </w:r>
          </w:p>
        </w:tc>
        <w:tc>
          <w:tcPr/>
          <w:p>
            <w:pPr>
              <w:pStyle w:val="TableSmall"/>
              <w:jc w:val="left"/>
            </w:pPr>
            <w:r>
              <w:t xml:space="preserve">—</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Crypto 50K</w:t>
            </w:r>
          </w:p>
        </w:tc>
        <w:tc>
          <w:tcPr/>
          <w:p>
            <w:pPr>
              <w:pStyle w:val="TableSmall"/>
              <w:jc w:val="left"/>
            </w:pPr>
            <w:r>
              <w:t xml:space="preserve">Growth crypto evaluation, $50K account</w:t>
            </w:r>
          </w:p>
        </w:tc>
        <w:tc>
          <w:tcPr/>
          <w:p>
            <w:pPr>
              <w:pStyle w:val="TableSmall"/>
              <w:jc w:val="left"/>
            </w:pPr>
            <w:r>
              <w:t xml:space="preserve">$50K</w:t>
            </w:r>
          </w:p>
        </w:tc>
        <w:tc>
          <w:tcPr/>
          <w:p>
            <w:pPr>
              <w:pStyle w:val="TableSmall"/>
              <w:jc w:val="left"/>
            </w:pPr>
            <w:r>
              <w:t xml:space="preserve">$199.00</w:t>
            </w:r>
          </w:p>
        </w:tc>
        <w:tc>
          <w:tcPr/>
          <w:p>
            <w:pPr>
              <w:pStyle w:val="TableSmall"/>
              <w:jc w:val="left"/>
            </w:pPr>
            <w:r>
              <w:t xml:space="preserve">$199.00</w:t>
            </w:r>
          </w:p>
        </w:tc>
        <w:tc>
          <w:tcPr/>
          <w:p>
            <w:pPr>
              <w:pStyle w:val="TableSmall"/>
              <w:jc w:val="left"/>
            </w:pPr>
            <w:r>
              <w:t xml:space="preserve">$129</w:t>
            </w:r>
          </w:p>
        </w:tc>
        <w:tc>
          <w:tcPr/>
          <w:p>
            <w:pPr>
              <w:pStyle w:val="TableSmall"/>
              <w:jc w:val="left"/>
            </w:pPr>
            <w:r>
              <w:t xml:space="preserve">—</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Crypto 100K</w:t>
            </w:r>
          </w:p>
        </w:tc>
        <w:tc>
          <w:tcPr/>
          <w:p>
            <w:pPr>
              <w:pStyle w:val="TableSmall"/>
              <w:jc w:val="left"/>
            </w:pPr>
            <w:r>
              <w:t xml:space="preserve">Growth crypto evaluation, $100K account</w:t>
            </w:r>
          </w:p>
        </w:tc>
        <w:tc>
          <w:tcPr/>
          <w:p>
            <w:pPr>
              <w:pStyle w:val="TableSmall"/>
              <w:jc w:val="left"/>
            </w:pPr>
            <w:r>
              <w:t xml:space="preserve">$100K</w:t>
            </w:r>
          </w:p>
        </w:tc>
        <w:tc>
          <w:tcPr/>
          <w:p>
            <w:pPr>
              <w:pStyle w:val="TableSmall"/>
              <w:jc w:val="left"/>
            </w:pPr>
            <w:r>
              <w:t xml:space="preserve">$499.00</w:t>
            </w:r>
          </w:p>
        </w:tc>
        <w:tc>
          <w:tcPr/>
          <w:p>
            <w:pPr>
              <w:pStyle w:val="TableSmall"/>
              <w:jc w:val="left"/>
            </w:pPr>
            <w:r>
              <w:t xml:space="preserve">$499.00</w:t>
            </w:r>
          </w:p>
        </w:tc>
        <w:tc>
          <w:tcPr/>
          <w:p>
            <w:pPr>
              <w:pStyle w:val="TableSmall"/>
              <w:jc w:val="left"/>
            </w:pPr>
            <w:r>
              <w:t xml:space="preserve">$129</w:t>
            </w:r>
          </w:p>
        </w:tc>
        <w:tc>
          <w:tcPr/>
          <w:p>
            <w:pPr>
              <w:pStyle w:val="TableSmall"/>
              <w:jc w:val="left"/>
            </w:pPr>
            <w:r>
              <w:t xml:space="preserve">—</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Promo Crypto 5K</w:t>
            </w:r>
          </w:p>
        </w:tc>
        <w:tc>
          <w:tcPr/>
          <w:p>
            <w:pPr>
              <w:pStyle w:val="TableSmall"/>
              <w:jc w:val="left"/>
            </w:pPr>
            <w:r>
              <w:t xml:space="preserve">Promo crypto evaluation, $5K account</w:t>
            </w:r>
          </w:p>
        </w:tc>
        <w:tc>
          <w:tcPr/>
          <w:p>
            <w:pPr>
              <w:pStyle w:val="TableSmall"/>
              <w:jc w:val="left"/>
            </w:pPr>
            <w:r>
              <w:t xml:space="preserve">$5K</w:t>
            </w:r>
          </w:p>
        </w:tc>
        <w:tc>
          <w:tcPr/>
          <w:p>
            <w:pPr>
              <w:pStyle w:val="TableSmall"/>
              <w:jc w:val="left"/>
            </w:pPr>
            <w:r>
              <w:t xml:space="preserve">N/A</w:t>
            </w:r>
          </w:p>
        </w:tc>
        <w:tc>
          <w:tcPr/>
          <w:p>
            <w:pPr>
              <w:pStyle w:val="TableSmall"/>
              <w:jc w:val="left"/>
            </w:pPr>
            <w:r>
              <w:t xml:space="preserve">$1.00</w:t>
            </w:r>
          </w:p>
        </w:tc>
        <w:tc>
          <w:tcPr/>
          <w:p>
            <w:pPr>
              <w:pStyle w:val="TableSmall"/>
              <w:jc w:val="left"/>
            </w:pPr>
            <w:r>
              <w:t xml:space="preserve">$29</w:t>
            </w:r>
          </w:p>
        </w:tc>
        <w:tc>
          <w:tcPr/>
          <w:p>
            <w:pPr>
              <w:pStyle w:val="TableSmall"/>
              <w:jc w:val="left"/>
            </w:pPr>
            <w:r>
              <w:t xml:space="preserve">—</w:t>
            </w:r>
          </w:p>
        </w:tc>
        <w:tc>
          <w:tcPr/>
          <w:p>
            <w:pPr>
              <w:pStyle w:val="TableSmall"/>
              <w:jc w:val="left"/>
            </w:pPr>
            <w:r>
              <w:t xml:space="preserve">No</w:t>
            </w:r>
          </w:p>
        </w:tc>
        <w:tc>
          <w:tcPr/>
          <w:p>
            <w:pPr>
              <w:pStyle w:val="TableSmall"/>
              <w:jc w:val="left"/>
            </w:pPr>
            <w:r>
              <w:rPr>
                <w:bCs/>
                <w:b/>
              </w:rPr>
              <w:t xml:space="preserve">No</w:t>
            </w:r>
          </w:p>
        </w:tc>
      </w:tr>
    </w:tbl>
    <w:p>
      <w:pPr>
        <w:pStyle w:val="BodyText"/>
      </w:pPr>
      <w:r>
        <w:rPr>
          <w:bCs/>
          <w:b/>
        </w:rPr>
        <w:t xml:space="preserve">Initial-Sale Commission Illustration (Tiered Rates per Section 3.1):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Product (Resale Price)</w:t>
            </w:r>
          </w:p>
        </w:tc>
        <w:tc>
          <w:tcPr/>
          <w:p>
            <w:pPr>
              <w:pStyle w:val="Compact"/>
              <w:jc w:val="left"/>
            </w:pPr>
            <w:r>
              <w:t xml:space="preserve">Tier 1 (25%)</w:t>
            </w:r>
          </w:p>
        </w:tc>
        <w:tc>
          <w:tcPr/>
          <w:p>
            <w:pPr>
              <w:pStyle w:val="Compact"/>
              <w:jc w:val="left"/>
            </w:pPr>
            <w:r>
              <w:t xml:space="preserve">Tier 2 (30%)</w:t>
            </w:r>
          </w:p>
        </w:tc>
        <w:tc>
          <w:tcPr/>
          <w:p>
            <w:pPr>
              <w:pStyle w:val="Compact"/>
              <w:jc w:val="left"/>
            </w:pPr>
            <w:r>
              <w:t xml:space="preserve">Tier 3 (35%)</w:t>
            </w:r>
          </w:p>
        </w:tc>
      </w:tr>
      <w:tr>
        <w:tc>
          <w:tcPr/>
          <w:p>
            <w:pPr>
              <w:pStyle w:val="Compact"/>
              <w:jc w:val="left"/>
            </w:pPr>
            <w:r>
              <w:t xml:space="preserve">Express Options / Express Stocks ($899)</w:t>
            </w:r>
          </w:p>
        </w:tc>
        <w:tc>
          <w:tcPr/>
          <w:p>
            <w:pPr>
              <w:pStyle w:val="Compact"/>
              <w:jc w:val="left"/>
            </w:pPr>
            <w:r>
              <w:t xml:space="preserve">$224.75</w:t>
            </w:r>
          </w:p>
        </w:tc>
        <w:tc>
          <w:tcPr/>
          <w:p>
            <w:pPr>
              <w:pStyle w:val="Compact"/>
              <w:jc w:val="left"/>
            </w:pPr>
            <w:r>
              <w:t xml:space="preserve">$269.70</w:t>
            </w:r>
          </w:p>
        </w:tc>
        <w:tc>
          <w:tcPr/>
          <w:p>
            <w:pPr>
              <w:pStyle w:val="Compact"/>
              <w:jc w:val="left"/>
            </w:pPr>
            <w:r>
              <w:t xml:space="preserve">$314.65</w:t>
            </w:r>
          </w:p>
        </w:tc>
      </w:tr>
      <w:tr>
        <w:tc>
          <w:tcPr/>
          <w:p>
            <w:pPr>
              <w:pStyle w:val="Compact"/>
              <w:jc w:val="left"/>
            </w:pPr>
            <w:r>
              <w:t xml:space="preserve">Express Options 10K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Growth Options / Growth Stocks ($399)</w:t>
            </w:r>
          </w:p>
        </w:tc>
        <w:tc>
          <w:tcPr/>
          <w:p>
            <w:pPr>
              <w:pStyle w:val="Compact"/>
              <w:jc w:val="left"/>
            </w:pPr>
            <w:r>
              <w:t xml:space="preserve">$99.75</w:t>
            </w:r>
          </w:p>
        </w:tc>
        <w:tc>
          <w:tcPr/>
          <w:p>
            <w:pPr>
              <w:pStyle w:val="Compact"/>
              <w:jc w:val="left"/>
            </w:pPr>
            <w:r>
              <w:t xml:space="preserve">$119.70</w:t>
            </w:r>
          </w:p>
        </w:tc>
        <w:tc>
          <w:tcPr/>
          <w:p>
            <w:pPr>
              <w:pStyle w:val="Compact"/>
              <w:jc w:val="left"/>
            </w:pPr>
            <w:r>
              <w:t xml:space="preserve">$139.65</w:t>
            </w:r>
          </w:p>
        </w:tc>
      </w:tr>
      <w:tr>
        <w:tc>
          <w:tcPr/>
          <w:p>
            <w:pPr>
              <w:pStyle w:val="Compact"/>
              <w:jc w:val="left"/>
            </w:pPr>
            <w:r>
              <w:t xml:space="preserve">Growth Futures 50K ($129)</w:t>
            </w:r>
          </w:p>
        </w:tc>
        <w:tc>
          <w:tcPr/>
          <w:p>
            <w:pPr>
              <w:pStyle w:val="Compact"/>
              <w:jc w:val="left"/>
            </w:pPr>
            <w:r>
              <w:t xml:space="preserve">$32.25</w:t>
            </w:r>
          </w:p>
        </w:tc>
        <w:tc>
          <w:tcPr/>
          <w:p>
            <w:pPr>
              <w:pStyle w:val="Compact"/>
              <w:jc w:val="left"/>
            </w:pPr>
            <w:r>
              <w:t xml:space="preserve">$38.70</w:t>
            </w:r>
          </w:p>
        </w:tc>
        <w:tc>
          <w:tcPr/>
          <w:p>
            <w:pPr>
              <w:pStyle w:val="Compact"/>
              <w:jc w:val="left"/>
            </w:pPr>
            <w:r>
              <w:t xml:space="preserve">$45.15</w:t>
            </w:r>
          </w:p>
        </w:tc>
      </w:tr>
      <w:tr>
        <w:tc>
          <w:tcPr/>
          <w:p>
            <w:pPr>
              <w:pStyle w:val="Compact"/>
              <w:jc w:val="left"/>
            </w:pPr>
            <w:r>
              <w:t xml:space="preserve">Growth Futures 100K ($199)</w:t>
            </w:r>
          </w:p>
        </w:tc>
        <w:tc>
          <w:tcPr/>
          <w:p>
            <w:pPr>
              <w:pStyle w:val="Compact"/>
              <w:jc w:val="left"/>
            </w:pPr>
            <w:r>
              <w:t xml:space="preserve">$49.75</w:t>
            </w:r>
          </w:p>
        </w:tc>
        <w:tc>
          <w:tcPr/>
          <w:p>
            <w:pPr>
              <w:pStyle w:val="Compact"/>
              <w:jc w:val="left"/>
            </w:pPr>
            <w:r>
              <w:t xml:space="preserve">$59.70</w:t>
            </w:r>
          </w:p>
        </w:tc>
        <w:tc>
          <w:tcPr/>
          <w:p>
            <w:pPr>
              <w:pStyle w:val="Compact"/>
              <w:jc w:val="left"/>
            </w:pPr>
            <w:r>
              <w:t xml:space="preserve">$69.65</w:t>
            </w:r>
          </w:p>
        </w:tc>
      </w:tr>
      <w:tr>
        <w:tc>
          <w:tcPr/>
          <w:p>
            <w:pPr>
              <w:pStyle w:val="Compact"/>
              <w:jc w:val="left"/>
            </w:pPr>
            <w:r>
              <w:t xml:space="preserve">Express Futures 50K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Express Futures 100K ($1,999)</w:t>
            </w:r>
          </w:p>
        </w:tc>
        <w:tc>
          <w:tcPr/>
          <w:p>
            <w:pPr>
              <w:pStyle w:val="Compact"/>
              <w:jc w:val="left"/>
            </w:pPr>
            <w:r>
              <w:t xml:space="preserve">$499.75</w:t>
            </w:r>
          </w:p>
        </w:tc>
        <w:tc>
          <w:tcPr/>
          <w:p>
            <w:pPr>
              <w:pStyle w:val="Compact"/>
              <w:jc w:val="left"/>
            </w:pPr>
            <w:r>
              <w:t xml:space="preserve">$599.70</w:t>
            </w:r>
          </w:p>
        </w:tc>
        <w:tc>
          <w:tcPr/>
          <w:p>
            <w:pPr>
              <w:pStyle w:val="Compact"/>
              <w:jc w:val="left"/>
            </w:pPr>
            <w:r>
              <w:t xml:space="preserve">$699.65</w:t>
            </w:r>
          </w:p>
        </w:tc>
      </w:tr>
      <w:tr>
        <w:tc>
          <w:tcPr/>
          <w:p>
            <w:pPr>
              <w:pStyle w:val="Compact"/>
              <w:jc w:val="left"/>
            </w:pPr>
            <w:r>
              <w:t xml:space="preserve">Growth Crypto 50K ($199)</w:t>
            </w:r>
          </w:p>
        </w:tc>
        <w:tc>
          <w:tcPr/>
          <w:p>
            <w:pPr>
              <w:pStyle w:val="Compact"/>
              <w:jc w:val="left"/>
            </w:pPr>
            <w:r>
              <w:t xml:space="preserve">$49.75</w:t>
            </w:r>
          </w:p>
        </w:tc>
        <w:tc>
          <w:tcPr/>
          <w:p>
            <w:pPr>
              <w:pStyle w:val="Compact"/>
              <w:jc w:val="left"/>
            </w:pPr>
            <w:r>
              <w:t xml:space="preserve">$59.70</w:t>
            </w:r>
          </w:p>
        </w:tc>
        <w:tc>
          <w:tcPr/>
          <w:p>
            <w:pPr>
              <w:pStyle w:val="Compact"/>
              <w:jc w:val="left"/>
            </w:pPr>
            <w:r>
              <w:t xml:space="preserve">$69.65</w:t>
            </w:r>
          </w:p>
        </w:tc>
      </w:tr>
      <w:tr>
        <w:tc>
          <w:tcPr/>
          <w:p>
            <w:pPr>
              <w:pStyle w:val="Compact"/>
              <w:jc w:val="left"/>
            </w:pPr>
            <w:r>
              <w:t xml:space="preserve">Growth Crypto 100K ($499)</w:t>
            </w:r>
          </w:p>
        </w:tc>
        <w:tc>
          <w:tcPr/>
          <w:p>
            <w:pPr>
              <w:pStyle w:val="Compact"/>
              <w:jc w:val="left"/>
            </w:pPr>
            <w:r>
              <w:t xml:space="preserve">$124.75</w:t>
            </w:r>
          </w:p>
        </w:tc>
        <w:tc>
          <w:tcPr/>
          <w:p>
            <w:pPr>
              <w:pStyle w:val="Compact"/>
              <w:jc w:val="left"/>
            </w:pPr>
            <w:r>
              <w:t xml:space="preserve">$149.70</w:t>
            </w:r>
          </w:p>
        </w:tc>
        <w:tc>
          <w:tcPr/>
          <w:p>
            <w:pPr>
              <w:pStyle w:val="Compact"/>
              <w:jc w:val="left"/>
            </w:pPr>
            <w:r>
              <w:t xml:space="preserve">$174.65</w:t>
            </w:r>
          </w:p>
        </w:tc>
      </w:tr>
      <w:tr>
        <w:tc>
          <w:tcPr/>
          <w:p>
            <w:pPr>
              <w:pStyle w:val="Compact"/>
              <w:jc w:val="left"/>
            </w:pPr>
            <w:r>
              <w:t xml:space="preserve">Express Crypto 50K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Express Crypto 100K ($1,999)</w:t>
            </w:r>
          </w:p>
        </w:tc>
        <w:tc>
          <w:tcPr/>
          <w:p>
            <w:pPr>
              <w:pStyle w:val="Compact"/>
              <w:jc w:val="left"/>
            </w:pPr>
            <w:r>
              <w:t xml:space="preserve">$499.75</w:t>
            </w:r>
          </w:p>
        </w:tc>
        <w:tc>
          <w:tcPr/>
          <w:p>
            <w:pPr>
              <w:pStyle w:val="Compact"/>
              <w:jc w:val="left"/>
            </w:pPr>
            <w:r>
              <w:t xml:space="preserve">$599.70</w:t>
            </w:r>
          </w:p>
        </w:tc>
        <w:tc>
          <w:tcPr/>
          <w:p>
            <w:pPr>
              <w:pStyle w:val="Compact"/>
              <w:jc w:val="left"/>
            </w:pPr>
            <w:r>
              <w:t xml:space="preserve">$699.65</w:t>
            </w:r>
          </w:p>
        </w:tc>
      </w:tr>
    </w:tbl>
    <w:p>
      <w:pPr>
        <w:pStyle w:val="BodyText"/>
      </w:pPr>
      <w:r>
        <w:rPr>
          <w:bCs/>
          <w:b/>
        </w:rPr>
        <w:t xml:space="preserve">Activation Fee Commission Illustration (Flat 25% per Section 3.3):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Activation Fee</w:t>
            </w:r>
          </w:p>
        </w:tc>
        <w:tc>
          <w:tcPr/>
          <w:p>
            <w:pPr>
              <w:pStyle w:val="Compact"/>
              <w:jc w:val="left"/>
            </w:pPr>
            <w:r>
              <w:t xml:space="preserve">Commission (25%)</w:t>
            </w:r>
          </w:p>
        </w:tc>
      </w:tr>
      <w:tr>
        <w:tc>
          <w:tcPr/>
          <w:p>
            <w:pPr>
              <w:pStyle w:val="Compact"/>
              <w:jc w:val="left"/>
            </w:pPr>
            <w:r>
              <w:t xml:space="preserve">Growth Options</w:t>
            </w:r>
          </w:p>
        </w:tc>
        <w:tc>
          <w:tcPr/>
          <w:p>
            <w:pPr>
              <w:pStyle w:val="Compact"/>
              <w:jc w:val="left"/>
            </w:pPr>
            <w:r>
              <w:t xml:space="preserve">$149</w:t>
            </w:r>
          </w:p>
        </w:tc>
        <w:tc>
          <w:tcPr/>
          <w:p>
            <w:pPr>
              <w:pStyle w:val="Compact"/>
              <w:jc w:val="left"/>
            </w:pPr>
            <w:r>
              <w:t xml:space="preserve">$37.25</w:t>
            </w:r>
          </w:p>
        </w:tc>
      </w:tr>
      <w:tr>
        <w:tc>
          <w:tcPr/>
          <w:p>
            <w:pPr>
              <w:pStyle w:val="Compact"/>
              <w:jc w:val="left"/>
            </w:pPr>
            <w:r>
              <w:t xml:space="preserve">Growth Stocks</w:t>
            </w:r>
          </w:p>
        </w:tc>
        <w:tc>
          <w:tcPr/>
          <w:p>
            <w:pPr>
              <w:pStyle w:val="Compact"/>
              <w:jc w:val="left"/>
            </w:pPr>
            <w:r>
              <w:t xml:space="preserve">$149</w:t>
            </w:r>
          </w:p>
        </w:tc>
        <w:tc>
          <w:tcPr/>
          <w:p>
            <w:pPr>
              <w:pStyle w:val="Compact"/>
              <w:jc w:val="left"/>
            </w:pPr>
            <w:r>
              <w:t xml:space="preserve">$37.25</w:t>
            </w:r>
          </w:p>
        </w:tc>
      </w:tr>
      <w:tr>
        <w:tc>
          <w:tcPr/>
          <w:p>
            <w:pPr>
              <w:pStyle w:val="Compact"/>
              <w:jc w:val="left"/>
            </w:pPr>
            <w:r>
              <w:t xml:space="preserve">Growth Futures 50K</w:t>
            </w:r>
          </w:p>
        </w:tc>
        <w:tc>
          <w:tcPr/>
          <w:p>
            <w:pPr>
              <w:pStyle w:val="Compact"/>
              <w:jc w:val="left"/>
            </w:pPr>
            <w:r>
              <w:t xml:space="preserve">$129</w:t>
            </w:r>
          </w:p>
        </w:tc>
        <w:tc>
          <w:tcPr/>
          <w:p>
            <w:pPr>
              <w:pStyle w:val="Compact"/>
              <w:jc w:val="left"/>
            </w:pPr>
            <w:r>
              <w:t xml:space="preserve">$32.25</w:t>
            </w:r>
          </w:p>
        </w:tc>
      </w:tr>
      <w:tr>
        <w:tc>
          <w:tcPr/>
          <w:p>
            <w:pPr>
              <w:pStyle w:val="Compact"/>
              <w:jc w:val="left"/>
            </w:pPr>
            <w:r>
              <w:t xml:space="preserve">Growth Futures 100K</w:t>
            </w:r>
          </w:p>
        </w:tc>
        <w:tc>
          <w:tcPr/>
          <w:p>
            <w:pPr>
              <w:pStyle w:val="Compact"/>
              <w:jc w:val="left"/>
            </w:pPr>
            <w:r>
              <w:t xml:space="preserve">$199</w:t>
            </w:r>
          </w:p>
        </w:tc>
        <w:tc>
          <w:tcPr/>
          <w:p>
            <w:pPr>
              <w:pStyle w:val="Compact"/>
              <w:jc w:val="left"/>
            </w:pPr>
            <w:r>
              <w:t xml:space="preserve">$49.75</w:t>
            </w:r>
          </w:p>
        </w:tc>
      </w:tr>
      <w:tr>
        <w:tc>
          <w:tcPr/>
          <w:p>
            <w:pPr>
              <w:pStyle w:val="Compact"/>
              <w:jc w:val="left"/>
            </w:pPr>
            <w:r>
              <w:t xml:space="preserve">Growth Crypto 50K</w:t>
            </w:r>
          </w:p>
        </w:tc>
        <w:tc>
          <w:tcPr/>
          <w:p>
            <w:pPr>
              <w:pStyle w:val="Compact"/>
              <w:jc w:val="left"/>
            </w:pPr>
            <w:r>
              <w:t xml:space="preserve">$129</w:t>
            </w:r>
          </w:p>
        </w:tc>
        <w:tc>
          <w:tcPr/>
          <w:p>
            <w:pPr>
              <w:pStyle w:val="Compact"/>
              <w:jc w:val="left"/>
            </w:pPr>
            <w:r>
              <w:t xml:space="preserve">$32.25</w:t>
            </w:r>
          </w:p>
        </w:tc>
      </w:tr>
      <w:tr>
        <w:tc>
          <w:tcPr/>
          <w:p>
            <w:pPr>
              <w:pStyle w:val="Compact"/>
              <w:jc w:val="left"/>
            </w:pPr>
            <w:r>
              <w:t xml:space="preserve">Growth Crypto 100K</w:t>
            </w:r>
          </w:p>
        </w:tc>
        <w:tc>
          <w:tcPr/>
          <w:p>
            <w:pPr>
              <w:pStyle w:val="Compact"/>
              <w:jc w:val="left"/>
            </w:pPr>
            <w:r>
              <w:t xml:space="preserve">$129</w:t>
            </w:r>
          </w:p>
        </w:tc>
        <w:tc>
          <w:tcPr/>
          <w:p>
            <w:pPr>
              <w:pStyle w:val="Compact"/>
              <w:jc w:val="left"/>
            </w:pPr>
            <w:r>
              <w:t xml:space="preserve">$32.25</w:t>
            </w:r>
          </w:p>
        </w:tc>
      </w:tr>
    </w:tbl>
    <w:p>
      <w:r>
        <w:br w:type="page"/>
      </w:r>
    </w:p>
    <w:bookmarkEnd w:id="33"/>
    <w:bookmarkStart w:id="34" w:name="exhibit-b-sub-reseller-register"/>
    <w:p>
      <w:pPr>
        <w:pStyle w:val="Heading1"/>
      </w:pPr>
      <w:r>
        <w:t xml:space="preserve">Exhibit B — Sub-Reseller Register</w:t>
      </w:r>
    </w:p>
    <w:p>
      <w:pPr>
        <w:pStyle w:val="FirstParagraph"/>
      </w:pPr>
      <w:r>
        <w:rPr>
          <w:bCs/>
          <w:b/>
        </w:rPr>
        <w:t xml:space="preserve">Effective as of: [DATE]</w:t>
      </w:r>
    </w:p>
    <w:p>
      <w:pPr>
        <w:pStyle w:val="BodyText"/>
      </w:pPr>
      <w:r>
        <w:t xml:space="preserve">This Exhibit B is a living register of all Sub-Resellers authorized to market and sell the Company’s Products under the Master Reseller Agreement. Master Reseller shall update this Exhibit and submit it to the Company for approval in accordance with Section 2.2.</w:t>
      </w:r>
    </w:p>
    <w:tbl>
      <w:tblPr>
        <w:tblStyle w:val="Table"/>
        <w:tblW w:type="dxa" w:w="9360"/>
        <w:tblLayout w:type="fixed"/>
        <w:tblLook w:firstRow="1" w:lastRow="0" w:firstColumn="0" w:lastColumn="0" w:noHBand="0" w:noVBand="0" w:val="0020"/>
      </w:tblPr>
      <w:tblGrid>
        <w:gridCol w:w="360"/>
        <w:gridCol w:w="1080"/>
        <w:gridCol w:w="700"/>
        <w:gridCol w:w="1050"/>
        <w:gridCol w:w="960"/>
        <w:gridCol w:w="900"/>
        <w:gridCol w:w="820"/>
        <w:gridCol w:w="1010"/>
        <w:gridCol w:w="820"/>
        <w:gridCol w:w="900"/>
        <w:gridCol w:w="760"/>
      </w:tblGrid>
      <w:tr>
        <w:trPr>
          <w:tblHeader w:val="true"/>
        </w:trPr>
        <w:tc>
          <w:tcPr/>
          <w:p>
            <w:pPr>
              <w:pStyle w:val="TableSmall"/>
              <w:jc w:val="left"/>
            </w:pPr>
            <w:r>
              <w:t xml:space="preserve">#</w:t>
            </w:r>
          </w:p>
        </w:tc>
        <w:tc>
          <w:tcPr/>
          <w:p>
            <w:pPr>
              <w:pStyle w:val="TableSmall"/>
              <w:jc w:val="left"/>
            </w:pPr>
            <w:r>
              <w:t xml:space="preserve">Sub-Reseller Legal Name</w:t>
            </w:r>
          </w:p>
        </w:tc>
        <w:tc>
          <w:tcPr/>
          <w:p>
            <w:pPr>
              <w:pStyle w:val="TableSmall"/>
              <w:jc w:val="left"/>
            </w:pPr>
            <w:r>
              <w:t xml:space="preserve">d/b/a (if any)</w:t>
            </w:r>
          </w:p>
        </w:tc>
        <w:tc>
          <w:tcPr/>
          <w:p>
            <w:pPr>
              <w:pStyle w:val="TableSmall"/>
              <w:jc w:val="left"/>
            </w:pPr>
            <w:r>
              <w:t xml:space="preserve">Jurisdiction</w:t>
            </w:r>
          </w:p>
        </w:tc>
        <w:tc>
          <w:tcPr/>
          <w:p>
            <w:pPr>
              <w:pStyle w:val="TableSmall"/>
              <w:jc w:val="left"/>
            </w:pPr>
            <w:r>
              <w:t xml:space="preserve">Principal Address</w:t>
            </w:r>
          </w:p>
        </w:tc>
        <w:tc>
          <w:tcPr/>
          <w:p>
            <w:pPr>
              <w:pStyle w:val="TableSmall"/>
              <w:jc w:val="left"/>
            </w:pPr>
            <w:r>
              <w:t xml:space="preserve">Primary Contact</w:t>
            </w:r>
          </w:p>
        </w:tc>
        <w:tc>
          <w:tcPr/>
          <w:p>
            <w:pPr>
              <w:pStyle w:val="TableSmall"/>
              <w:jc w:val="left"/>
            </w:pPr>
            <w:r>
              <w:t xml:space="preserve">Territory</w:t>
            </w:r>
          </w:p>
        </w:tc>
        <w:tc>
          <w:tcPr/>
          <w:p>
            <w:pPr>
              <w:pStyle w:val="TableSmall"/>
              <w:jc w:val="left"/>
            </w:pPr>
            <w:r>
              <w:t xml:space="preserve">Products Authorized</w:t>
            </w:r>
          </w:p>
        </w:tc>
        <w:tc>
          <w:tcPr/>
          <w:p>
            <w:pPr>
              <w:pStyle w:val="TableSmall"/>
              <w:jc w:val="left"/>
            </w:pPr>
            <w:r>
              <w:t xml:space="preserve">Tracking ID(s)</w:t>
            </w:r>
          </w:p>
        </w:tc>
        <w:tc>
          <w:tcPr/>
          <w:p>
            <w:pPr>
              <w:pStyle w:val="TableSmall"/>
              <w:jc w:val="left"/>
            </w:pPr>
            <w:r>
              <w:t xml:space="preserve">Date Approved</w:t>
            </w:r>
          </w:p>
        </w:tc>
        <w:tc>
          <w:tcPr/>
          <w:p>
            <w:pPr>
              <w:pStyle w:val="TableSmall"/>
              <w:jc w:val="left"/>
            </w:pPr>
            <w:r>
              <w:t xml:space="preserve">Status</w:t>
            </w:r>
          </w:p>
        </w:tc>
      </w:tr>
      <w:tr>
        <w:tc>
          <w:tcPr/>
          <w:p>
            <w:pPr>
              <w:pStyle w:val="TableSmall"/>
              <w:jc w:val="left"/>
            </w:pPr>
            <w:r>
              <w:t xml:space="preserve">1</w:t>
            </w:r>
          </w:p>
        </w:tc>
        <w:tc>
          <w:tcPr/>
          <w:p>
            <w:pPr>
              <w:pStyle w:val="TableSmall"/>
              <w:jc w:val="left"/>
            </w:pPr>
            <w:r>
              <w:t xml:space="preserve">[Entity Name]</w:t>
            </w:r>
          </w:p>
        </w:tc>
        <w:tc>
          <w:tcPr/>
          <w:p>
            <w:pPr>
              <w:pStyle w:val="TableSmall"/>
              <w:jc w:val="left"/>
            </w:pPr>
            <w:r>
              <w:t xml:space="preserve">[d/b/a]</w:t>
            </w:r>
          </w:p>
        </w:tc>
        <w:tc>
          <w:tcPr/>
          <w:p>
            <w:pPr>
              <w:pStyle w:val="TableSmall"/>
              <w:jc w:val="left"/>
            </w:pPr>
            <w:r>
              <w:t xml:space="preserve">Vietnam</w:t>
            </w:r>
          </w:p>
        </w:tc>
        <w:tc>
          <w:tcPr/>
          <w:p>
            <w:pPr>
              <w:pStyle w:val="TableSmall"/>
              <w:jc w:val="left"/>
            </w:pPr>
            <w:r>
              <w:t xml:space="preserve">[Address]</w:t>
            </w:r>
          </w:p>
        </w:tc>
        <w:tc>
          <w:tcPr/>
          <w:p>
            <w:pPr>
              <w:pStyle w:val="TableSmall"/>
              <w:jc w:val="left"/>
            </w:pPr>
            <w:r>
              <w:t xml:space="preserve">[Name / Email]</w:t>
            </w:r>
          </w:p>
        </w:tc>
        <w:tc>
          <w:tcPr/>
          <w:p>
            <w:pPr>
              <w:pStyle w:val="TableSmall"/>
              <w:jc w:val="left"/>
            </w:pPr>
            <w:r>
              <w:t xml:space="preserve">Vietnam</w:t>
            </w:r>
          </w:p>
        </w:tc>
        <w:tc>
          <w:tcPr/>
          <w:p>
            <w:pPr>
              <w:pStyle w:val="TableSmall"/>
              <w:jc w:val="left"/>
            </w:pPr>
            <w:r>
              <w:t xml:space="preserve">All Products (Exhibit A)</w:t>
            </w:r>
          </w:p>
        </w:tc>
        <w:tc>
          <w:tcPr/>
          <w:p>
            <w:pPr>
              <w:pStyle w:val="TableSmall"/>
              <w:jc w:val="left"/>
            </w:pPr>
            <w:r>
              <w:t xml:space="preserve">[Assigned by Company]</w:t>
            </w:r>
          </w:p>
        </w:tc>
        <w:tc>
          <w:tcPr/>
          <w:p>
            <w:pPr>
              <w:pStyle w:val="TableSmall"/>
              <w:jc w:val="left"/>
            </w:pPr>
            <w:r>
              <w:t xml:space="preserve">[Date]</w:t>
            </w:r>
          </w:p>
        </w:tc>
        <w:tc>
          <w:tcPr/>
          <w:p>
            <w:pPr>
              <w:pStyle w:val="TableSmall"/>
              <w:jc w:val="left"/>
            </w:pPr>
            <w:r>
              <w:t xml:space="preserve">Pending Approval</w:t>
            </w:r>
          </w:p>
        </w:tc>
      </w:tr>
      <w:tr>
        <w:tc>
          <w:tcPr/>
          <w:p>
            <w:pPr>
              <w:pStyle w:val="TableSmall"/>
              <w:jc w:val="left"/>
            </w:pPr>
            <w:r>
              <w:t xml:space="preserve">2</w:t>
            </w: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r>
    </w:tbl>
    <w:p>
      <w:pPr>
        <w:pStyle w:val="BodyText"/>
      </w:pPr>
      <w:r>
        <w:rPr>
          <w:bCs/>
          <w:b/>
        </w:rPr>
        <w:t xml:space="preserve">Sub-Reseller Onboarding Checklist:</w:t>
      </w:r>
    </w:p>
    <w:p>
      <w:pPr>
        <w:numPr>
          <w:ilvl w:val="0"/>
          <w:numId w:val="1005"/>
        </w:numPr>
      </w:pPr>
      <w:r>
        <w:t xml:space="preserve">Sub-reseller agreement executed (copy provided to Company) containing flow-down of: Sections 4.3–4.10, Section 4.14, Section 8, Exhibit C, and Exhibit D obligations</w:t>
      </w:r>
    </w:p>
    <w:p>
      <w:pPr>
        <w:numPr>
          <w:ilvl w:val="0"/>
          <w:numId w:val="1005"/>
        </w:numPr>
      </w:pPr>
      <w:r>
        <w:t xml:space="preserve">Sanctions screening completed (OFAC SDN List, Entity List, applicable local lists)</w:t>
      </w:r>
    </w:p>
    <w:p>
      <w:pPr>
        <w:numPr>
          <w:ilvl w:val="0"/>
          <w:numId w:val="1005"/>
        </w:numPr>
      </w:pPr>
      <w:r>
        <w:t xml:space="preserve">Identity and legal-status verification completed</w:t>
      </w:r>
    </w:p>
    <w:p>
      <w:pPr>
        <w:numPr>
          <w:ilvl w:val="0"/>
          <w:numId w:val="1005"/>
        </w:numPr>
      </w:pPr>
      <w:r>
        <w:t xml:space="preserve">Regulatory good-standing verification completed (Section 9.2)</w:t>
      </w:r>
    </w:p>
    <w:p>
      <w:pPr>
        <w:numPr>
          <w:ilvl w:val="0"/>
          <w:numId w:val="1005"/>
        </w:numPr>
      </w:pPr>
      <w:r>
        <w:t xml:space="preserve">Applicable tax form collected (W-9, W-8BEN, or W-8BEN-E)</w:t>
      </w:r>
    </w:p>
    <w:p>
      <w:pPr>
        <w:numPr>
          <w:ilvl w:val="0"/>
          <w:numId w:val="1005"/>
        </w:numPr>
      </w:pPr>
      <w:r>
        <w:t xml:space="preserve">Financial-promotion licensing assessment completed for Sub-Reseller’s Territory (Section 4.3(d))</w:t>
      </w:r>
    </w:p>
    <w:p>
      <w:r>
        <w:br w:type="page"/>
      </w:r>
    </w:p>
    <w:bookmarkEnd w:id="34"/>
    <w:bookmarkStart w:id="42" w:name="exhibit-c-data-processing-agreement"/>
    <w:p>
      <w:pPr>
        <w:pStyle w:val="Heading1"/>
      </w:pPr>
      <w:r>
        <w:t xml:space="preserve">Exhibit C — Data Processing Agreement</w:t>
      </w:r>
    </w:p>
    <w:p>
      <w:pPr>
        <w:pStyle w:val="FirstParagraph"/>
      </w:pPr>
      <w:r>
        <w:rPr>
          <w:bCs/>
          <w:b/>
        </w:rPr>
        <w:t xml:space="preserve">Effective as of: [DATE]</w:t>
      </w:r>
    </w:p>
    <w:p>
      <w:pPr>
        <w:pStyle w:val="BodyText"/>
      </w:pPr>
      <w:r>
        <w:t>This Data Processing Agreement (“DPA”) is entered into by and between TradeFundrr, LLC (“Controller”) and Wall Street Bound, Inc. (d/b/a WallStreetBound.org) (“Processor”) and forms part of the Master Reseller Agreement (the “Agreement”). To the extent of any conflict between this DPA and the body of the Agreement on matters of data protection, this DPA shall prevail pursuant to Section 13.3.</w:t>
      </w:r>
    </w:p>
    <w:bookmarkStart w:id="35" w:name="scope-and-roles"/>
    <w:p>
      <w:pPr>
        <w:pStyle w:val="Heading2"/>
      </w:pPr>
      <w:r>
        <w:t xml:space="preserve">1. Scope and Roles</w:t>
      </w:r>
    </w:p>
    <w:p>
      <w:pPr>
        <w:pStyle w:val="FirstParagraph"/>
      </w:pPr>
      <w:r>
        <w:rPr>
          <w:b/>
        </w:rPr>
        <w:t xml:space="preserve">1.1 </w:t>
      </w:r>
      <w:r>
        <w:rPr>
          <w:b/>
          <w:bCs/>
        </w:rPr>
        <w:t xml:space="preserve">Controller and Processor.</w:t>
      </w:r>
      <w:r>
        <w:t xml:space="preserve"> The Company is the Controller of Personal Data relating to end customers and prospective customers of the Products. Master Reseller is the Processor to the extent it processes Personal Data on behalf of the Company. Where Master Reseller appoints Sub-Resellers that process Personal Data, each such Sub-Reseller acts as a sub-processor.</w:t>
      </w:r>
    </w:p>
    <w:p>
      <w:pPr>
        <w:pStyle w:val="BodyText"/>
      </w:pPr>
      <w:r>
        <w:rPr>
          <w:b/>
        </w:rPr>
        <w:t xml:space="preserve">1.2 </w:t>
      </w:r>
      <w:r>
        <w:rPr>
          <w:b/>
          <w:bCs/>
        </w:rPr>
        <w:t xml:space="preserve">Processing Activities.</w:t>
      </w:r>
    </w:p>
    <w:p>
      <w:pPr>
        <w:numPr>
          <w:ilvl w:val="0"/>
          <w:numId w:val="1006"/>
        </w:numPr>
      </w:pPr>
      <w:r>
        <w:rPr>
          <w:bCs/>
          <w:b/>
        </w:rPr>
        <w:t xml:space="preserve">Subject Matter and Purpose:</w:t>
      </w:r>
      <w:r>
        <w:t xml:space="preserve"> Processing for marketing, selling, and referring the Products, tracking attribution, and administering commissions.</w:t>
      </w:r>
    </w:p>
    <w:p>
      <w:pPr>
        <w:numPr>
          <w:ilvl w:val="0"/>
          <w:numId w:val="1006"/>
        </w:numPr>
      </w:pPr>
      <w:r>
        <w:rPr>
          <w:bCs/>
          <w:b/>
        </w:rPr>
        <w:t xml:space="preserve">Categories of Data Subjects:</w:t>
      </w:r>
      <w:r>
        <w:t xml:space="preserve"> End customers and prospective customers.</w:t>
      </w:r>
    </w:p>
    <w:p>
      <w:pPr>
        <w:numPr>
          <w:ilvl w:val="0"/>
          <w:numId w:val="1006"/>
        </w:numPr>
      </w:pPr>
      <w:r>
        <w:rPr>
          <w:bCs/>
          <w:b/>
        </w:rPr>
        <w:t xml:space="preserve">Types of Personal Data:</w:t>
      </w:r>
      <w:r>
        <w:t xml:space="preserve"> Name, email address, phone number, IP address, device identifiers, referral source data, cookie and tracking data, and (where voluntarily provided) country of residence and language preference.</w:t>
      </w:r>
    </w:p>
    <w:p>
      <w:pPr>
        <w:numPr>
          <w:ilvl w:val="0"/>
          <w:numId w:val="1006"/>
        </w:numPr>
      </w:pPr>
      <w:r>
        <w:rPr>
          <w:bCs/>
          <w:b/>
        </w:rPr>
        <w:t xml:space="preserve">Duration:</w:t>
      </w:r>
      <w:r>
        <w:t xml:space="preserve"> For the term of the Agreement plus the period required for data return or deletion under Section 5.</w:t>
      </w:r>
    </w:p>
    <w:bookmarkEnd w:id="35"/>
    <w:bookmarkStart w:id="36" w:name="processor-obligations"/>
    <w:p>
      <w:pPr>
        <w:pStyle w:val="Heading2"/>
      </w:pPr>
      <w:r>
        <w:t xml:space="preserve">2. Processor Obligations</w:t>
      </w:r>
    </w:p>
    <w:p>
      <w:pPr>
        <w:pStyle w:val="FirstParagraph"/>
      </w:pPr>
      <w:r>
        <w:rPr>
          <w:b/>
        </w:rPr>
        <w:t xml:space="preserve">2.1 </w:t>
      </w:r>
      <w:r>
        <w:rPr>
          <w:b/>
          <w:bCs/>
        </w:rPr>
        <w:t xml:space="preserve">Instructions.</w:t>
      </w:r>
      <w:r>
        <w:t xml:space="preserve"> Processor shall process Personal Data only on documented instructions from Controller, unless required by applicable law (in which case Processor shall inform Controller before processing, unless prohibited by law).</w:t>
      </w:r>
    </w:p>
    <w:p>
      <w:pPr>
        <w:pStyle w:val="BodyText"/>
      </w:pPr>
      <w:r>
        <w:rPr>
          <w:b/>
        </w:rPr>
        <w:t xml:space="preserve">2.2 </w:t>
      </w:r>
      <w:r>
        <w:rPr>
          <w:b/>
          <w:bCs/>
        </w:rPr>
        <w:t xml:space="preserve">Confidentiality.</w:t>
      </w:r>
      <w:r>
        <w:t xml:space="preserve"> Processor shall ensure that authorized persons have committed to confidentiality or are under an appropriate statutory obligation.</w:t>
      </w:r>
    </w:p>
    <w:p>
      <w:pPr>
        <w:pStyle w:val="BodyText"/>
      </w:pPr>
      <w:r>
        <w:rPr>
          <w:b/>
        </w:rPr>
        <w:t xml:space="preserve">2.3 </w:t>
      </w:r>
      <w:r>
        <w:rPr>
          <w:b/>
          <w:bCs/>
        </w:rPr>
        <w:t xml:space="preserve">Security.</w:t>
      </w:r>
      <w:r>
        <w:t xml:space="preserve"> Processor shall implement appropriate technical and organizational measures, including as appropriate: (i) pseudonymization and encryption; (ii) ongoing confidentiality, integrity, availability, and resilience of systems; (iii) timely restoration capability; and (iv) regular testing and evaluation of security measures.</w:t>
      </w:r>
    </w:p>
    <w:p>
      <w:pPr>
        <w:pStyle w:val="BodyText"/>
      </w:pPr>
      <w:r>
        <w:rPr>
          <w:b/>
        </w:rPr>
        <w:t xml:space="preserve">2.4 </w:t>
      </w:r>
      <w:r>
        <w:rPr>
          <w:b/>
          <w:bCs/>
        </w:rPr>
        <w:t xml:space="preserve">Sub-Processors.</w:t>
      </w:r>
      <w:r>
        <w:t xml:space="preserve"> Processor shall not engage any sub-processor without prior specific written authorization from Controller. Each approved Sub-Reseller that processes Personal Data is deemed an authorized sub-processor. Processor shall: (i) impose equivalent data protection obligations by written contract; (ii) remain fully liable for sub-processor performance; and (iii) inform Controller of intended changes to sub-processors, giving Controller ten (10) business days to object. If no resolution is reached, Controller may terminate the Agreement on thirty (30) days’ notice.</w:t>
      </w:r>
    </w:p>
    <w:p>
      <w:pPr>
        <w:pStyle w:val="BodyText"/>
      </w:pPr>
      <w:r>
        <w:rPr>
          <w:b/>
        </w:rPr>
        <w:t xml:space="preserve">2.5 </w:t>
      </w:r>
      <w:r>
        <w:rPr>
          <w:b/>
          <w:bCs/>
        </w:rPr>
        <w:t xml:space="preserve">Data Subject Rights.</w:t>
      </w:r>
      <w:r>
        <w:t xml:space="preserve"> Processor shall assist Controller with data subject requests and shall not respond directly without Controller’s authorization (unless required by law).</w:t>
      </w:r>
    </w:p>
    <w:p>
      <w:pPr>
        <w:pStyle w:val="BodyText"/>
      </w:pPr>
      <w:r>
        <w:rPr>
          <w:b/>
        </w:rPr>
        <w:t xml:space="preserve">2.6 </w:t>
      </w:r>
      <w:r>
        <w:rPr>
          <w:b/>
          <w:bCs/>
        </w:rPr>
        <w:t xml:space="preserve">Breach Notification.</w:t>
      </w:r>
      <w:r>
        <w:t xml:space="preserve"> Processor shall notify Controller within forty-eight (48) hours of becoming aware of a Personal Data breach, describing the nature, likely consequences, and measures taken or proposed.</w:t>
      </w:r>
    </w:p>
    <w:p>
      <w:pPr>
        <w:pStyle w:val="BodyText"/>
      </w:pPr>
      <w:r>
        <w:rPr>
          <w:b/>
        </w:rPr>
        <w:t xml:space="preserve">2.7 </w:t>
      </w:r>
      <w:r>
        <w:rPr>
          <w:b/>
          <w:bCs/>
        </w:rPr>
        <w:t xml:space="preserve">Impact Assessments.</w:t>
      </w:r>
      <w:r>
        <w:t xml:space="preserve"> Processor shall provide reasonable assistance with data protection impact assessments and supervisory authority consultations.</w:t>
      </w:r>
    </w:p>
    <w:bookmarkEnd w:id="36"/>
    <w:bookmarkStart w:id="37" w:name="international-data-transfers"/>
    <w:p>
      <w:pPr>
        <w:pStyle w:val="Heading2"/>
      </w:pPr>
      <w:r>
        <w:t xml:space="preserve">3. International Data Transfers</w:t>
      </w:r>
    </w:p>
    <w:p>
      <w:pPr>
        <w:pStyle w:val="FirstParagraph"/>
      </w:pPr>
      <w:r>
        <w:rPr>
          <w:b/>
        </w:rPr>
        <w:t xml:space="preserve">3.1 </w:t>
      </w:r>
      <w:r>
        <w:rPr>
          <w:b/>
          <w:bCs/>
        </w:rPr>
        <w:t xml:space="preserve">Transfer Mechanism.</w:t>
      </w:r>
      <w:r>
        <w:t xml:space="preserve"> Transfers of Personal Data from the EEA, UK, or Switzerland to Processor or Sub-Resellers outside those regions (including Vietnam) shall be subject to the European Commission’s Standard Contractual Clauses (Commission Implementing Decision (EU) 2021/914), Module Two (Controller to Processor), incorporated by reference.</w:t>
      </w:r>
    </w:p>
    <w:p>
      <w:pPr>
        <w:pStyle w:val="BodyText"/>
      </w:pPr>
      <w:r>
        <w:rPr>
          <w:b/>
        </w:rPr>
        <w:t xml:space="preserve">3.2 </w:t>
      </w:r>
      <w:r>
        <w:rPr>
          <w:b/>
          <w:bCs/>
        </w:rPr>
        <w:t xml:space="preserve">SCC Elections.</w:t>
      </w:r>
      <w:r>
        <w:t xml:space="preserve"> Clause 7: included. Clause 9: Option 2. Clause 11: optional clause not included. Clause 13: supervisory authority where data exporter is established. Clause 17: law of Ireland. Clause 18: courts of Ireland. Annex I: Data exporter — TradeFundrr, LLC; Data importer — Wall Street Bound, Inc.; description per Section 1.2. Annex II: measures per Section 2.3.</w:t>
      </w:r>
    </w:p>
    <w:p>
      <w:pPr>
        <w:pStyle w:val="BodyText"/>
      </w:pPr>
      <w:r>
        <w:rPr>
          <w:b/>
        </w:rPr>
        <w:t xml:space="preserve">3.3 </w:t>
      </w:r>
      <w:r>
        <w:rPr>
          <w:b/>
          <w:bCs/>
        </w:rPr>
        <w:t xml:space="preserve">UK and Swiss Transfers.</w:t>
      </w:r>
      <w:r>
        <w:t xml:space="preserve"> UK International Data Transfer Addendum applies for UK transfers. Swiss modifications apply as required under the Swiss Federal Act on Data Protection.</w:t>
      </w:r>
    </w:p>
    <w:p>
      <w:pPr>
        <w:pStyle w:val="BodyText"/>
      </w:pPr>
      <w:r>
        <w:rPr>
          <w:b/>
        </w:rPr>
        <w:t xml:space="preserve">3.4 </w:t>
      </w:r>
      <w:r>
        <w:rPr>
          <w:b/>
          <w:bCs/>
        </w:rPr>
        <w:t xml:space="preserve">Vietnam.</w:t>
      </w:r>
      <w:r>
        <w:t xml:space="preserve"> Processor shall ensure compliance with Vietnam’s Decree 13/2023/ND-CP, including any required impact assessments and filings with the Ministry of Public Security.</w:t>
      </w:r>
    </w:p>
    <w:bookmarkEnd w:id="37"/>
    <w:bookmarkStart w:id="38" w:name="audit-rights"/>
    <w:p>
      <w:pPr>
        <w:pStyle w:val="Heading2"/>
      </w:pPr>
      <w:r>
        <w:t xml:space="preserve">4. Audit Rights</w:t>
      </w:r>
    </w:p>
    <w:p>
      <w:pPr>
        <w:pStyle w:val="FirstParagraph"/>
      </w:pPr>
      <w:r>
        <w:t xml:space="preserve">4.1 Processor shall make available information necessary to demonstrate compliance and allow audits by Controller or its mandated auditor upon fifteen (15) business days’ notice, no more than once annually (unless a breach has occurred or non-compliance is reasonably suspected).</w:t>
      </w:r>
    </w:p>
    <w:bookmarkEnd w:id="38"/>
    <w:bookmarkStart w:id="39" w:name="data-retention-and-deletion"/>
    <w:p>
      <w:pPr>
        <w:pStyle w:val="Heading2"/>
      </w:pPr>
      <w:r>
        <w:t xml:space="preserve">5. Data Retention and Deletion</w:t>
      </w:r>
    </w:p>
    <w:p>
      <w:pPr>
        <w:pStyle w:val="FirstParagraph"/>
      </w:pPr>
      <w:r>
        <w:t xml:space="preserve">5.1 Upon termination or Controller’s written request, Processor shall return or delete all Personal Data (and certify deletion) within thirty (30) days. Retention is permitted only to the extent required by applicable law, subject to ongoing confidentiality and security obligations.</w:t>
      </w:r>
    </w:p>
    <w:bookmarkEnd w:id="39"/>
    <w:bookmarkStart w:id="40" w:name="liability"/>
    <w:p>
      <w:pPr>
        <w:pStyle w:val="Heading2"/>
      </w:pPr>
      <w:r>
        <w:t xml:space="preserve">6. Liability</w:t>
      </w:r>
    </w:p>
    <w:p>
      <w:pPr>
        <w:pStyle w:val="FirstParagraph"/>
      </w:pPr>
      <w:r>
        <w:t xml:space="preserve">6.1 Liability under this DPA is subject to Section 10 of the Agreement, except that breaches of this Exhibit C are carved out of the liability cap per Section 10.1.</w:t>
      </w:r>
    </w:p>
    <w:bookmarkEnd w:id="40"/>
    <w:bookmarkStart w:id="41" w:name="duration"/>
    <w:p>
      <w:pPr>
        <w:pStyle w:val="Heading2"/>
      </w:pPr>
      <w:r>
        <w:t xml:space="preserve">7. Duration</w:t>
      </w:r>
    </w:p>
    <w:p>
      <w:pPr>
        <w:pStyle w:val="FirstParagraph"/>
      </w:pPr>
      <w:r>
        <w:t xml:space="preserve">7.1 This DPA remains in effect for the duration of the Agreement and terminates upon completion of Section 5 obligations. Sections 5 and 6 survive termination.</w:t>
      </w:r>
    </w:p>
    <w:p>
      <w:r>
        <w:br w:type="page"/>
      </w:r>
    </w:p>
    <w:bookmarkEnd w:id="41"/>
    <w:bookmarkEnd w:id="42"/>
    <w:bookmarkStart w:id="49" w:name="exhibit-d-compliance-policy"/>
    <w:p>
      <w:pPr>
        <w:pStyle w:val="Heading1"/>
      </w:pPr>
      <w:r>
        <w:t xml:space="preserve">Exhibit D — Compliance Policy</w:t>
      </w:r>
    </w:p>
    <w:p>
      <w:pPr>
        <w:pStyle w:val="FirstParagraph"/>
      </w:pPr>
      <w:r>
        <w:rPr>
          <w:bCs/>
          <w:b/>
        </w:rPr>
        <w:t xml:space="preserve">Effective as of: June 29, 2026</w:t>
      </w:r>
    </w:p>
    <w:p>
      <w:pPr>
        <w:pStyle w:val="BodyText"/>
      </w:pPr>
      <w:r>
        <w:rPr>
          <w:bCs/>
          <w:b/>
        </w:rPr>
        <w:t xml:space="preserve">Last Updated: June 29, 2026</w:t>
      </w:r>
    </w:p>
    <w:p>
      <w:pPr>
        <w:pStyle w:val="BodyText"/>
      </w:pPr>
      <w:r>
        <w:t>This Compliance Policy implements the marketing compliance obligations set forth in Section 4.3 of the Master Reseller Agreement between TradeFundrr, LLC (“Company”) and Wall Street Bound, Inc. (d/b/a WallStreetBound.org) (“Master Reseller”). This Exhibit D supplements but does not override the body of the Agreement; in the event of a conflict, the body controls (Section 13.3). Updates to this Exhibit D are governed by Section 4.3(c).</w:t>
      </w:r>
    </w:p>
    <w:bookmarkStart w:id="43" w:name="earnings-and-performance-claims"/>
    <w:p>
      <w:pPr>
        <w:pStyle w:val="Heading2"/>
      </w:pPr>
      <w:r>
        <w:t xml:space="preserve">1. Earnings and Performance Claims</w:t>
      </w:r>
    </w:p>
    <w:p>
      <w:pPr>
        <w:pStyle w:val="FirstParagraph"/>
      </w:pPr>
      <w:r>
        <w:rPr>
          <w:b/>
        </w:rPr>
        <w:t xml:space="preserve">1.1 </w:t>
      </w:r>
      <w:r>
        <w:rPr>
          <w:b/>
          <w:bCs/>
        </w:rPr>
        <w:t xml:space="preserve">Pre-Authorization Required.</w:t>
      </w:r>
      <w:r>
        <w:t xml:space="preserve"> No earnings claim, income claim, profit claim, pass-rate claim, or performance claim of any kind may be made without the Company’s prior written authorization, which shall include the approved claim language and any required disclosures.</w:t>
      </w:r>
    </w:p>
    <w:p>
      <w:pPr>
        <w:pStyle w:val="BodyText"/>
      </w:pPr>
      <w:r>
        <w:rPr>
          <w:b/>
        </w:rPr>
        <w:t xml:space="preserve">1.2 </w:t>
      </w:r>
      <w:r>
        <w:rPr>
          <w:b/>
          <w:bCs/>
        </w:rPr>
        <w:t xml:space="preserve">Substantiation.</w:t>
      </w:r>
      <w:r>
        <w:t xml:space="preserve"> The party making any authorized claim shall maintain competent and reliable evidence substantiating the claim at the time it is made.</w:t>
      </w:r>
    </w:p>
    <w:p>
      <w:pPr>
        <w:pStyle w:val="BodyText"/>
      </w:pPr>
      <w:r>
        <w:rPr>
          <w:b/>
        </w:rPr>
        <w:t xml:space="preserve">1.3 </w:t>
      </w:r>
      <w:r>
        <w:rPr>
          <w:b/>
          <w:bCs/>
        </w:rPr>
        <w:t xml:space="preserve">Approved Disclaimers.</w:t>
      </w:r>
      <w:r>
        <w:t xml:space="preserve"> All Marketing Materials containing authorized earnings or performance information shall include the Company’s approved earnings disclaimer, which the Company shall provide under Section 5.3 of the Agreement.</w:t>
      </w:r>
    </w:p>
    <w:p>
      <w:pPr>
        <w:pStyle w:val="BodyText"/>
      </w:pPr>
      <w:r>
        <w:rPr>
          <w:b/>
        </w:rPr>
        <w:t xml:space="preserve">1.4 </w:t>
      </w:r>
      <w:r>
        <w:rPr>
          <w:b/>
          <w:bCs/>
        </w:rPr>
        <w:t xml:space="preserve">Prohibited Claims.</w:t>
      </w:r>
      <w:r>
        <w:t xml:space="preserve"> The following claims are never permitted regardless of substantiation: (i) guaranteed trading profits or income; (ii) specific financial outcome predictions; (iii) that funded-account programs eliminate financial risk; (iv) that the Products constitute investment advice or securities recommendations.</w:t>
      </w:r>
    </w:p>
    <w:bookmarkEnd w:id="43"/>
    <w:bookmarkStart w:id="44" w:name="material-connection-disclosures"/>
    <w:p>
      <w:pPr>
        <w:pStyle w:val="Heading2"/>
      </w:pPr>
      <w:r>
        <w:t xml:space="preserve">2. Material-Connection Disclosures</w:t>
      </w:r>
    </w:p>
    <w:p>
      <w:pPr>
        <w:pStyle w:val="FirstParagraph"/>
      </w:pPr>
      <w:r>
        <w:rPr>
          <w:b/>
        </w:rPr>
        <w:t xml:space="preserve">2.1 </w:t>
      </w:r>
      <w:r>
        <w:rPr>
          <w:b/>
          <w:bCs/>
        </w:rPr>
        <w:t xml:space="preserve">When Required.</w:t>
      </w:r>
      <w:r>
        <w:t xml:space="preserve"> Any Marketing Material that could be perceived as an independent or organic endorsement — including social media posts, blog articles, video reviews, and influencer content — shall include a clear and conspicuous material-connection disclosure.</w:t>
      </w:r>
    </w:p>
    <w:p>
      <w:pPr>
        <w:pStyle w:val="BodyText"/>
      </w:pPr>
      <w:r>
        <w:rPr>
          <w:b/>
        </w:rPr>
        <w:t xml:space="preserve">2.2 </w:t>
      </w:r>
      <w:r>
        <w:rPr>
          <w:b/>
          <w:bCs/>
        </w:rPr>
        <w:t xml:space="preserve">Format.</w:t>
      </w:r>
      <w:r>
        <w:t xml:space="preserve"> Disclosures shall be: (i) in the same language and medium as the endorsement; (ii) placed where they will be seen before the consumer acts (not buried in terms or below the fold); and (iii) use clear language (e.g., “#ad,” “#sponsored,” “paid partnership”) compliant with applicable platform guidelines and FTC guidance.</w:t>
      </w:r>
    </w:p>
    <w:p>
      <w:pPr>
        <w:pStyle w:val="BodyText"/>
      </w:pPr>
      <w:r>
        <w:rPr>
          <w:b/>
        </w:rPr>
        <w:t xml:space="preserve">2.3 </w:t>
      </w:r>
      <w:r>
        <w:rPr>
          <w:b/>
          <w:bCs/>
        </w:rPr>
        <w:t xml:space="preserve">Compensated Endorsers.</w:t>
      </w:r>
      <w:r>
        <w:t xml:space="preserve"> Any endorser who is an employee, contractor, or compensated affiliate of Master Reseller or a Sub-Reseller must disclose that relationship.</w:t>
      </w:r>
    </w:p>
    <w:bookmarkEnd w:id="44"/>
    <w:bookmarkStart w:id="45" w:name="X65ca970910a9d4a187b1645c269ad3ca85689a6"/>
    <w:p>
      <w:pPr>
        <w:pStyle w:val="Heading2"/>
      </w:pPr>
      <w:r>
        <w:t xml:space="preserve">3. Anti-Spam, Telemarketing, and Electronic Communications</w:t>
      </w:r>
    </w:p>
    <w:p>
      <w:pPr>
        <w:pStyle w:val="FirstParagraph"/>
      </w:pPr>
      <w:r>
        <w:rPr>
          <w:b/>
        </w:rPr>
        <w:t xml:space="preserve">3.1 </w:t>
      </w:r>
      <w:r>
        <w:rPr>
          <w:b/>
          <w:bCs/>
        </w:rPr>
        <w:t xml:space="preserve">Email Marketing.</w:t>
      </w:r>
      <w:r>
        <w:t xml:space="preserve"> All commercial email shall: (i) accurately identify the sender; (ii) include a clear subject line; (iii) contain a conspicuous and functioning opt-out mechanism honored within ten (10) business days; and (iv) include a valid physical postal address.</w:t>
      </w:r>
    </w:p>
    <w:p>
      <w:pPr>
        <w:pStyle w:val="BodyText"/>
      </w:pPr>
      <w:r>
        <w:rPr>
          <w:b/>
        </w:rPr>
        <w:t xml:space="preserve">3.2 </w:t>
      </w:r>
      <w:r>
        <w:rPr>
          <w:b/>
          <w:bCs/>
        </w:rPr>
        <w:t xml:space="preserve">Calls and Texts.</w:t>
      </w:r>
      <w:r>
        <w:t xml:space="preserve"> No unsolicited calls, texts, or faxes shall be sent using automated systems without prior express written consent. All applicable do-not-call registry requirements shall be observed.</w:t>
      </w:r>
    </w:p>
    <w:p>
      <w:pPr>
        <w:pStyle w:val="BodyText"/>
      </w:pPr>
      <w:r>
        <w:rPr>
          <w:b/>
        </w:rPr>
        <w:t xml:space="preserve">3.3 </w:t>
      </w:r>
      <w:r>
        <w:rPr>
          <w:b/>
          <w:bCs/>
        </w:rPr>
        <w:t xml:space="preserve">Canadian Recipients.</w:t>
      </w:r>
      <w:r>
        <w:t xml:space="preserve"> Commercial electronic messages to Canadian recipients require express or implied consent under CASL, with compliant identification and unsubscribe mechanisms.</w:t>
      </w:r>
    </w:p>
    <w:p>
      <w:pPr>
        <w:pStyle w:val="BodyText"/>
      </w:pPr>
      <w:r>
        <w:rPr>
          <w:b/>
        </w:rPr>
        <w:t xml:space="preserve">3.4 </w:t>
      </w:r>
      <w:r>
        <w:rPr>
          <w:b/>
          <w:bCs/>
        </w:rPr>
        <w:t xml:space="preserve">Jurisdictional Compliance.</w:t>
      </w:r>
      <w:r>
        <w:t xml:space="preserve"> Master Reseller and Sub-Resellers shall comply with the anti-spam, telemarketing, and electronic-communications laws of each jurisdiction where they market the Products.</w:t>
      </w:r>
    </w:p>
    <w:bookmarkEnd w:id="45"/>
    <w:bookmarkStart w:id="46" w:name="cookie-and-tracking-consent"/>
    <w:p>
      <w:pPr>
        <w:pStyle w:val="Heading2"/>
      </w:pPr>
      <w:r>
        <w:t xml:space="preserve">4. Cookie and Tracking Consent</w:t>
      </w:r>
    </w:p>
    <w:p>
      <w:pPr>
        <w:pStyle w:val="FirstParagraph"/>
      </w:pPr>
      <w:r>
        <w:rPr>
          <w:b/>
        </w:rPr>
        <w:t xml:space="preserve">4.1 </w:t>
      </w:r>
      <w:r>
        <w:rPr>
          <w:b/>
          <w:bCs/>
        </w:rPr>
        <w:t xml:space="preserve">Company Properties.</w:t>
      </w:r>
      <w:r>
        <w:t xml:space="preserve"> The Company is responsible for cookie and tracking consent on its own websites and checkout pages.</w:t>
      </w:r>
    </w:p>
    <w:p>
      <w:pPr>
        <w:pStyle w:val="BodyText"/>
      </w:pPr>
      <w:r>
        <w:rPr>
          <w:b/>
        </w:rPr>
        <w:t xml:space="preserve">4.2 </w:t>
      </w:r>
      <w:r>
        <w:rPr>
          <w:b/>
          <w:bCs/>
        </w:rPr>
        <w:t xml:space="preserve">Reseller Properties.</w:t>
      </w:r>
      <w:r>
        <w:t xml:space="preserve"> Master Reseller and each Sub-Reseller shall implement and maintain a consent management mechanism (e.g., cookie consent banner) on its own websites and landing pages that obtains valid consent prior to placing non-essential cookies or tracking technologies, in compliance with applicable law (including the ePrivacy Directive, PECR, and GDPR where applicable).</w:t>
      </w:r>
    </w:p>
    <w:bookmarkEnd w:id="46"/>
    <w:bookmarkStart w:id="47" w:name="record-retention"/>
    <w:p>
      <w:pPr>
        <w:pStyle w:val="Heading2"/>
      </w:pPr>
      <w:r>
        <w:t xml:space="preserve">5. Record Retention</w:t>
      </w:r>
    </w:p>
    <w:p>
      <w:pPr>
        <w:pStyle w:val="FirstParagraph"/>
      </w:pPr>
      <w:r>
        <w:t xml:space="preserve">5.1 Master Reseller and each Sub-Reseller shall retain: (i) copies of all Marketing Materials; (ii) substantiation evidence for any earnings or performance claims; (iii) records of material-connection disclosures; and (iv) records of all consents obtained and opt-out requests honored, for a period of three (3) years from the date of last use or publication. Such records shall be produced to the Company upon request within ten (10) business days.</w:t>
      </w:r>
    </w:p>
    <w:bookmarkEnd w:id="47"/>
    <w:bookmarkStart w:id="48" w:name="updates"/>
    <w:p>
      <w:pPr>
        <w:pStyle w:val="Heading2"/>
      </w:pPr>
      <w:r>
        <w:t xml:space="preserve">6. Updates</w:t>
      </w:r>
    </w:p>
    <w:p>
      <w:pPr>
        <w:pStyle w:val="FirstParagraph"/>
      </w:pPr>
      <w:r>
        <w:t xml:space="preserve">6.1 The Company may update this Compliance Policy in accordance with Section 4.3(c) of the Agreement. Updates reflecting changes in applicable law, regulatory guidance, or advertising-platform policies do not require Master Reseller’s consent. Updates that materially increase Master Reseller’s obligations beyond what applicable law requires are effective only upon mutual written agreement.</w:t>
      </w:r>
    </w:p>
    <w:bookmarkEnd w:id="48"/>
    <w:bookmarkEnd w:id="49"/>
    <w:sectPr>
      <w:footerReference w:type="default" r:id="rIdFooter1"/>
      <w:footnotePr>
        <w:numRestart w:val="eachSect"/>
      </w:footnotePr>
      <w:pgSz w:h="15840" w:w="12240"/>
      <w:pgMar w:bottom="1440" w:left="1440" w:right="1440" w:top="1440" w:footer="720" w:head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rFonts w:ascii="Times New Roman" w:hAnsi="Times New Roman"/>
        <w:sz w:val="16"/>
      </w:rPr>
    </w:pPr>
    <w:r>
      <w:rPr>
        <w:rFonts w:ascii="Times New Roman" w:hAnsi="Times New Roman"/>
        <w:sz w:val="16"/>
      </w:rPr>
      <w:t xml:space="preserve">Master Reseller Agreement — TradeFundrr, LLC and Wall Street Bound, Inc.   ·   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jc w:val="both"/>
    </w:pPr>
    <w:rPr>
      <w:rFonts w:ascii="Times New Roman" w:hAnsi="Times New Roman"/>
      <w:b w:val="0"/>
      <w:smallCaps w:val="0"/>
      <w:color w:val="000000"/>
      <w:sz w:val="24"/>
      <w:u w:val="none"/>
    </w:rPr>
  </w:style>
  <w:style w:styleId="BodyText" w:type="paragraph">
    <w:name w:val="Body Text"/>
    <w:basedOn w:val="Normal"/>
    <w:link w:val="BodyTextChar"/>
    <w:qFormat/>
    <w:pPr>
      <w:spacing w:after="180" w:before="180"/>
    </w:pPr>
    <w:rPr>
      <w:rFonts w:ascii="Times New Roman" w:hAnsi="Times New Roman"/>
      <w:b w:val="0"/>
      <w:smallCaps w:val="0"/>
      <w:color w:val="000000"/>
      <w:sz w:val="24"/>
      <w:u w:val="none"/>
    </w:rPr>
  </w:style>
  <w:style w:customStyle="1" w:styleId="FirstParagraph" w:type="paragraph">
    <w:name w:val="First Paragraph"/>
    <w:basedOn w:val="BodyText"/>
    <w:next w:val="BodyText"/>
    <w:qFormat/>
    <w:rPr>
      <w:rFonts w:ascii="Times New Roman" w:hAnsi="Times New Roman"/>
      <w:b w:val="0"/>
      <w:smallCaps w:val="0"/>
      <w:color w:val="000000"/>
      <w:sz w:val="24"/>
      <w:u w:val="none"/>
    </w:rPr>
  </w:style>
  <w:style w:customStyle="1" w:styleId="Compact" w:type="paragraph">
    <w:name w:val="Compact"/>
    <w:basedOn w:val="BodyText"/>
    <w:qFormat/>
    <w:pPr>
      <w:spacing w:after="36" w:before="36"/>
    </w:pPr>
    <w:rPr>
      <w:rFonts w:ascii="Times New Roman" w:hAnsi="Times New Roman"/>
      <w:b w:val="0"/>
      <w:smallCaps w:val="0"/>
      <w:color w:val="000000"/>
      <w:sz w:val="24"/>
      <w:u w:val="none"/>
    </w:rPr>
  </w:style>
  <w:style w:customStyle="1" w:styleId="TableSmall" w:type="paragraph">
    <w:name w:val="Table Small"/>
    <w:basedOn w:val="Compact"/>
    <w:qFormat/>
    <w:rPr>
      <w:rFonts w:ascii="Times New Roman" w:hAnsi="Times New Roman"/>
      <w:sz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mallCaps w:val="0"/>
      <w:color w:val="000000"/>
      <w:sz w:val="32"/>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imes New Roman" w:asciiTheme="majorHAnsi" w:cstheme="majorBidi" w:eastAsiaTheme="majorEastAsia" w:hAnsi="Times New Roman" w:hAnsiTheme="majorHAnsi"/>
      <w:b/>
      <w:smallCaps w:val="0"/>
      <w:color w:val="000000"/>
      <w:sz w:val="24"/>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asciiTheme="majorHAnsi" w:cstheme="majorBidi" w:eastAsiaTheme="majorEastAsia" w:hAnsi="Times New Roman" w:hAnsiTheme="majorHAnsi"/>
      <w:b/>
      <w:smallCaps w:val="0"/>
      <w:color w:val="000000"/>
      <w:sz w:val="24"/>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cstheme="majorBidi" w:eastAsiaTheme="majorEastAsia" w:hAnsi="Times New Roman"/>
      <w:b/>
      <w:smallCaps w:val="0"/>
      <w:color w:val="000000"/>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val="000000"/>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val="000000"/>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rPr>
      <w:rFonts w:ascii="Times New Roman" w:hAnsi="Times New Roman"/>
      <w:color w:val="000000"/>
    </w:rPr>
    <w:tblPr>
      <w:tblInd w:type="dxa" w:w="0"/>
      <w:tblBorders>
        <w:top w:val="single" w:sz="4" w:color="666666"/>
        <w:left w:val="single" w:sz="4" w:color="666666"/>
        <w:bottom w:val="single" w:sz="4" w:color="666666"/>
        <w:right w:val="single" w:sz="4" w:color="666666"/>
        <w:insideH w:val="single" w:sz="4" w:color="999999"/>
        <w:insideV w:val="single" w:sz="4" w:color="999999"/>
      </w:tblBorders>
      <w:tblCellMar>
        <w:top w:type="dxa" w:w="40"/>
        <w:left w:type="dxa" w:w="72"/>
        <w:bottom w:type="dxa" w:w="40"/>
        <w:right w:type="dxa" w:w="72"/>
      </w:tblCellMar>
    </w:tblPr>
    <w:tblStylePr w:type="firstRow">
      <w:rPr>
        <w:b/>
      </w:rPr>
      <w:tcPr>
        <w:tcBorders>
          <w:bottom w:val="single" w:sz="4" w:color="666666"/>
        </w:tcBorders>
        <w:shd w:val="clear" w:color="auto" w:fill="D9D9D9"/>
        <w:vAlign w:val="center"/>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Reseller Agreement — TradeFundrr, LLC and Wall Street Bound, Inc.</dc:title>
  <dc:creator/>
  <cp:keywords/>
  <dcterms:created xsi:type="dcterms:W3CDTF">2026-06-29T18:28:18Z</dcterms:created>
  <dcterms:modified xsi:type="dcterms:W3CDTF">2026-06-29T18:28:18Z</dcterms:modified>
</cp:coreProperties>
</file>

<file path=docProps/custom.xml><?xml version="1.0" encoding="utf-8"?>
<Properties xmlns="http://schemas.openxmlformats.org/officeDocument/2006/custom-properties" xmlns:vt="http://schemas.openxmlformats.org/officeDocument/2006/docPropsVTypes"/>
</file>