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E4FE6" w14:textId="710CE9E8" w:rsidR="00DF67AA" w:rsidRDefault="00DF67AA" w:rsidP="00903AA2">
      <w:pPr>
        <w:rPr>
          <w:spacing w:val="10"/>
        </w:rPr>
      </w:pPr>
    </w:p>
    <w:p w14:paraId="4AFC110E" w14:textId="21526BEF" w:rsidR="00DF67AA" w:rsidRDefault="00DF67AA" w:rsidP="00903AA2">
      <w:pPr>
        <w:rPr>
          <w:spacing w:val="10"/>
        </w:rPr>
      </w:pPr>
    </w:p>
    <w:p w14:paraId="446FF861" w14:textId="77777777" w:rsidR="00FA1162" w:rsidRDefault="00FA1162" w:rsidP="00903AA2">
      <w:pPr>
        <w:rPr>
          <w:spacing w:val="10"/>
        </w:rPr>
      </w:pPr>
    </w:p>
    <w:p w14:paraId="39282BD7" w14:textId="35D76891" w:rsidR="00DF67AA" w:rsidRDefault="00386B5D" w:rsidP="00070650">
      <w:pPr>
        <w:rPr>
          <w:noProof/>
          <w:spacing w:val="10"/>
        </w:rPr>
      </w:pPr>
      <w:r>
        <w:rPr>
          <w:noProof/>
          <w:spacing w:val="10"/>
        </w:rPr>
        <w:drawing>
          <wp:anchor distT="0" distB="0" distL="114300" distR="114300" simplePos="0" relativeHeight="251658240" behindDoc="0" locked="0" layoutInCell="1" allowOverlap="1" wp14:anchorId="54BE6987" wp14:editId="4F1BAF2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00AF1001" w:rsidRPr="0063326C">
        <w:rPr>
          <w:noProof/>
          <w:spacing w:val="10"/>
        </w:rPr>
        <mc:AlternateContent>
          <mc:Choice Requires="wps">
            <w:drawing>
              <wp:inline distT="0" distB="0" distL="0" distR="0" wp14:anchorId="1BB1C9C5" wp14:editId="374575BF">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64739391" w14:textId="5AF744E8" w:rsidR="00DF67AA" w:rsidRPr="00847753" w:rsidRDefault="002F387E" w:rsidP="00847753">
                            <w:pPr>
                              <w:pStyle w:val="PolicyTitle"/>
                            </w:pPr>
                            <w:r>
                              <w:t xml:space="preserve">Consent </w:t>
                            </w:r>
                            <w:r w:rsidR="00B935D9">
                              <w:t xml:space="preserve">Policy </w:t>
                            </w:r>
                          </w:p>
                          <w:p w14:paraId="470E9494" w14:textId="461293EE" w:rsidR="000646E5" w:rsidRPr="00847753" w:rsidRDefault="002F387E" w:rsidP="00847753">
                            <w:pPr>
                              <w:pStyle w:val="PolicyCode"/>
                            </w:pPr>
                            <w:r>
                              <w:t>C</w:t>
                            </w:r>
                            <w:r w:rsidR="005D445F">
                              <w:t>P</w:t>
                            </w:r>
                            <w:r>
                              <w:t>002</w:t>
                            </w:r>
                            <w:r w:rsidR="00A34D37" w:rsidRPr="00847753">
                              <w:t xml:space="preserve"> </w:t>
                            </w:r>
                            <w:r>
                              <w:t xml:space="preserve">Common Policies </w:t>
                            </w:r>
                          </w:p>
                          <w:p w14:paraId="2BEF119A" w14:textId="4E24C90C" w:rsidR="00AB4A71" w:rsidRPr="00847753" w:rsidRDefault="0040330F" w:rsidP="00847753">
                            <w:pPr>
                              <w:pStyle w:val="PolicyDate"/>
                            </w:pPr>
                            <w:r>
                              <w:t>July 2023</w:t>
                            </w:r>
                          </w:p>
                        </w:txbxContent>
                      </wps:txbx>
                      <wps:bodyPr rot="0" vert="horz" wrap="square" lIns="91440" tIns="45720" rIns="91440" bIns="45720" anchor="t" anchorCtr="0">
                        <a:spAutoFit/>
                      </wps:bodyPr>
                    </wps:wsp>
                  </a:graphicData>
                </a:graphic>
              </wp:inline>
            </w:drawing>
          </mc:Choice>
          <mc:Fallback>
            <w:pict>
              <v:shapetype w14:anchorId="1BB1C9C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64739391" w14:textId="5AF744E8" w:rsidR="00DF67AA" w:rsidRPr="00847753" w:rsidRDefault="002F387E" w:rsidP="00847753">
                      <w:pPr>
                        <w:pStyle w:val="PolicyTitle"/>
                      </w:pPr>
                      <w:r>
                        <w:t xml:space="preserve">Consent </w:t>
                      </w:r>
                      <w:r w:rsidR="00B935D9">
                        <w:t xml:space="preserve">Policy </w:t>
                      </w:r>
                    </w:p>
                    <w:p w14:paraId="470E9494" w14:textId="461293EE" w:rsidR="000646E5" w:rsidRPr="00847753" w:rsidRDefault="002F387E" w:rsidP="00847753">
                      <w:pPr>
                        <w:pStyle w:val="PolicyCode"/>
                      </w:pPr>
                      <w:r>
                        <w:t>C</w:t>
                      </w:r>
                      <w:r w:rsidR="005D445F">
                        <w:t>P</w:t>
                      </w:r>
                      <w:r>
                        <w:t>002</w:t>
                      </w:r>
                      <w:r w:rsidR="00A34D37" w:rsidRPr="00847753">
                        <w:t xml:space="preserve"> </w:t>
                      </w:r>
                      <w:r>
                        <w:t xml:space="preserve">Common Policies </w:t>
                      </w:r>
                    </w:p>
                    <w:p w14:paraId="2BEF119A" w14:textId="4E24C90C" w:rsidR="00AB4A71" w:rsidRPr="00847753" w:rsidRDefault="0040330F" w:rsidP="00847753">
                      <w:pPr>
                        <w:pStyle w:val="PolicyDate"/>
                      </w:pPr>
                      <w:r>
                        <w:t>July 2023</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E05715B" w14:textId="51C978B2"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90E5DB2" w14:textId="77777777" w:rsidR="00DF67AA" w:rsidRDefault="00471203" w:rsidP="00070650">
          <w:pPr>
            <w:rPr>
              <w:rFonts w:cs="Arial"/>
              <w:b/>
              <w:bCs/>
              <w:sz w:val="28"/>
              <w:szCs w:val="28"/>
            </w:rPr>
          </w:pPr>
          <w:r w:rsidRPr="00070650">
            <w:rPr>
              <w:rFonts w:cs="Arial"/>
              <w:b/>
              <w:bCs/>
              <w:sz w:val="28"/>
              <w:szCs w:val="28"/>
            </w:rPr>
            <w:t>Contents</w:t>
          </w:r>
        </w:p>
        <w:p w14:paraId="701E62CC" w14:textId="68B1C432" w:rsidR="000851FC" w:rsidRDefault="00F91DD0">
          <w:pPr>
            <w:pStyle w:val="TOC1"/>
            <w:rPr>
              <w:rFonts w:asciiTheme="minorHAnsi" w:eastAsiaTheme="minorEastAsia" w:hAnsiTheme="minorHAnsi"/>
              <w:kern w:val="2"/>
              <w:sz w:val="22"/>
              <w:szCs w:val="2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39959738" w:history="1">
            <w:r w:rsidR="000851FC" w:rsidRPr="00945643">
              <w:rPr>
                <w:rStyle w:val="Hyperlink"/>
              </w:rPr>
              <w:t>1</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Introduction</w:t>
            </w:r>
            <w:r w:rsidR="000851FC">
              <w:rPr>
                <w:webHidden/>
              </w:rPr>
              <w:tab/>
            </w:r>
            <w:r w:rsidR="000851FC">
              <w:rPr>
                <w:webHidden/>
              </w:rPr>
              <w:fldChar w:fldCharType="begin"/>
            </w:r>
            <w:r w:rsidR="000851FC">
              <w:rPr>
                <w:webHidden/>
              </w:rPr>
              <w:instrText xml:space="preserve"> PAGEREF _Toc139959738 \h </w:instrText>
            </w:r>
            <w:r w:rsidR="000851FC">
              <w:rPr>
                <w:webHidden/>
              </w:rPr>
            </w:r>
            <w:r w:rsidR="000851FC">
              <w:rPr>
                <w:webHidden/>
              </w:rPr>
              <w:fldChar w:fldCharType="separate"/>
            </w:r>
            <w:r w:rsidR="000851FC">
              <w:rPr>
                <w:webHidden/>
              </w:rPr>
              <w:t>2</w:t>
            </w:r>
            <w:r w:rsidR="000851FC">
              <w:rPr>
                <w:webHidden/>
              </w:rPr>
              <w:fldChar w:fldCharType="end"/>
            </w:r>
          </w:hyperlink>
        </w:p>
        <w:p w14:paraId="58C114C8" w14:textId="1487036B" w:rsidR="000851FC" w:rsidRDefault="00FF55F7">
          <w:pPr>
            <w:pStyle w:val="TOC1"/>
            <w:rPr>
              <w:rFonts w:asciiTheme="minorHAnsi" w:eastAsiaTheme="minorEastAsia" w:hAnsiTheme="minorHAnsi"/>
              <w:kern w:val="2"/>
              <w:sz w:val="22"/>
              <w:szCs w:val="22"/>
              <w:lang w:eastAsia="en-GB"/>
              <w14:ligatures w14:val="standardContextual"/>
            </w:rPr>
          </w:pPr>
          <w:hyperlink w:anchor="_Toc139959739" w:history="1">
            <w:r w:rsidR="000851FC" w:rsidRPr="00945643">
              <w:rPr>
                <w:rStyle w:val="Hyperlink"/>
              </w:rPr>
              <w:t>2</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Scope and Purpose</w:t>
            </w:r>
            <w:r w:rsidR="000851FC">
              <w:rPr>
                <w:webHidden/>
              </w:rPr>
              <w:tab/>
            </w:r>
            <w:r w:rsidR="000851FC">
              <w:rPr>
                <w:webHidden/>
              </w:rPr>
              <w:fldChar w:fldCharType="begin"/>
            </w:r>
            <w:r w:rsidR="000851FC">
              <w:rPr>
                <w:webHidden/>
              </w:rPr>
              <w:instrText xml:space="preserve"> PAGEREF _Toc139959739 \h </w:instrText>
            </w:r>
            <w:r w:rsidR="000851FC">
              <w:rPr>
                <w:webHidden/>
              </w:rPr>
            </w:r>
            <w:r w:rsidR="000851FC">
              <w:rPr>
                <w:webHidden/>
              </w:rPr>
              <w:fldChar w:fldCharType="separate"/>
            </w:r>
            <w:r w:rsidR="000851FC">
              <w:rPr>
                <w:webHidden/>
              </w:rPr>
              <w:t>2</w:t>
            </w:r>
            <w:r w:rsidR="000851FC">
              <w:rPr>
                <w:webHidden/>
              </w:rPr>
              <w:fldChar w:fldCharType="end"/>
            </w:r>
          </w:hyperlink>
        </w:p>
        <w:p w14:paraId="0247336C" w14:textId="346A4D77" w:rsidR="000851FC" w:rsidRDefault="00FF55F7">
          <w:pPr>
            <w:pStyle w:val="TOC1"/>
            <w:rPr>
              <w:rFonts w:asciiTheme="minorHAnsi" w:eastAsiaTheme="minorEastAsia" w:hAnsiTheme="minorHAnsi"/>
              <w:kern w:val="2"/>
              <w:sz w:val="22"/>
              <w:szCs w:val="22"/>
              <w:lang w:eastAsia="en-GB"/>
              <w14:ligatures w14:val="standardContextual"/>
            </w:rPr>
          </w:pPr>
          <w:hyperlink w:anchor="_Toc139959740" w:history="1">
            <w:r w:rsidR="000851FC" w:rsidRPr="00945643">
              <w:rPr>
                <w:rStyle w:val="Hyperlink"/>
              </w:rPr>
              <w:t>3</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Definitions</w:t>
            </w:r>
            <w:r w:rsidR="000851FC">
              <w:rPr>
                <w:webHidden/>
              </w:rPr>
              <w:tab/>
            </w:r>
            <w:r w:rsidR="000851FC">
              <w:rPr>
                <w:webHidden/>
              </w:rPr>
              <w:fldChar w:fldCharType="begin"/>
            </w:r>
            <w:r w:rsidR="000851FC">
              <w:rPr>
                <w:webHidden/>
              </w:rPr>
              <w:instrText xml:space="preserve"> PAGEREF _Toc139959740 \h </w:instrText>
            </w:r>
            <w:r w:rsidR="000851FC">
              <w:rPr>
                <w:webHidden/>
              </w:rPr>
            </w:r>
            <w:r w:rsidR="000851FC">
              <w:rPr>
                <w:webHidden/>
              </w:rPr>
              <w:fldChar w:fldCharType="separate"/>
            </w:r>
            <w:r w:rsidR="000851FC">
              <w:rPr>
                <w:webHidden/>
              </w:rPr>
              <w:t>3</w:t>
            </w:r>
            <w:r w:rsidR="000851FC">
              <w:rPr>
                <w:webHidden/>
              </w:rPr>
              <w:fldChar w:fldCharType="end"/>
            </w:r>
          </w:hyperlink>
        </w:p>
        <w:p w14:paraId="008C65E5" w14:textId="2E7AA579" w:rsidR="000851FC" w:rsidRDefault="00FF55F7">
          <w:pPr>
            <w:pStyle w:val="TOC1"/>
            <w:rPr>
              <w:rFonts w:asciiTheme="minorHAnsi" w:eastAsiaTheme="minorEastAsia" w:hAnsiTheme="minorHAnsi"/>
              <w:kern w:val="2"/>
              <w:sz w:val="22"/>
              <w:szCs w:val="22"/>
              <w:lang w:eastAsia="en-GB"/>
              <w14:ligatures w14:val="standardContextual"/>
            </w:rPr>
          </w:pPr>
          <w:hyperlink w:anchor="_Toc139959741" w:history="1">
            <w:r w:rsidR="000851FC" w:rsidRPr="00945643">
              <w:rPr>
                <w:rStyle w:val="Hyperlink"/>
              </w:rPr>
              <w:t>4</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Obtaining Consent</w:t>
            </w:r>
            <w:r w:rsidR="000851FC">
              <w:rPr>
                <w:webHidden/>
              </w:rPr>
              <w:tab/>
            </w:r>
            <w:r w:rsidR="000851FC">
              <w:rPr>
                <w:webHidden/>
              </w:rPr>
              <w:fldChar w:fldCharType="begin"/>
            </w:r>
            <w:r w:rsidR="000851FC">
              <w:rPr>
                <w:webHidden/>
              </w:rPr>
              <w:instrText xml:space="preserve"> PAGEREF _Toc139959741 \h </w:instrText>
            </w:r>
            <w:r w:rsidR="000851FC">
              <w:rPr>
                <w:webHidden/>
              </w:rPr>
            </w:r>
            <w:r w:rsidR="000851FC">
              <w:rPr>
                <w:webHidden/>
              </w:rPr>
              <w:fldChar w:fldCharType="separate"/>
            </w:r>
            <w:r w:rsidR="000851FC">
              <w:rPr>
                <w:webHidden/>
              </w:rPr>
              <w:t>4</w:t>
            </w:r>
            <w:r w:rsidR="000851FC">
              <w:rPr>
                <w:webHidden/>
              </w:rPr>
              <w:fldChar w:fldCharType="end"/>
            </w:r>
          </w:hyperlink>
        </w:p>
        <w:p w14:paraId="252DA364" w14:textId="51F8FA55" w:rsidR="000851FC" w:rsidRDefault="00FF55F7">
          <w:pPr>
            <w:pStyle w:val="TOC1"/>
            <w:rPr>
              <w:rFonts w:asciiTheme="minorHAnsi" w:eastAsiaTheme="minorEastAsia" w:hAnsiTheme="minorHAnsi"/>
              <w:kern w:val="2"/>
              <w:sz w:val="22"/>
              <w:szCs w:val="22"/>
              <w:lang w:eastAsia="en-GB"/>
              <w14:ligatures w14:val="standardContextual"/>
            </w:rPr>
          </w:pPr>
          <w:hyperlink w:anchor="_Toc139959742" w:history="1">
            <w:r w:rsidR="000851FC" w:rsidRPr="00945643">
              <w:rPr>
                <w:rStyle w:val="Hyperlink"/>
              </w:rPr>
              <w:t>5</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Lacking Capacity to Consent</w:t>
            </w:r>
            <w:r w:rsidR="000851FC">
              <w:rPr>
                <w:webHidden/>
              </w:rPr>
              <w:tab/>
            </w:r>
            <w:r w:rsidR="000851FC">
              <w:rPr>
                <w:webHidden/>
              </w:rPr>
              <w:fldChar w:fldCharType="begin"/>
            </w:r>
            <w:r w:rsidR="000851FC">
              <w:rPr>
                <w:webHidden/>
              </w:rPr>
              <w:instrText xml:space="preserve"> PAGEREF _Toc139959742 \h </w:instrText>
            </w:r>
            <w:r w:rsidR="000851FC">
              <w:rPr>
                <w:webHidden/>
              </w:rPr>
            </w:r>
            <w:r w:rsidR="000851FC">
              <w:rPr>
                <w:webHidden/>
              </w:rPr>
              <w:fldChar w:fldCharType="separate"/>
            </w:r>
            <w:r w:rsidR="000851FC">
              <w:rPr>
                <w:webHidden/>
              </w:rPr>
              <w:t>5</w:t>
            </w:r>
            <w:r w:rsidR="000851FC">
              <w:rPr>
                <w:webHidden/>
              </w:rPr>
              <w:fldChar w:fldCharType="end"/>
            </w:r>
          </w:hyperlink>
        </w:p>
        <w:p w14:paraId="62E1E958" w14:textId="569152CB" w:rsidR="000851FC" w:rsidRDefault="00FF55F7">
          <w:pPr>
            <w:pStyle w:val="TOC1"/>
            <w:rPr>
              <w:rFonts w:asciiTheme="minorHAnsi" w:eastAsiaTheme="minorEastAsia" w:hAnsiTheme="minorHAnsi"/>
              <w:kern w:val="2"/>
              <w:sz w:val="22"/>
              <w:szCs w:val="22"/>
              <w:lang w:eastAsia="en-GB"/>
              <w14:ligatures w14:val="standardContextual"/>
            </w:rPr>
          </w:pPr>
          <w:hyperlink w:anchor="_Toc139959743" w:history="1">
            <w:r w:rsidR="000851FC" w:rsidRPr="00945643">
              <w:rPr>
                <w:rStyle w:val="Hyperlink"/>
              </w:rPr>
              <w:t>6</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Standard Operating Procedures</w:t>
            </w:r>
            <w:r w:rsidR="000851FC">
              <w:rPr>
                <w:webHidden/>
              </w:rPr>
              <w:tab/>
            </w:r>
            <w:r w:rsidR="000851FC">
              <w:rPr>
                <w:webHidden/>
              </w:rPr>
              <w:fldChar w:fldCharType="begin"/>
            </w:r>
            <w:r w:rsidR="000851FC">
              <w:rPr>
                <w:webHidden/>
              </w:rPr>
              <w:instrText xml:space="preserve"> PAGEREF _Toc139959743 \h </w:instrText>
            </w:r>
            <w:r w:rsidR="000851FC">
              <w:rPr>
                <w:webHidden/>
              </w:rPr>
            </w:r>
            <w:r w:rsidR="000851FC">
              <w:rPr>
                <w:webHidden/>
              </w:rPr>
              <w:fldChar w:fldCharType="separate"/>
            </w:r>
            <w:r w:rsidR="000851FC">
              <w:rPr>
                <w:webHidden/>
              </w:rPr>
              <w:t>6</w:t>
            </w:r>
            <w:r w:rsidR="000851FC">
              <w:rPr>
                <w:webHidden/>
              </w:rPr>
              <w:fldChar w:fldCharType="end"/>
            </w:r>
          </w:hyperlink>
        </w:p>
        <w:p w14:paraId="7C0744EE" w14:textId="4C5BEC0E" w:rsidR="000851FC" w:rsidRDefault="00FF55F7">
          <w:pPr>
            <w:pStyle w:val="TOC1"/>
            <w:rPr>
              <w:rFonts w:asciiTheme="minorHAnsi" w:eastAsiaTheme="minorEastAsia" w:hAnsiTheme="minorHAnsi"/>
              <w:kern w:val="2"/>
              <w:sz w:val="22"/>
              <w:szCs w:val="22"/>
              <w:lang w:eastAsia="en-GB"/>
              <w14:ligatures w14:val="standardContextual"/>
            </w:rPr>
          </w:pPr>
          <w:hyperlink w:anchor="_Toc139959748" w:history="1">
            <w:r w:rsidR="000851FC" w:rsidRPr="00945643">
              <w:rPr>
                <w:rStyle w:val="Hyperlink"/>
              </w:rPr>
              <w:t>7</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Roles and Responsibilities</w:t>
            </w:r>
            <w:r w:rsidR="000851FC">
              <w:rPr>
                <w:webHidden/>
              </w:rPr>
              <w:tab/>
            </w:r>
            <w:r w:rsidR="000851FC">
              <w:rPr>
                <w:webHidden/>
              </w:rPr>
              <w:fldChar w:fldCharType="begin"/>
            </w:r>
            <w:r w:rsidR="000851FC">
              <w:rPr>
                <w:webHidden/>
              </w:rPr>
              <w:instrText xml:space="preserve"> PAGEREF _Toc139959748 \h </w:instrText>
            </w:r>
            <w:r w:rsidR="000851FC">
              <w:rPr>
                <w:webHidden/>
              </w:rPr>
            </w:r>
            <w:r w:rsidR="000851FC">
              <w:rPr>
                <w:webHidden/>
              </w:rPr>
              <w:fldChar w:fldCharType="separate"/>
            </w:r>
            <w:r w:rsidR="000851FC">
              <w:rPr>
                <w:webHidden/>
              </w:rPr>
              <w:t>8</w:t>
            </w:r>
            <w:r w:rsidR="000851FC">
              <w:rPr>
                <w:webHidden/>
              </w:rPr>
              <w:fldChar w:fldCharType="end"/>
            </w:r>
          </w:hyperlink>
        </w:p>
        <w:p w14:paraId="3DEC4C9B" w14:textId="01099E05" w:rsidR="000851FC" w:rsidRDefault="00FF55F7">
          <w:pPr>
            <w:pStyle w:val="TOC1"/>
            <w:rPr>
              <w:rFonts w:asciiTheme="minorHAnsi" w:eastAsiaTheme="minorEastAsia" w:hAnsiTheme="minorHAnsi"/>
              <w:kern w:val="2"/>
              <w:sz w:val="22"/>
              <w:szCs w:val="22"/>
              <w:lang w:eastAsia="en-GB"/>
              <w14:ligatures w14:val="standardContextual"/>
            </w:rPr>
          </w:pPr>
          <w:hyperlink w:anchor="_Toc139959749" w:history="1">
            <w:r w:rsidR="000851FC" w:rsidRPr="00945643">
              <w:rPr>
                <w:rStyle w:val="Hyperlink"/>
              </w:rPr>
              <w:t>8</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Training and Monitoring</w:t>
            </w:r>
            <w:r w:rsidR="000851FC">
              <w:rPr>
                <w:webHidden/>
              </w:rPr>
              <w:tab/>
            </w:r>
            <w:r w:rsidR="000851FC">
              <w:rPr>
                <w:webHidden/>
              </w:rPr>
              <w:fldChar w:fldCharType="begin"/>
            </w:r>
            <w:r w:rsidR="000851FC">
              <w:rPr>
                <w:webHidden/>
              </w:rPr>
              <w:instrText xml:space="preserve"> PAGEREF _Toc139959749 \h </w:instrText>
            </w:r>
            <w:r w:rsidR="000851FC">
              <w:rPr>
                <w:webHidden/>
              </w:rPr>
            </w:r>
            <w:r w:rsidR="000851FC">
              <w:rPr>
                <w:webHidden/>
              </w:rPr>
              <w:fldChar w:fldCharType="separate"/>
            </w:r>
            <w:r w:rsidR="000851FC">
              <w:rPr>
                <w:webHidden/>
              </w:rPr>
              <w:t>9</w:t>
            </w:r>
            <w:r w:rsidR="000851FC">
              <w:rPr>
                <w:webHidden/>
              </w:rPr>
              <w:fldChar w:fldCharType="end"/>
            </w:r>
          </w:hyperlink>
        </w:p>
        <w:p w14:paraId="2D43B0C0" w14:textId="00ADADF1" w:rsidR="000851FC" w:rsidRDefault="00FF55F7">
          <w:pPr>
            <w:pStyle w:val="TOC1"/>
            <w:rPr>
              <w:rFonts w:asciiTheme="minorHAnsi" w:eastAsiaTheme="minorEastAsia" w:hAnsiTheme="minorHAnsi"/>
              <w:kern w:val="2"/>
              <w:sz w:val="22"/>
              <w:szCs w:val="22"/>
              <w:lang w:eastAsia="en-GB"/>
              <w14:ligatures w14:val="standardContextual"/>
            </w:rPr>
          </w:pPr>
          <w:hyperlink w:anchor="_Toc139959750" w:history="1">
            <w:r w:rsidR="000851FC" w:rsidRPr="00945643">
              <w:rPr>
                <w:rStyle w:val="Hyperlink"/>
              </w:rPr>
              <w:t>9</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Communication and Dissemination</w:t>
            </w:r>
            <w:r w:rsidR="000851FC">
              <w:rPr>
                <w:webHidden/>
              </w:rPr>
              <w:tab/>
            </w:r>
            <w:r w:rsidR="000851FC">
              <w:rPr>
                <w:webHidden/>
              </w:rPr>
              <w:fldChar w:fldCharType="begin"/>
            </w:r>
            <w:r w:rsidR="000851FC">
              <w:rPr>
                <w:webHidden/>
              </w:rPr>
              <w:instrText xml:space="preserve"> PAGEREF _Toc139959750 \h </w:instrText>
            </w:r>
            <w:r w:rsidR="000851FC">
              <w:rPr>
                <w:webHidden/>
              </w:rPr>
            </w:r>
            <w:r w:rsidR="000851FC">
              <w:rPr>
                <w:webHidden/>
              </w:rPr>
              <w:fldChar w:fldCharType="separate"/>
            </w:r>
            <w:r w:rsidR="000851FC">
              <w:rPr>
                <w:webHidden/>
              </w:rPr>
              <w:t>9</w:t>
            </w:r>
            <w:r w:rsidR="000851FC">
              <w:rPr>
                <w:webHidden/>
              </w:rPr>
              <w:fldChar w:fldCharType="end"/>
            </w:r>
          </w:hyperlink>
        </w:p>
        <w:p w14:paraId="18E07272" w14:textId="6776D908" w:rsidR="000851FC" w:rsidRDefault="00FF55F7">
          <w:pPr>
            <w:pStyle w:val="TOC1"/>
            <w:rPr>
              <w:rFonts w:asciiTheme="minorHAnsi" w:eastAsiaTheme="minorEastAsia" w:hAnsiTheme="minorHAnsi"/>
              <w:kern w:val="2"/>
              <w:sz w:val="22"/>
              <w:szCs w:val="22"/>
              <w:lang w:eastAsia="en-GB"/>
              <w14:ligatures w14:val="standardContextual"/>
            </w:rPr>
          </w:pPr>
          <w:hyperlink w:anchor="_Toc139959751" w:history="1">
            <w:r w:rsidR="000851FC" w:rsidRPr="00945643">
              <w:rPr>
                <w:rStyle w:val="Hyperlink"/>
              </w:rPr>
              <w:t>10</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Impact Assessments (Inc. EDI)</w:t>
            </w:r>
            <w:r w:rsidR="000851FC">
              <w:rPr>
                <w:webHidden/>
              </w:rPr>
              <w:tab/>
            </w:r>
            <w:r w:rsidR="000851FC">
              <w:rPr>
                <w:webHidden/>
              </w:rPr>
              <w:fldChar w:fldCharType="begin"/>
            </w:r>
            <w:r w:rsidR="000851FC">
              <w:rPr>
                <w:webHidden/>
              </w:rPr>
              <w:instrText xml:space="preserve"> PAGEREF _Toc139959751 \h </w:instrText>
            </w:r>
            <w:r w:rsidR="000851FC">
              <w:rPr>
                <w:webHidden/>
              </w:rPr>
            </w:r>
            <w:r w:rsidR="000851FC">
              <w:rPr>
                <w:webHidden/>
              </w:rPr>
              <w:fldChar w:fldCharType="separate"/>
            </w:r>
            <w:r w:rsidR="000851FC">
              <w:rPr>
                <w:webHidden/>
              </w:rPr>
              <w:t>10</w:t>
            </w:r>
            <w:r w:rsidR="000851FC">
              <w:rPr>
                <w:webHidden/>
              </w:rPr>
              <w:fldChar w:fldCharType="end"/>
            </w:r>
          </w:hyperlink>
        </w:p>
        <w:p w14:paraId="759337D5" w14:textId="0552463A" w:rsidR="000851FC" w:rsidRDefault="00FF55F7">
          <w:pPr>
            <w:pStyle w:val="TOC1"/>
            <w:rPr>
              <w:rFonts w:asciiTheme="minorHAnsi" w:eastAsiaTheme="minorEastAsia" w:hAnsiTheme="minorHAnsi"/>
              <w:kern w:val="2"/>
              <w:sz w:val="22"/>
              <w:szCs w:val="22"/>
              <w:lang w:eastAsia="en-GB"/>
              <w14:ligatures w14:val="standardContextual"/>
            </w:rPr>
          </w:pPr>
          <w:hyperlink w:anchor="_Toc139959752" w:history="1">
            <w:r w:rsidR="000851FC" w:rsidRPr="00945643">
              <w:rPr>
                <w:rStyle w:val="Hyperlink"/>
              </w:rPr>
              <w:t>11</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Resources</w:t>
            </w:r>
            <w:r w:rsidR="000851FC">
              <w:rPr>
                <w:webHidden/>
              </w:rPr>
              <w:tab/>
            </w:r>
            <w:r w:rsidR="000851FC">
              <w:rPr>
                <w:webHidden/>
              </w:rPr>
              <w:fldChar w:fldCharType="begin"/>
            </w:r>
            <w:r w:rsidR="000851FC">
              <w:rPr>
                <w:webHidden/>
              </w:rPr>
              <w:instrText xml:space="preserve"> PAGEREF _Toc139959752 \h </w:instrText>
            </w:r>
            <w:r w:rsidR="000851FC">
              <w:rPr>
                <w:webHidden/>
              </w:rPr>
            </w:r>
            <w:r w:rsidR="000851FC">
              <w:rPr>
                <w:webHidden/>
              </w:rPr>
              <w:fldChar w:fldCharType="separate"/>
            </w:r>
            <w:r w:rsidR="000851FC">
              <w:rPr>
                <w:webHidden/>
              </w:rPr>
              <w:t>10</w:t>
            </w:r>
            <w:r w:rsidR="000851FC">
              <w:rPr>
                <w:webHidden/>
              </w:rPr>
              <w:fldChar w:fldCharType="end"/>
            </w:r>
          </w:hyperlink>
        </w:p>
        <w:p w14:paraId="2BD1DDF7" w14:textId="156646CB" w:rsidR="000851FC" w:rsidRDefault="00FF55F7">
          <w:pPr>
            <w:pStyle w:val="TOC1"/>
            <w:rPr>
              <w:rFonts w:asciiTheme="minorHAnsi" w:eastAsiaTheme="minorEastAsia" w:hAnsiTheme="minorHAnsi"/>
              <w:kern w:val="2"/>
              <w:sz w:val="22"/>
              <w:szCs w:val="22"/>
              <w:lang w:eastAsia="en-GB"/>
              <w14:ligatures w14:val="standardContextual"/>
            </w:rPr>
          </w:pPr>
          <w:hyperlink w:anchor="_Toc139959753" w:history="1">
            <w:r w:rsidR="000851FC" w:rsidRPr="00945643">
              <w:rPr>
                <w:rStyle w:val="Hyperlink"/>
              </w:rPr>
              <w:t>12</w:t>
            </w:r>
            <w:r w:rsidR="000851FC">
              <w:rPr>
                <w:rFonts w:asciiTheme="minorHAnsi" w:eastAsiaTheme="minorEastAsia" w:hAnsiTheme="minorHAnsi"/>
                <w:kern w:val="2"/>
                <w:sz w:val="22"/>
                <w:szCs w:val="22"/>
                <w:lang w:eastAsia="en-GB"/>
                <w14:ligatures w14:val="standardContextual"/>
              </w:rPr>
              <w:tab/>
            </w:r>
            <w:r w:rsidR="000851FC" w:rsidRPr="00945643">
              <w:rPr>
                <w:rStyle w:val="Hyperlink"/>
              </w:rPr>
              <w:t>Version Control</w:t>
            </w:r>
            <w:r w:rsidR="000851FC">
              <w:rPr>
                <w:webHidden/>
              </w:rPr>
              <w:tab/>
            </w:r>
            <w:r w:rsidR="000851FC">
              <w:rPr>
                <w:webHidden/>
              </w:rPr>
              <w:fldChar w:fldCharType="begin"/>
            </w:r>
            <w:r w:rsidR="000851FC">
              <w:rPr>
                <w:webHidden/>
              </w:rPr>
              <w:instrText xml:space="preserve"> PAGEREF _Toc139959753 \h </w:instrText>
            </w:r>
            <w:r w:rsidR="000851FC">
              <w:rPr>
                <w:webHidden/>
              </w:rPr>
            </w:r>
            <w:r w:rsidR="000851FC">
              <w:rPr>
                <w:webHidden/>
              </w:rPr>
              <w:fldChar w:fldCharType="separate"/>
            </w:r>
            <w:r w:rsidR="000851FC">
              <w:rPr>
                <w:webHidden/>
              </w:rPr>
              <w:t>11</w:t>
            </w:r>
            <w:r w:rsidR="000851FC">
              <w:rPr>
                <w:webHidden/>
              </w:rPr>
              <w:fldChar w:fldCharType="end"/>
            </w:r>
          </w:hyperlink>
        </w:p>
        <w:p w14:paraId="3439026E" w14:textId="60724DE6" w:rsidR="000851FC" w:rsidRPr="000851FC" w:rsidRDefault="00F91DD0" w:rsidP="000851FC">
          <w:pPr>
            <w:pStyle w:val="TOC1"/>
            <w:rPr>
              <w:rFonts w:cs="Arial"/>
              <w:spacing w:val="7"/>
            </w:rPr>
          </w:pPr>
          <w:r>
            <w:rPr>
              <w:rFonts w:cs="Arial"/>
              <w:spacing w:val="7"/>
            </w:rPr>
            <w:fldChar w:fldCharType="end"/>
          </w:r>
        </w:p>
      </w:sdtContent>
    </w:sdt>
    <w:bookmarkStart w:id="6" w:name="_Toc139959738" w:displacedByCustomXml="prev"/>
    <w:p w14:paraId="75C71436" w14:textId="77777777" w:rsidR="000851FC" w:rsidRDefault="000851FC" w:rsidP="000851FC">
      <w:pPr>
        <w:pStyle w:val="Heading1Numbered"/>
        <w:numPr>
          <w:ilvl w:val="0"/>
          <w:numId w:val="0"/>
        </w:numPr>
        <w:ind w:left="1134"/>
        <w:outlineLvl w:val="9"/>
      </w:pPr>
    </w:p>
    <w:p w14:paraId="6E89A4B1" w14:textId="77777777" w:rsidR="000851FC" w:rsidRDefault="000851FC" w:rsidP="000851FC">
      <w:pPr>
        <w:pStyle w:val="Heading1Numbered"/>
        <w:numPr>
          <w:ilvl w:val="0"/>
          <w:numId w:val="0"/>
        </w:numPr>
        <w:ind w:left="1134"/>
        <w:outlineLvl w:val="9"/>
      </w:pPr>
    </w:p>
    <w:p w14:paraId="17F63619" w14:textId="77777777" w:rsidR="000851FC" w:rsidRDefault="000851FC" w:rsidP="000851FC">
      <w:pPr>
        <w:pStyle w:val="Heading1Numbered"/>
        <w:numPr>
          <w:ilvl w:val="0"/>
          <w:numId w:val="0"/>
        </w:numPr>
        <w:ind w:left="1134"/>
        <w:outlineLvl w:val="9"/>
      </w:pPr>
    </w:p>
    <w:p w14:paraId="450483C8" w14:textId="77777777" w:rsidR="000851FC" w:rsidRDefault="000851FC" w:rsidP="000851FC">
      <w:pPr>
        <w:pStyle w:val="Heading1Numbered"/>
        <w:numPr>
          <w:ilvl w:val="0"/>
          <w:numId w:val="0"/>
        </w:numPr>
        <w:ind w:left="1134"/>
        <w:outlineLvl w:val="9"/>
      </w:pPr>
    </w:p>
    <w:p w14:paraId="7C3EE6AC" w14:textId="77777777" w:rsidR="000851FC" w:rsidRDefault="000851FC" w:rsidP="000851FC">
      <w:pPr>
        <w:pStyle w:val="Heading1Numbered"/>
        <w:numPr>
          <w:ilvl w:val="0"/>
          <w:numId w:val="0"/>
        </w:numPr>
        <w:ind w:left="1134"/>
        <w:outlineLvl w:val="9"/>
      </w:pPr>
    </w:p>
    <w:p w14:paraId="4FB090C8" w14:textId="77777777" w:rsidR="000851FC" w:rsidRPr="000851FC" w:rsidRDefault="000851FC" w:rsidP="000851FC"/>
    <w:p w14:paraId="0A012256" w14:textId="51CE8E88" w:rsidR="009A0ED4" w:rsidRDefault="009A0ED4" w:rsidP="00D558F5">
      <w:pPr>
        <w:pStyle w:val="Heading1Numbered"/>
      </w:pPr>
      <w:r w:rsidRPr="00D558F5">
        <w:lastRenderedPageBreak/>
        <w:t>Introduction</w:t>
      </w:r>
      <w:bookmarkEnd w:id="6"/>
    </w:p>
    <w:p w14:paraId="5EA0667E" w14:textId="28C46A9C" w:rsidR="00B935D9" w:rsidRDefault="00B935D9" w:rsidP="002F387E">
      <w:pPr>
        <w:pStyle w:val="Text"/>
        <w:rPr>
          <w:lang w:val="en-US"/>
        </w:rPr>
      </w:pPr>
      <w:r>
        <w:rPr>
          <w:lang w:val="en-US"/>
        </w:rPr>
        <w:t xml:space="preserve">The intention of this policy </w:t>
      </w:r>
      <w:r w:rsidR="00A70245">
        <w:rPr>
          <w:lang w:val="en-US"/>
        </w:rPr>
        <w:t xml:space="preserve">and associated procedures </w:t>
      </w:r>
      <w:r>
        <w:rPr>
          <w:lang w:val="en-US"/>
        </w:rPr>
        <w:t xml:space="preserve">is to make sure all people supported in MHA’s services, and those lawfully acting on their behalf, have given consent before any care or treatment is provided.  </w:t>
      </w:r>
      <w:r w:rsidR="00A70245">
        <w:rPr>
          <w:lang w:val="en-US"/>
        </w:rPr>
        <w:t xml:space="preserve">As a care provider </w:t>
      </w:r>
      <w:r>
        <w:rPr>
          <w:lang w:val="en-US"/>
        </w:rPr>
        <w:t xml:space="preserve">MHA must make sure </w:t>
      </w:r>
      <w:r w:rsidR="00A70245">
        <w:rPr>
          <w:lang w:val="en-US"/>
        </w:rPr>
        <w:t>that</w:t>
      </w:r>
      <w:r>
        <w:rPr>
          <w:lang w:val="en-US"/>
        </w:rPr>
        <w:t xml:space="preserve"> consent </w:t>
      </w:r>
      <w:r w:rsidR="00A70245">
        <w:rPr>
          <w:lang w:val="en-US"/>
        </w:rPr>
        <w:t xml:space="preserve">is obtained </w:t>
      </w:r>
      <w:r>
        <w:rPr>
          <w:lang w:val="en-US"/>
        </w:rPr>
        <w:t xml:space="preserve">lawfully and that the person who obtains the consent </w:t>
      </w:r>
      <w:r w:rsidR="00A70245">
        <w:rPr>
          <w:lang w:val="en-US"/>
        </w:rPr>
        <w:t>has the necessary knowledge and understanding of the care and treatment that they are asking consent for.</w:t>
      </w:r>
    </w:p>
    <w:p w14:paraId="3A7FB623" w14:textId="69840359" w:rsidR="002F387E" w:rsidRDefault="002F387E" w:rsidP="002F387E">
      <w:pPr>
        <w:pStyle w:val="Text"/>
        <w:rPr>
          <w:lang w:val="en-US"/>
        </w:rPr>
      </w:pPr>
      <w:r w:rsidRPr="00D705E7">
        <w:rPr>
          <w:lang w:val="en-US"/>
        </w:rPr>
        <w:t xml:space="preserve">MHA </w:t>
      </w:r>
      <w:r>
        <w:rPr>
          <w:lang w:val="en-US"/>
        </w:rPr>
        <w:t>colleagues</w:t>
      </w:r>
      <w:r w:rsidRPr="00D705E7">
        <w:rPr>
          <w:lang w:val="en-US"/>
        </w:rPr>
        <w:t xml:space="preserve"> will work with people </w:t>
      </w:r>
      <w:r w:rsidR="00A70245">
        <w:rPr>
          <w:lang w:val="en-US"/>
        </w:rPr>
        <w:t>supported in our</w:t>
      </w:r>
      <w:r w:rsidRPr="00D705E7">
        <w:rPr>
          <w:lang w:val="en-US"/>
        </w:rPr>
        <w:t xml:space="preserve"> services to make sure that they have the opportunity to make informed decisions about</w:t>
      </w:r>
      <w:r w:rsidR="00A70245">
        <w:rPr>
          <w:lang w:val="en-US"/>
        </w:rPr>
        <w:t xml:space="preserve">, </w:t>
      </w:r>
      <w:r w:rsidRPr="00D705E7">
        <w:rPr>
          <w:lang w:val="en-US"/>
        </w:rPr>
        <w:t xml:space="preserve">choose </w:t>
      </w:r>
      <w:r w:rsidR="00A70245">
        <w:rPr>
          <w:lang w:val="en-US"/>
        </w:rPr>
        <w:t xml:space="preserve">and </w:t>
      </w:r>
      <w:r w:rsidRPr="00D705E7">
        <w:rPr>
          <w:lang w:val="en-US"/>
        </w:rPr>
        <w:t>consent to their care</w:t>
      </w:r>
      <w:r>
        <w:rPr>
          <w:lang w:val="en-US"/>
        </w:rPr>
        <w:t>, support</w:t>
      </w:r>
      <w:r w:rsidR="00A70245">
        <w:rPr>
          <w:lang w:val="en-US"/>
        </w:rPr>
        <w:t>,</w:t>
      </w:r>
      <w:r w:rsidRPr="00D705E7">
        <w:rPr>
          <w:lang w:val="en-US"/>
        </w:rPr>
        <w:t xml:space="preserve"> and treatment</w:t>
      </w:r>
      <w:r w:rsidR="00A70245">
        <w:rPr>
          <w:lang w:val="en-US"/>
        </w:rPr>
        <w:t xml:space="preserve"> within the legal frameworks.</w:t>
      </w:r>
    </w:p>
    <w:p w14:paraId="43231F0E" w14:textId="54E0BCC6" w:rsidR="002F387E" w:rsidRPr="002F387E" w:rsidRDefault="00D8768A" w:rsidP="00707E23">
      <w:pPr>
        <w:pStyle w:val="Text"/>
      </w:pPr>
      <w:r w:rsidRPr="00CB1696">
        <w:t xml:space="preserve">Note: </w:t>
      </w:r>
      <w:r>
        <w:t xml:space="preserve">Retirement Living </w:t>
      </w:r>
      <w:r w:rsidRPr="00CB1696">
        <w:t xml:space="preserve">colleagues must professionally assess the application of this policy and use </w:t>
      </w:r>
      <w:r>
        <w:t xml:space="preserve">the relevant </w:t>
      </w:r>
      <w:r w:rsidRPr="00CB1696">
        <w:t>consent form</w:t>
      </w:r>
      <w:r>
        <w:t xml:space="preserve"> </w:t>
      </w:r>
      <w:r w:rsidRPr="00D8768A">
        <w:t>[CP002b].</w:t>
      </w:r>
    </w:p>
    <w:p w14:paraId="335F7C89" w14:textId="767417D6" w:rsidR="00B148E6" w:rsidRDefault="009A0ED4" w:rsidP="007E5B94">
      <w:pPr>
        <w:pStyle w:val="Heading1Numbered"/>
      </w:pPr>
      <w:bookmarkStart w:id="7" w:name="_Toc139959739"/>
      <w:r w:rsidRPr="00EF3699">
        <w:t xml:space="preserve">Scope </w:t>
      </w:r>
      <w:r w:rsidR="001310BB" w:rsidRPr="00EF3699">
        <w:t>and</w:t>
      </w:r>
      <w:r w:rsidRPr="00EF3699">
        <w:t xml:space="preserve"> </w:t>
      </w:r>
      <w:r w:rsidRPr="00D558F5">
        <w:t>Purpose</w:t>
      </w:r>
      <w:bookmarkEnd w:id="7"/>
    </w:p>
    <w:p w14:paraId="67B2F9AE" w14:textId="5AB4E668" w:rsidR="00A70245" w:rsidRDefault="00A70245" w:rsidP="007E5B94">
      <w:pPr>
        <w:pStyle w:val="Text1Numbered"/>
        <w:ind w:left="851"/>
        <w:outlineLvl w:val="1"/>
      </w:pPr>
      <w:r>
        <w:t>The purpose of this policy is to set out the standards and procedures to be applied within all MHA’s services to enable colleagues to remain compliant with legal requirements, good practice guidance and regulatory conditions</w:t>
      </w:r>
      <w:r w:rsidR="00BB0BCE">
        <w:t xml:space="preserve"> regarding the need for </w:t>
      </w:r>
      <w:r w:rsidR="009C5D5F">
        <w:t xml:space="preserve">lawful </w:t>
      </w:r>
      <w:r w:rsidR="00BB0BCE">
        <w:t xml:space="preserve">consent. </w:t>
      </w:r>
    </w:p>
    <w:p w14:paraId="32201389" w14:textId="77777777" w:rsidR="00A70245" w:rsidRPr="00162D3F" w:rsidRDefault="00A70245" w:rsidP="00A70245">
      <w:pPr>
        <w:pStyle w:val="Text1Numbered"/>
        <w:numPr>
          <w:ilvl w:val="0"/>
          <w:numId w:val="0"/>
        </w:numPr>
        <w:ind w:left="567"/>
        <w:rPr>
          <w:sz w:val="12"/>
          <w:szCs w:val="12"/>
        </w:rPr>
      </w:pPr>
    </w:p>
    <w:p w14:paraId="3E914A73" w14:textId="41D1FD10" w:rsidR="00A70245" w:rsidRPr="0040330F" w:rsidRDefault="00A70245" w:rsidP="007E5B94">
      <w:pPr>
        <w:pStyle w:val="Text1Numbered"/>
        <w:ind w:left="851"/>
        <w:outlineLvl w:val="1"/>
      </w:pPr>
      <w:r>
        <w:t xml:space="preserve">This policy applies to all MHA colleagues, permanent or temporary, who are involved in providing care and treatment.  For further information regarding responsibility and accountability refer to </w:t>
      </w:r>
      <w:r w:rsidRPr="00162D3F">
        <w:t>section 6</w:t>
      </w:r>
      <w:r w:rsidR="0040330F">
        <w:t xml:space="preserve"> Standards Operating Procedures and section 7 Roles and Responsibilities </w:t>
      </w:r>
    </w:p>
    <w:p w14:paraId="383F89FD" w14:textId="77777777" w:rsidR="00A70245" w:rsidRPr="00162D3F" w:rsidRDefault="00A70245" w:rsidP="00A70245">
      <w:pPr>
        <w:pStyle w:val="Text1Numbered"/>
        <w:numPr>
          <w:ilvl w:val="0"/>
          <w:numId w:val="0"/>
        </w:numPr>
        <w:ind w:left="567"/>
        <w:rPr>
          <w:sz w:val="12"/>
          <w:szCs w:val="12"/>
        </w:rPr>
      </w:pPr>
    </w:p>
    <w:p w14:paraId="6D62AA24" w14:textId="09D39E40" w:rsidR="00BB0BCE" w:rsidRDefault="00BB0BCE" w:rsidP="007E5B94">
      <w:pPr>
        <w:pStyle w:val="Text1Numbered"/>
        <w:ind w:left="851"/>
        <w:outlineLvl w:val="1"/>
      </w:pPr>
      <w:r>
        <w:t xml:space="preserve">The Care Quality Commission (CQC) include consent as part of their regulatory monitoring process within the Health and Social Care Act 2008 (Regulated Activities) Regulations 2014: Regulation 11 ‘Need for Consent’.  </w:t>
      </w:r>
    </w:p>
    <w:p w14:paraId="186C05D4" w14:textId="77777777" w:rsidR="00BB0BCE" w:rsidRPr="00162D3F" w:rsidRDefault="00BB0BCE" w:rsidP="0017380B">
      <w:pPr>
        <w:pStyle w:val="Text1Numbered"/>
        <w:numPr>
          <w:ilvl w:val="0"/>
          <w:numId w:val="0"/>
        </w:numPr>
        <w:ind w:left="567"/>
        <w:rPr>
          <w:sz w:val="12"/>
          <w:szCs w:val="12"/>
        </w:rPr>
      </w:pPr>
    </w:p>
    <w:p w14:paraId="6A7A4C1F" w14:textId="3F5A9BE6" w:rsidR="00A70245" w:rsidRPr="00A70245" w:rsidRDefault="00577484" w:rsidP="00162D3F">
      <w:pPr>
        <w:pStyle w:val="Text1Numbered"/>
        <w:ind w:left="851"/>
      </w:pPr>
      <w:r>
        <w:t>Statutory guidance for Wales relates to Parts 3 to 20 of The Regulated Services (Service Providers and Responsible Individuals) (Wales) Regulations 2017 which providers and responsible individuals must adhere to.  Care Inspectorate Wales</w:t>
      </w:r>
      <w:r w:rsidR="00CF0899">
        <w:t xml:space="preserve"> </w:t>
      </w:r>
      <w:r w:rsidR="00CF0899">
        <w:lastRenderedPageBreak/>
        <w:t>(CIW)</w:t>
      </w:r>
      <w:r>
        <w:t xml:space="preserve">, as the service regulator, will monitor </w:t>
      </w:r>
      <w:r w:rsidR="009C5D5F">
        <w:t xml:space="preserve">where </w:t>
      </w:r>
      <w:r>
        <w:t xml:space="preserve">service providers and responsible individuals </w:t>
      </w:r>
      <w:r w:rsidR="009C5D5F">
        <w:t>comply and adhere to the legal requirements.</w:t>
      </w:r>
    </w:p>
    <w:p w14:paraId="5194659D" w14:textId="37FF6031" w:rsidR="00A92CD7" w:rsidRPr="004C3545" w:rsidRDefault="009A0ED4" w:rsidP="002D47FD">
      <w:pPr>
        <w:pStyle w:val="Heading1Numbered"/>
      </w:pPr>
      <w:bookmarkStart w:id="8" w:name="_Toc139959740"/>
      <w:r w:rsidRPr="00EF3699">
        <w:t>Definitions</w:t>
      </w:r>
      <w:bookmarkEnd w:id="8"/>
      <w:r w:rsidRPr="00EF3699">
        <w:t xml:space="preserve"> </w:t>
      </w:r>
    </w:p>
    <w:tbl>
      <w:tblPr>
        <w:tblStyle w:val="MHATable"/>
        <w:tblW w:w="9634" w:type="dxa"/>
        <w:tblLook w:val="0620" w:firstRow="1" w:lastRow="0" w:firstColumn="0" w:lastColumn="0" w:noHBand="1" w:noVBand="1"/>
      </w:tblPr>
      <w:tblGrid>
        <w:gridCol w:w="1555"/>
        <w:gridCol w:w="8079"/>
      </w:tblGrid>
      <w:tr w:rsidR="009050C4" w:rsidRPr="009050C4" w14:paraId="23E76C2C" w14:textId="77777777" w:rsidTr="007E5B94">
        <w:trPr>
          <w:cnfStyle w:val="100000000000" w:firstRow="1" w:lastRow="0" w:firstColumn="0" w:lastColumn="0" w:oddVBand="0" w:evenVBand="0" w:oddHBand="0" w:evenHBand="0" w:firstRowFirstColumn="0" w:firstRowLastColumn="0" w:lastRowFirstColumn="0" w:lastRowLastColumn="0"/>
          <w:tblHeader/>
        </w:trPr>
        <w:tc>
          <w:tcPr>
            <w:tcW w:w="1555" w:type="dxa"/>
          </w:tcPr>
          <w:p w14:paraId="1A6F799B" w14:textId="71E4CA16" w:rsidR="009A0ED4" w:rsidRPr="009050C4" w:rsidRDefault="009A0ED4" w:rsidP="002D47FD">
            <w:pPr>
              <w:rPr>
                <w:b w:val="0"/>
              </w:rPr>
            </w:pPr>
            <w:r w:rsidRPr="009050C4">
              <w:t>Term</w:t>
            </w:r>
          </w:p>
        </w:tc>
        <w:tc>
          <w:tcPr>
            <w:tcW w:w="8079" w:type="dxa"/>
          </w:tcPr>
          <w:p w14:paraId="4198F478" w14:textId="7B9ABD84" w:rsidR="009A0ED4" w:rsidRPr="009050C4" w:rsidRDefault="009A0ED4" w:rsidP="002D47FD">
            <w:pPr>
              <w:rPr>
                <w:b w:val="0"/>
              </w:rPr>
            </w:pPr>
            <w:r w:rsidRPr="009050C4">
              <w:t>Definition</w:t>
            </w:r>
          </w:p>
        </w:tc>
      </w:tr>
      <w:tr w:rsidR="009A0ED4" w:rsidRPr="004C3545" w14:paraId="634ADEE1" w14:textId="77777777" w:rsidTr="007E5B94">
        <w:tc>
          <w:tcPr>
            <w:tcW w:w="1555" w:type="dxa"/>
          </w:tcPr>
          <w:p w14:paraId="002D9FE4" w14:textId="39A1A4E0" w:rsidR="009A0ED4" w:rsidRPr="004C3545" w:rsidRDefault="009C5D5F" w:rsidP="007E5B94">
            <w:pPr>
              <w:spacing w:line="276" w:lineRule="auto"/>
            </w:pPr>
            <w:r>
              <w:t xml:space="preserve">Consent </w:t>
            </w:r>
          </w:p>
        </w:tc>
        <w:tc>
          <w:tcPr>
            <w:tcW w:w="8079" w:type="dxa"/>
          </w:tcPr>
          <w:p w14:paraId="715BA160" w14:textId="4E7F17E3" w:rsidR="009C5D5F" w:rsidRPr="004C3545" w:rsidRDefault="009C5D5F" w:rsidP="007E5B94">
            <w:pPr>
              <w:spacing w:line="276" w:lineRule="auto"/>
            </w:pPr>
            <w:r>
              <w:t xml:space="preserve">A persons’ agreement to, or permission for, a proposed action. Particularly any form of examination, care, treatment, or support </w:t>
            </w:r>
          </w:p>
        </w:tc>
      </w:tr>
      <w:tr w:rsidR="009C5D5F" w:rsidRPr="004C3545" w14:paraId="1B43C6EF" w14:textId="77777777" w:rsidTr="007E5B94">
        <w:tc>
          <w:tcPr>
            <w:tcW w:w="1555" w:type="dxa"/>
          </w:tcPr>
          <w:p w14:paraId="1D1F86B9" w14:textId="50550B97" w:rsidR="009C5D5F" w:rsidRDefault="009C5D5F" w:rsidP="002D47FD">
            <w:r>
              <w:t xml:space="preserve">Implied Consent </w:t>
            </w:r>
          </w:p>
        </w:tc>
        <w:tc>
          <w:tcPr>
            <w:tcW w:w="8079" w:type="dxa"/>
          </w:tcPr>
          <w:p w14:paraId="731E5EF2" w14:textId="77777777" w:rsidR="009C5D5F" w:rsidRDefault="009C5D5F" w:rsidP="009C5D5F">
            <w:pPr>
              <w:pStyle w:val="Text"/>
            </w:pPr>
            <w:r>
              <w:t>A form of consent that is not expressly granted by a person, but rather inferred from a person's actions and the facts and circumstances of a particular situation (or in some cases, by a person's silence or inaction). The assumed agreement is that the person would approve a course of action if asked in a given situation but is not presently able to be asked.</w:t>
            </w:r>
          </w:p>
          <w:p w14:paraId="5D803A27" w14:textId="3050E9C7" w:rsidR="00CF0899" w:rsidRDefault="00CF0899" w:rsidP="009C5D5F">
            <w:pPr>
              <w:pStyle w:val="Text"/>
            </w:pPr>
            <w:r>
              <w:t>For example – non verbally, a person may offer their arm for a pulse to be taken</w:t>
            </w:r>
          </w:p>
        </w:tc>
      </w:tr>
      <w:tr w:rsidR="00CF0899" w:rsidRPr="004C3545" w14:paraId="6FB432B8" w14:textId="77777777" w:rsidTr="007E5B94">
        <w:tc>
          <w:tcPr>
            <w:tcW w:w="1555" w:type="dxa"/>
          </w:tcPr>
          <w:p w14:paraId="666B57C9" w14:textId="1B0C3B8E" w:rsidR="00CF0899" w:rsidRDefault="00CF0899" w:rsidP="007E5B94">
            <w:pPr>
              <w:spacing w:line="276" w:lineRule="auto"/>
            </w:pPr>
            <w:r>
              <w:t xml:space="preserve">Informed Consent </w:t>
            </w:r>
          </w:p>
        </w:tc>
        <w:tc>
          <w:tcPr>
            <w:tcW w:w="8079" w:type="dxa"/>
          </w:tcPr>
          <w:p w14:paraId="3F13A52B" w14:textId="53038475" w:rsidR="00CF0899" w:rsidRPr="00CF0899" w:rsidRDefault="00CF0899" w:rsidP="007E5B94">
            <w:pPr>
              <w:pStyle w:val="Text"/>
              <w:spacing w:line="276" w:lineRule="auto"/>
            </w:pPr>
            <w:r>
              <w:t>T</w:t>
            </w:r>
            <w:r w:rsidRPr="00CF0899">
              <w:t xml:space="preserve">he person must be given </w:t>
            </w:r>
            <w:r w:rsidR="007E5B94" w:rsidRPr="00CF0899">
              <w:t>all</w:t>
            </w:r>
            <w:r w:rsidRPr="00CF0899">
              <w:t xml:space="preserve"> the information about what the treatment involves, including the benefits and risks, whether there are reasonable alternative</w:t>
            </w:r>
            <w:r>
              <w:t>s</w:t>
            </w:r>
            <w:r w:rsidRPr="00CF0899">
              <w:t xml:space="preserve">, and what will happen if treatment </w:t>
            </w:r>
            <w:r>
              <w:t xml:space="preserve">or care </w:t>
            </w:r>
            <w:r w:rsidRPr="00CF0899">
              <w:t>does not go ahead.</w:t>
            </w:r>
          </w:p>
        </w:tc>
      </w:tr>
      <w:tr w:rsidR="00CF0899" w:rsidRPr="004C3545" w14:paraId="740B7A66" w14:textId="77777777" w:rsidTr="007E5B94">
        <w:tc>
          <w:tcPr>
            <w:tcW w:w="1555" w:type="dxa"/>
          </w:tcPr>
          <w:p w14:paraId="52161578" w14:textId="0142D3CF" w:rsidR="00CF0899" w:rsidRDefault="00CF0899" w:rsidP="007E5B94">
            <w:pPr>
              <w:spacing w:line="276" w:lineRule="auto"/>
            </w:pPr>
            <w:r>
              <w:t xml:space="preserve">Valid Consent </w:t>
            </w:r>
          </w:p>
        </w:tc>
        <w:tc>
          <w:tcPr>
            <w:tcW w:w="8079" w:type="dxa"/>
          </w:tcPr>
          <w:p w14:paraId="34427190" w14:textId="7864642A" w:rsidR="00CF0899" w:rsidRDefault="00CF0899" w:rsidP="007E5B94">
            <w:pPr>
              <w:pStyle w:val="Text"/>
              <w:spacing w:line="276" w:lineRule="auto"/>
            </w:pPr>
            <w:r>
              <w:t>Must be voluntary and informed, the person consenting must have capacity to make the decision</w:t>
            </w:r>
          </w:p>
        </w:tc>
      </w:tr>
      <w:tr w:rsidR="00CF0899" w:rsidRPr="004C3545" w14:paraId="41CC9A66" w14:textId="77777777" w:rsidTr="007E5B94">
        <w:tc>
          <w:tcPr>
            <w:tcW w:w="1555" w:type="dxa"/>
          </w:tcPr>
          <w:p w14:paraId="68DFB997" w14:textId="77777777" w:rsidR="00CF0899" w:rsidRPr="004C3545" w:rsidRDefault="00CF0899" w:rsidP="007E5B94">
            <w:pPr>
              <w:spacing w:line="276" w:lineRule="auto"/>
            </w:pPr>
            <w:r>
              <w:t xml:space="preserve">Capacity </w:t>
            </w:r>
          </w:p>
        </w:tc>
        <w:tc>
          <w:tcPr>
            <w:tcW w:w="8079" w:type="dxa"/>
          </w:tcPr>
          <w:p w14:paraId="69DFD010" w14:textId="3DE87179" w:rsidR="00CF0899" w:rsidRDefault="00CF0899" w:rsidP="007E5B94">
            <w:pPr>
              <w:spacing w:line="276" w:lineRule="auto"/>
            </w:pPr>
            <w:r>
              <w:t xml:space="preserve">The ability by someone to make a specific decision for themselves </w:t>
            </w:r>
            <w:r w:rsidR="007E5B94">
              <w:t>in each</w:t>
            </w:r>
            <w:r>
              <w:t xml:space="preserve"> situation.</w:t>
            </w:r>
          </w:p>
          <w:p w14:paraId="4A3DD978" w14:textId="264FFA0D" w:rsidR="00CF0899" w:rsidRPr="004C3545" w:rsidRDefault="00CF0899" w:rsidP="007E5B94">
            <w:pPr>
              <w:spacing w:line="276" w:lineRule="auto"/>
            </w:pPr>
            <w:r>
              <w:t xml:space="preserve">It is assumed that anyone aged 16 or over has capacity unless proven otherwise </w:t>
            </w:r>
          </w:p>
        </w:tc>
      </w:tr>
      <w:tr w:rsidR="009C5D5F" w:rsidRPr="004C3545" w14:paraId="44E98116" w14:textId="77777777" w:rsidTr="007E5B94">
        <w:tc>
          <w:tcPr>
            <w:tcW w:w="1555" w:type="dxa"/>
          </w:tcPr>
          <w:p w14:paraId="284B5A17" w14:textId="5BDB9DFD" w:rsidR="009C5D5F" w:rsidRDefault="009C5D5F" w:rsidP="007E5B94">
            <w:pPr>
              <w:spacing w:line="276" w:lineRule="auto"/>
            </w:pPr>
            <w:r>
              <w:t xml:space="preserve">Lawfully Acting on an Individual’s Behalf </w:t>
            </w:r>
          </w:p>
        </w:tc>
        <w:tc>
          <w:tcPr>
            <w:tcW w:w="8079" w:type="dxa"/>
          </w:tcPr>
          <w:p w14:paraId="6DCBF7AC" w14:textId="4CB6D55D" w:rsidR="007E5B94" w:rsidRPr="009C5D5F" w:rsidRDefault="009C5D5F" w:rsidP="007E5B94">
            <w:pPr>
              <w:pStyle w:val="Text"/>
              <w:spacing w:line="276" w:lineRule="auto"/>
            </w:pPr>
            <w:r w:rsidRPr="009C5D5F">
              <w:t xml:space="preserve">This refers to authority given under the Mental Capacity Act 2005, such as a valid and applicable advance decision to refuse treatment, Lasting Powers of Attorney for health and welfare containing relevant clauses, Court-Appointed Deputyship including relevant decision-making powers, a decision of a Court, the Mental Health Act 1983, or a best interest assessment in accordance with the Mental Capacity Act 2005. </w:t>
            </w:r>
          </w:p>
        </w:tc>
      </w:tr>
      <w:tr w:rsidR="00CF0899" w:rsidRPr="004C3545" w14:paraId="2FDD650D" w14:textId="77777777" w:rsidTr="007E5B94">
        <w:tc>
          <w:tcPr>
            <w:tcW w:w="1555" w:type="dxa"/>
          </w:tcPr>
          <w:p w14:paraId="6667F16B" w14:textId="77777777" w:rsidR="00CF0899" w:rsidRDefault="00790142" w:rsidP="00790142">
            <w:pPr>
              <w:spacing w:line="276" w:lineRule="auto"/>
            </w:pPr>
            <w:r>
              <w:lastRenderedPageBreak/>
              <w:t xml:space="preserve">Nominated Individual </w:t>
            </w:r>
          </w:p>
          <w:p w14:paraId="01918063" w14:textId="5C506CE5" w:rsidR="00B409EC" w:rsidRDefault="00B409EC" w:rsidP="00790142">
            <w:pPr>
              <w:spacing w:line="276" w:lineRule="auto"/>
            </w:pPr>
            <w:r>
              <w:t>(Consent)</w:t>
            </w:r>
          </w:p>
        </w:tc>
        <w:tc>
          <w:tcPr>
            <w:tcW w:w="8079" w:type="dxa"/>
          </w:tcPr>
          <w:p w14:paraId="6FBA88AB" w14:textId="486A6296" w:rsidR="00B409EC" w:rsidRDefault="00790142" w:rsidP="00790142">
            <w:pPr>
              <w:pStyle w:val="Text"/>
              <w:spacing w:after="0" w:line="276" w:lineRule="auto"/>
              <w:rPr>
                <w:lang w:eastAsia="en-GB"/>
              </w:rPr>
            </w:pPr>
            <w:r>
              <w:rPr>
                <w:lang w:eastAsia="en-GB"/>
              </w:rPr>
              <w:t>This is usually a person identified by an individual, could be their next of kin or a significant other</w:t>
            </w:r>
            <w:r w:rsidR="00B409EC">
              <w:rPr>
                <w:lang w:eastAsia="en-GB"/>
              </w:rPr>
              <w:t xml:space="preserve"> [CP002c]</w:t>
            </w:r>
          </w:p>
          <w:p w14:paraId="45F70090" w14:textId="542C981A" w:rsidR="00790142" w:rsidRDefault="00790142" w:rsidP="00790142">
            <w:pPr>
              <w:pStyle w:val="Text"/>
              <w:spacing w:after="0" w:line="276" w:lineRule="auto"/>
              <w:rPr>
                <w:lang w:eastAsia="en-GB"/>
              </w:rPr>
            </w:pPr>
          </w:p>
        </w:tc>
      </w:tr>
      <w:tr w:rsidR="00790142" w:rsidRPr="004C3545" w14:paraId="63FDCE89" w14:textId="77777777" w:rsidTr="007E5B94">
        <w:tc>
          <w:tcPr>
            <w:tcW w:w="1555" w:type="dxa"/>
          </w:tcPr>
          <w:p w14:paraId="7F5C22FB" w14:textId="4C926F47" w:rsidR="00790142" w:rsidRDefault="00790142" w:rsidP="00790142">
            <w:pPr>
              <w:spacing w:line="276" w:lineRule="auto"/>
            </w:pPr>
            <w:r>
              <w:t xml:space="preserve">Treatment </w:t>
            </w:r>
          </w:p>
        </w:tc>
        <w:tc>
          <w:tcPr>
            <w:tcW w:w="8079" w:type="dxa"/>
          </w:tcPr>
          <w:p w14:paraId="28C3D73A" w14:textId="77777777" w:rsidR="00790142" w:rsidRPr="00CF0899" w:rsidRDefault="00790142" w:rsidP="00790142">
            <w:pPr>
              <w:pStyle w:val="Text"/>
              <w:spacing w:before="0" w:line="240" w:lineRule="auto"/>
              <w:rPr>
                <w:lang w:eastAsia="en-GB"/>
              </w:rPr>
            </w:pPr>
            <w:r w:rsidRPr="00CF0899">
              <w:rPr>
                <w:lang w:eastAsia="en-GB"/>
              </w:rPr>
              <w:t>In Regulation 2(2) of The Health and Social Care Act 2008 (Regulated Activities) Regulations 2014, treatment includes:</w:t>
            </w:r>
          </w:p>
          <w:p w14:paraId="7C249D24" w14:textId="77777777" w:rsidR="00790142" w:rsidRPr="00CF0899" w:rsidRDefault="00790142" w:rsidP="00790142">
            <w:pPr>
              <w:pStyle w:val="Text"/>
              <w:numPr>
                <w:ilvl w:val="0"/>
                <w:numId w:val="26"/>
              </w:numPr>
              <w:spacing w:before="0" w:after="0" w:line="240" w:lineRule="auto"/>
              <w:rPr>
                <w:lang w:eastAsia="en-GB"/>
              </w:rPr>
            </w:pPr>
            <w:r w:rsidRPr="00CF0899">
              <w:rPr>
                <w:lang w:eastAsia="en-GB"/>
              </w:rPr>
              <w:t>A diagnostic or screening procedure carried out for medical purposes</w:t>
            </w:r>
          </w:p>
          <w:p w14:paraId="23AD5C73" w14:textId="77777777" w:rsidR="00790142" w:rsidRPr="00CF0899" w:rsidRDefault="00790142" w:rsidP="00790142">
            <w:pPr>
              <w:pStyle w:val="Text"/>
              <w:numPr>
                <w:ilvl w:val="0"/>
                <w:numId w:val="26"/>
              </w:numPr>
              <w:spacing w:before="0" w:after="0" w:line="276" w:lineRule="auto"/>
              <w:rPr>
                <w:lang w:eastAsia="en-GB"/>
              </w:rPr>
            </w:pPr>
            <w:r w:rsidRPr="00CF0899">
              <w:rPr>
                <w:lang w:eastAsia="en-GB"/>
              </w:rPr>
              <w:t>The ongoing assessment of a person's mental or physical state</w:t>
            </w:r>
          </w:p>
          <w:p w14:paraId="4CC070AF" w14:textId="77777777" w:rsidR="00790142" w:rsidRPr="00CF0899" w:rsidRDefault="00790142" w:rsidP="00790142">
            <w:pPr>
              <w:pStyle w:val="Text"/>
              <w:numPr>
                <w:ilvl w:val="0"/>
                <w:numId w:val="26"/>
              </w:numPr>
              <w:spacing w:before="0" w:after="0" w:line="276" w:lineRule="auto"/>
              <w:rPr>
                <w:lang w:eastAsia="en-GB"/>
              </w:rPr>
            </w:pPr>
            <w:r w:rsidRPr="00CF0899">
              <w:rPr>
                <w:lang w:eastAsia="en-GB"/>
              </w:rPr>
              <w:t>Nursing, personal, and palliative care, and</w:t>
            </w:r>
          </w:p>
          <w:p w14:paraId="0CB70314" w14:textId="0DAFB94D" w:rsidR="00790142" w:rsidRPr="00CF0899" w:rsidRDefault="00790142" w:rsidP="00790142">
            <w:pPr>
              <w:pStyle w:val="Text"/>
              <w:numPr>
                <w:ilvl w:val="0"/>
                <w:numId w:val="26"/>
              </w:numPr>
              <w:spacing w:line="240" w:lineRule="auto"/>
              <w:rPr>
                <w:lang w:eastAsia="en-GB"/>
              </w:rPr>
            </w:pPr>
            <w:r w:rsidRPr="00CF0899">
              <w:rPr>
                <w:lang w:eastAsia="en-GB"/>
              </w:rPr>
              <w:t>Giving vaccinations and immunisations.</w:t>
            </w:r>
          </w:p>
        </w:tc>
      </w:tr>
      <w:tr w:rsidR="00CF0899" w:rsidRPr="004C3545" w14:paraId="0BDE2CB9" w14:textId="77777777" w:rsidTr="007E5B94">
        <w:tc>
          <w:tcPr>
            <w:tcW w:w="1555" w:type="dxa"/>
          </w:tcPr>
          <w:p w14:paraId="7B9EFC21" w14:textId="77777777" w:rsidR="00CF0899" w:rsidRDefault="00CF0899" w:rsidP="007E5B94">
            <w:pPr>
              <w:spacing w:line="276" w:lineRule="auto"/>
            </w:pPr>
            <w:r>
              <w:t xml:space="preserve">Human Rights </w:t>
            </w:r>
          </w:p>
        </w:tc>
        <w:tc>
          <w:tcPr>
            <w:tcW w:w="8079" w:type="dxa"/>
          </w:tcPr>
          <w:p w14:paraId="08B22FC1" w14:textId="77777777" w:rsidR="00CF0899" w:rsidRDefault="00CF0899" w:rsidP="007E5B94">
            <w:pPr>
              <w:pStyle w:val="Text"/>
              <w:spacing w:line="276" w:lineRule="auto"/>
            </w:pPr>
            <w:r>
              <w:t xml:space="preserve">The basic rights and freedoms contained in the European Convention on Human Rights. </w:t>
            </w:r>
          </w:p>
          <w:p w14:paraId="1D3B6D56" w14:textId="52DCCA38" w:rsidR="00CF0899" w:rsidRDefault="00CF0899" w:rsidP="007E5B94">
            <w:pPr>
              <w:pStyle w:val="Text"/>
              <w:spacing w:line="276" w:lineRule="auto"/>
            </w:pPr>
            <w:r>
              <w:t>The Human Rights Act</w:t>
            </w:r>
            <w:r w:rsidR="0040330F">
              <w:t xml:space="preserve"> </w:t>
            </w:r>
            <w:r w:rsidR="00475DB6">
              <w:t>1998</w:t>
            </w:r>
            <w:r>
              <w:t xml:space="preserve"> means that most of the convention rights are available to everyone in the United Kingdom, regardless of their age, nationality, race, ethnicity, gender or religion and beliefs. It is an offence for a public body to breach any person's human rights, and under the Health and Social Care Act 2008, 'public body' includes any provider that supplies accommodation together with nursing or personal care on behalf of a local authority.</w:t>
            </w:r>
          </w:p>
        </w:tc>
      </w:tr>
      <w:tr w:rsidR="00CF0899" w:rsidRPr="004C3545" w14:paraId="0AA52B0A" w14:textId="77777777" w:rsidTr="007E5B94">
        <w:tc>
          <w:tcPr>
            <w:tcW w:w="1555" w:type="dxa"/>
          </w:tcPr>
          <w:p w14:paraId="3FCAA528" w14:textId="77777777" w:rsidR="00CF0899" w:rsidRDefault="00CF0899" w:rsidP="007E5B94">
            <w:pPr>
              <w:spacing w:line="276" w:lineRule="auto"/>
            </w:pPr>
            <w:r>
              <w:t xml:space="preserve">Provider </w:t>
            </w:r>
          </w:p>
        </w:tc>
        <w:tc>
          <w:tcPr>
            <w:tcW w:w="8079" w:type="dxa"/>
          </w:tcPr>
          <w:p w14:paraId="5C2ECE17" w14:textId="7B462A3E" w:rsidR="00CF0899" w:rsidRPr="009C5D5F" w:rsidRDefault="00CF0899" w:rsidP="007E5B94">
            <w:pPr>
              <w:pStyle w:val="Text"/>
              <w:spacing w:line="276" w:lineRule="auto"/>
            </w:pPr>
            <w:r w:rsidRPr="009C5D5F">
              <w:t xml:space="preserve">An individual person, partnership or organisation registered with CQC </w:t>
            </w:r>
            <w:r>
              <w:t xml:space="preserve">or CIW </w:t>
            </w:r>
            <w:r w:rsidRPr="009C5D5F">
              <w:t>to carry on one or more regulated activities.</w:t>
            </w:r>
          </w:p>
        </w:tc>
      </w:tr>
    </w:tbl>
    <w:p w14:paraId="29C26AB7" w14:textId="05CC31CB" w:rsidR="00DF67AA" w:rsidRPr="00162D3F" w:rsidRDefault="00DF67AA" w:rsidP="007E5B94">
      <w:pPr>
        <w:pStyle w:val="Heading1Numbered"/>
        <w:numPr>
          <w:ilvl w:val="0"/>
          <w:numId w:val="0"/>
        </w:numPr>
        <w:ind w:left="1134"/>
        <w:outlineLvl w:val="9"/>
        <w:rPr>
          <w:sz w:val="14"/>
          <w:szCs w:val="12"/>
        </w:rPr>
      </w:pPr>
    </w:p>
    <w:p w14:paraId="61631716" w14:textId="3C0ECAEC" w:rsidR="007E5B94" w:rsidRDefault="00790142" w:rsidP="00162D3F">
      <w:pPr>
        <w:pStyle w:val="Heading1Numbered"/>
        <w:spacing w:after="0"/>
      </w:pPr>
      <w:bookmarkStart w:id="9" w:name="_Toc139959741"/>
      <w:r>
        <w:t>Obtaining Consent</w:t>
      </w:r>
      <w:bookmarkEnd w:id="9"/>
      <w:r>
        <w:t xml:space="preserve"> </w:t>
      </w:r>
    </w:p>
    <w:p w14:paraId="38031447" w14:textId="70179E4D" w:rsidR="00C05EFA" w:rsidRPr="001A6610" w:rsidRDefault="00C05EFA" w:rsidP="00987C13">
      <w:pPr>
        <w:pStyle w:val="Text"/>
      </w:pPr>
      <w:r>
        <w:t xml:space="preserve">MHA Colleagues must obtain consent, from people using our services, before giving any type of care, support and / or </w:t>
      </w:r>
      <w:r w:rsidRPr="001A6610">
        <w:t>treat</w:t>
      </w:r>
      <w:r>
        <w:t>ment</w:t>
      </w:r>
      <w:r w:rsidRPr="001A6610">
        <w:t xml:space="preserve">. </w:t>
      </w:r>
      <w:r>
        <w:t xml:space="preserve"> Colleagues must make sure that the process of obtaining </w:t>
      </w:r>
      <w:r w:rsidRPr="001A6610">
        <w:t xml:space="preserve">consent is rigorous, transparent and demonstrates a clear level of professional accountability. </w:t>
      </w:r>
    </w:p>
    <w:p w14:paraId="51551CAD" w14:textId="0D06CDB5" w:rsidR="00DF26D9" w:rsidRDefault="00DF26D9" w:rsidP="00AE73CD">
      <w:pPr>
        <w:pStyle w:val="Text1Numbered"/>
        <w:ind w:left="851"/>
        <w:outlineLvl w:val="1"/>
        <w:rPr>
          <w:lang w:eastAsia="en-GB"/>
        </w:rPr>
      </w:pPr>
      <w:r w:rsidRPr="00DF26D9">
        <w:rPr>
          <w:lang w:eastAsia="en-GB"/>
        </w:rPr>
        <w:t xml:space="preserve">Discussions about consent must be held in a way that meets people's communication needs. This may include the use of different formats or languages and may involve others such as </w:t>
      </w:r>
      <w:r>
        <w:rPr>
          <w:lang w:eastAsia="en-GB"/>
        </w:rPr>
        <w:t xml:space="preserve">an </w:t>
      </w:r>
      <w:r w:rsidRPr="00DF26D9">
        <w:rPr>
          <w:lang w:eastAsia="en-GB"/>
        </w:rPr>
        <w:t>independent advocate. Consent may be implied and include non-verbal communication such as sign language or by someone rolling up their sleeve to have their blood pressure taken or offering their hand when asked if they would like help to move.</w:t>
      </w:r>
    </w:p>
    <w:p w14:paraId="74CE365E" w14:textId="77777777" w:rsidR="00DF26D9" w:rsidRDefault="00DF26D9" w:rsidP="00DF26D9">
      <w:pPr>
        <w:pStyle w:val="Text1Numbered"/>
        <w:numPr>
          <w:ilvl w:val="0"/>
          <w:numId w:val="0"/>
        </w:numPr>
        <w:ind w:left="851"/>
        <w:rPr>
          <w:lang w:eastAsia="en-GB"/>
        </w:rPr>
      </w:pPr>
    </w:p>
    <w:p w14:paraId="3E019BC6" w14:textId="0DDD2207" w:rsidR="00DF26D9" w:rsidRDefault="00DF26D9" w:rsidP="00AE73CD">
      <w:pPr>
        <w:pStyle w:val="Text1Numbered"/>
        <w:ind w:left="851"/>
        <w:outlineLvl w:val="1"/>
        <w:rPr>
          <w:lang w:eastAsia="en-GB"/>
        </w:rPr>
      </w:pPr>
      <w:r w:rsidRPr="00DF26D9">
        <w:rPr>
          <w:lang w:eastAsia="en-GB"/>
        </w:rPr>
        <w:t>Consent must be treated as a process that continues throughout the duration of care</w:t>
      </w:r>
      <w:r w:rsidR="00A324F5">
        <w:rPr>
          <w:lang w:eastAsia="en-GB"/>
        </w:rPr>
        <w:t>, support,</w:t>
      </w:r>
      <w:r w:rsidRPr="00DF26D9">
        <w:rPr>
          <w:lang w:eastAsia="en-GB"/>
        </w:rPr>
        <w:t xml:space="preserve"> and treatment, recognising that it may be withheld and/or withdrawn at any time.</w:t>
      </w:r>
      <w:r w:rsidR="00A324F5">
        <w:rPr>
          <w:lang w:eastAsia="en-GB"/>
        </w:rPr>
        <w:t xml:space="preserve"> </w:t>
      </w:r>
      <w:r w:rsidR="00A324F5">
        <w:t>When an individual or a person acting lawfully on their behalf refuses to give consent or withdraws it, all people providing care, support and treatment must respect this</w:t>
      </w:r>
    </w:p>
    <w:p w14:paraId="72D53DE6" w14:textId="77777777" w:rsidR="00A324F5" w:rsidRDefault="00A324F5" w:rsidP="00A324F5">
      <w:pPr>
        <w:pStyle w:val="Text1Numbered"/>
        <w:numPr>
          <w:ilvl w:val="0"/>
          <w:numId w:val="0"/>
        </w:numPr>
        <w:ind w:left="851"/>
        <w:rPr>
          <w:lang w:eastAsia="en-GB"/>
        </w:rPr>
      </w:pPr>
    </w:p>
    <w:p w14:paraId="0ADD3406" w14:textId="77777777" w:rsidR="00C05EFA" w:rsidRPr="001A6610" w:rsidRDefault="00C05EFA" w:rsidP="00AE73CD">
      <w:pPr>
        <w:pStyle w:val="Text1Numbered"/>
        <w:ind w:left="851"/>
        <w:outlineLvl w:val="1"/>
      </w:pPr>
      <w:r w:rsidRPr="001A6610">
        <w:t>For the c</w:t>
      </w:r>
      <w:r>
        <w:t xml:space="preserve">onsent to be valid, the person must - </w:t>
      </w:r>
    </w:p>
    <w:p w14:paraId="63217B08" w14:textId="4F7F02C5" w:rsidR="00C05EFA" w:rsidRPr="00391C28" w:rsidRDefault="00C05EFA" w:rsidP="00C05EFA">
      <w:pPr>
        <w:pStyle w:val="Textlistindented-bullet"/>
        <w:ind w:hanging="708"/>
      </w:pPr>
      <w:r>
        <w:t xml:space="preserve">have the capacity to agree or make </w:t>
      </w:r>
      <w:r w:rsidR="00987C13">
        <w:t>the</w:t>
      </w:r>
      <w:r>
        <w:t xml:space="preserve"> decision</w:t>
      </w:r>
    </w:p>
    <w:p w14:paraId="1679CC3B" w14:textId="2756E182" w:rsidR="00C05EFA" w:rsidRPr="00391C28" w:rsidRDefault="00C05EFA" w:rsidP="00C05EFA">
      <w:pPr>
        <w:pStyle w:val="Textlistindented-bullet"/>
        <w:ind w:hanging="708"/>
      </w:pPr>
      <w:r w:rsidRPr="00E20493">
        <w:t xml:space="preserve">have received all the </w:t>
      </w:r>
      <w:r>
        <w:t xml:space="preserve">facts or </w:t>
      </w:r>
      <w:r w:rsidRPr="00E20493">
        <w:t xml:space="preserve">information </w:t>
      </w:r>
      <w:r>
        <w:t xml:space="preserve">to agree or make </w:t>
      </w:r>
      <w:r w:rsidR="00987C13">
        <w:t>the</w:t>
      </w:r>
      <w:r>
        <w:t xml:space="preserve"> decision</w:t>
      </w:r>
    </w:p>
    <w:p w14:paraId="2DDCC292" w14:textId="429C3624" w:rsidR="00AE73CD" w:rsidRDefault="00C05EFA" w:rsidP="00AE73CD">
      <w:pPr>
        <w:pStyle w:val="Textlistindented-bullet"/>
        <w:ind w:hanging="708"/>
      </w:pPr>
      <w:r w:rsidRPr="001A6610">
        <w:t>not be acting under duress</w:t>
      </w:r>
      <w:r>
        <w:t xml:space="preserve"> (pressured into agreeing)</w:t>
      </w:r>
    </w:p>
    <w:p w14:paraId="580523C8" w14:textId="34ECA60E" w:rsidR="00AE73CD" w:rsidRDefault="00AE73CD" w:rsidP="00AE73CD">
      <w:pPr>
        <w:pStyle w:val="Heading1Numbered"/>
      </w:pPr>
      <w:r>
        <w:t xml:space="preserve"> </w:t>
      </w:r>
      <w:bookmarkStart w:id="10" w:name="_Toc139959742"/>
      <w:r w:rsidR="006A1ADF">
        <w:t xml:space="preserve">Lacking </w:t>
      </w:r>
      <w:r>
        <w:t xml:space="preserve">Capacity </w:t>
      </w:r>
      <w:r w:rsidR="006A1ADF">
        <w:t>to Consent</w:t>
      </w:r>
      <w:bookmarkEnd w:id="10"/>
      <w:r w:rsidR="006A1ADF">
        <w:t xml:space="preserve"> </w:t>
      </w:r>
    </w:p>
    <w:p w14:paraId="1080CA06" w14:textId="7F969A74" w:rsidR="00A324F5" w:rsidRPr="00A324F5" w:rsidRDefault="00A324F5" w:rsidP="00AE73CD">
      <w:pPr>
        <w:pStyle w:val="Text1Numbered"/>
        <w:ind w:left="851"/>
        <w:outlineLvl w:val="1"/>
      </w:pPr>
      <w:r w:rsidRPr="00A324F5">
        <w:rPr>
          <w:lang w:eastAsia="en-GB"/>
        </w:rPr>
        <w:t xml:space="preserve">Where a person lacks mental capacity to make an informed decision, or give consent, </w:t>
      </w:r>
      <w:r w:rsidR="00AE73CD">
        <w:rPr>
          <w:lang w:eastAsia="en-GB"/>
        </w:rPr>
        <w:t>colleagues</w:t>
      </w:r>
      <w:r w:rsidRPr="00A324F5">
        <w:rPr>
          <w:lang w:eastAsia="en-GB"/>
        </w:rPr>
        <w:t xml:space="preserve"> must act in accordance with the requirements of the Mental Capacity Act 2005 and associated code of practice.</w:t>
      </w:r>
      <w:r>
        <w:rPr>
          <w:lang w:eastAsia="en-GB"/>
        </w:rPr>
        <w:t xml:space="preserve"> </w:t>
      </w:r>
      <w:r w:rsidR="00AE73CD">
        <w:rPr>
          <w:lang w:eastAsia="en-GB"/>
        </w:rPr>
        <w:t xml:space="preserve">In such situations </w:t>
      </w:r>
      <w:r w:rsidR="00AE73CD">
        <w:t>c</w:t>
      </w:r>
      <w:r w:rsidRPr="00DF26D9">
        <w:t>olleagues must act in the persons’ best interest and complete the best interest process referring to MHA’s M</w:t>
      </w:r>
      <w:r w:rsidR="006A1ADF">
        <w:t>ental Capacity</w:t>
      </w:r>
      <w:r w:rsidRPr="00DF26D9">
        <w:t xml:space="preserve"> </w:t>
      </w:r>
      <w:r w:rsidR="006A1ADF">
        <w:t xml:space="preserve">and Deprivation of Liberty Safeguards </w:t>
      </w:r>
      <w:r w:rsidRPr="00DF26D9">
        <w:t>policy [CP001].</w:t>
      </w:r>
    </w:p>
    <w:p w14:paraId="35DA049D" w14:textId="77777777" w:rsidR="00A324F5" w:rsidRDefault="00A324F5" w:rsidP="00AE73CD">
      <w:pPr>
        <w:pStyle w:val="Text1Numbered"/>
        <w:numPr>
          <w:ilvl w:val="0"/>
          <w:numId w:val="0"/>
        </w:numPr>
        <w:ind w:left="851"/>
      </w:pPr>
    </w:p>
    <w:p w14:paraId="0E6EA05A" w14:textId="012D81A7" w:rsidR="00DF26D9" w:rsidRDefault="00E62DDC" w:rsidP="00A324F5">
      <w:pPr>
        <w:pStyle w:val="Text1Numbered"/>
        <w:ind w:left="851"/>
        <w:outlineLvl w:val="1"/>
      </w:pPr>
      <w:r w:rsidRPr="00E62DDC">
        <w:t>If the person lacks capacity and is unable to consent, the only legally recognised person is the person’s Lasting Power of Attorney</w:t>
      </w:r>
      <w:r w:rsidR="00DF26D9">
        <w:t xml:space="preserve"> </w:t>
      </w:r>
      <w:r w:rsidRPr="00E62DDC">
        <w:t xml:space="preserve">or Court of Protection appointed Deputy.  However, if there is no LPA / Deputy, we will consult the person’s next of kin or nominated individual </w:t>
      </w:r>
      <w:r w:rsidR="00DF26D9">
        <w:t xml:space="preserve">as recorded on MHA’s </w:t>
      </w:r>
      <w:r w:rsidR="00B409EC">
        <w:t xml:space="preserve">Consent - </w:t>
      </w:r>
      <w:r w:rsidR="00DF26D9">
        <w:t>Nominated Individual Form [CP00</w:t>
      </w:r>
      <w:r w:rsidR="00B409EC">
        <w:t>1c</w:t>
      </w:r>
      <w:r w:rsidR="00DF26D9">
        <w:t>]</w:t>
      </w:r>
    </w:p>
    <w:p w14:paraId="67DF0147" w14:textId="77777777" w:rsidR="00AE73CD" w:rsidRDefault="00AE73CD" w:rsidP="00AE73CD">
      <w:pPr>
        <w:pStyle w:val="Text1Numbered"/>
        <w:numPr>
          <w:ilvl w:val="0"/>
          <w:numId w:val="0"/>
        </w:numPr>
        <w:ind w:left="851"/>
      </w:pPr>
    </w:p>
    <w:p w14:paraId="360BECAB" w14:textId="487586D1" w:rsidR="00DF26D9" w:rsidRDefault="00DF26D9" w:rsidP="00DF26D9">
      <w:pPr>
        <w:pStyle w:val="Text1Numbered"/>
        <w:ind w:left="851"/>
        <w:outlineLvl w:val="1"/>
      </w:pPr>
      <w:r>
        <w:t xml:space="preserve">Colleagues must take into account any factors which could affect a person’s capacity to consent, for example fluctuating capacity due to illness or distress. This must be clearly recorded within an individual’s relevant support plan </w:t>
      </w:r>
    </w:p>
    <w:p w14:paraId="00AD4068" w14:textId="77777777" w:rsidR="0040330F" w:rsidRDefault="0040330F" w:rsidP="00162D3F">
      <w:pPr>
        <w:pStyle w:val="ListParagraph"/>
      </w:pPr>
    </w:p>
    <w:p w14:paraId="1FE079DC" w14:textId="77777777" w:rsidR="00790142" w:rsidRPr="00790142" w:rsidRDefault="00790142" w:rsidP="00790142"/>
    <w:p w14:paraId="053D5FE2" w14:textId="788190CF" w:rsidR="00DF67AA" w:rsidRDefault="000C7997" w:rsidP="00790142">
      <w:pPr>
        <w:pStyle w:val="Heading1Numbered"/>
      </w:pPr>
      <w:bookmarkStart w:id="11" w:name="_Toc139959743"/>
      <w:r w:rsidRPr="000C7997">
        <w:lastRenderedPageBreak/>
        <w:t>Sta</w:t>
      </w:r>
      <w:r w:rsidRPr="00DC7F16">
        <w:t>ndard Operating Procedures</w:t>
      </w:r>
      <w:bookmarkEnd w:id="11"/>
      <w:r w:rsidRPr="00DC7F16">
        <w:t xml:space="preserve"> </w:t>
      </w:r>
    </w:p>
    <w:p w14:paraId="10318260" w14:textId="296F876C" w:rsidR="007E5B94" w:rsidRDefault="006A1ADF" w:rsidP="006A1ADF">
      <w:pPr>
        <w:pStyle w:val="Heading2Numbered"/>
        <w:outlineLvl w:val="1"/>
      </w:pPr>
      <w:bookmarkStart w:id="12" w:name="_Toc138757991"/>
      <w:bookmarkStart w:id="13" w:name="_Toc138761267"/>
      <w:bookmarkStart w:id="14" w:name="_Toc139958094"/>
      <w:bookmarkStart w:id="15" w:name="_Toc139959744"/>
      <w:r>
        <w:t>Providing information</w:t>
      </w:r>
      <w:bookmarkEnd w:id="12"/>
      <w:bookmarkEnd w:id="13"/>
      <w:bookmarkEnd w:id="14"/>
      <w:bookmarkEnd w:id="15"/>
      <w:r>
        <w:t xml:space="preserve"> </w:t>
      </w:r>
    </w:p>
    <w:p w14:paraId="384646D8" w14:textId="39F5861C" w:rsidR="00C73654" w:rsidRDefault="00F81235" w:rsidP="00211DB5">
      <w:pPr>
        <w:pStyle w:val="Text"/>
      </w:pPr>
      <w:r>
        <w:t>Colleagues must provide information in a format and way that the individual can understand and should be sought by a person who has sufficient knowledge about them and about the care, support, and treatment options they are considering allowing the person to make an informed decision.</w:t>
      </w:r>
    </w:p>
    <w:p w14:paraId="5736BBAE" w14:textId="61C6625D" w:rsidR="00F81235" w:rsidRDefault="00F81235" w:rsidP="00C73654">
      <w:pPr>
        <w:pStyle w:val="Text2Numbered"/>
        <w:ind w:left="851"/>
      </w:pPr>
      <w:r>
        <w:t xml:space="preserve">Information should include the risks, benefits, and alternative options as well as about how they can withdraw consent if they wish. Encourage the person </w:t>
      </w:r>
      <w:r w:rsidRPr="001A6610">
        <w:t xml:space="preserve">to </w:t>
      </w:r>
      <w:r>
        <w:t xml:space="preserve">get </w:t>
      </w:r>
      <w:r w:rsidRPr="001A6610">
        <w:t>advic</w:t>
      </w:r>
      <w:r>
        <w:t xml:space="preserve">e from others (when necessary), </w:t>
      </w:r>
      <w:r w:rsidRPr="001A6610">
        <w:t>for examp</w:t>
      </w:r>
      <w:r>
        <w:t xml:space="preserve">le, family and friends, a doctor / financial or legal </w:t>
      </w:r>
      <w:r>
        <w:tab/>
        <w:t xml:space="preserve">adviser. </w:t>
      </w:r>
      <w:r w:rsidRPr="001A6610">
        <w:t xml:space="preserve"> </w:t>
      </w:r>
    </w:p>
    <w:p w14:paraId="129F6AD9" w14:textId="77777777" w:rsidR="00211DB5" w:rsidRPr="00162D3F" w:rsidRDefault="00211DB5" w:rsidP="00211DB5">
      <w:pPr>
        <w:pStyle w:val="Text2Numbered"/>
        <w:numPr>
          <w:ilvl w:val="0"/>
          <w:numId w:val="0"/>
        </w:numPr>
        <w:ind w:left="851"/>
        <w:rPr>
          <w:sz w:val="12"/>
          <w:szCs w:val="12"/>
        </w:rPr>
      </w:pPr>
    </w:p>
    <w:p w14:paraId="6214DE5D" w14:textId="08D2D057" w:rsidR="00F81235" w:rsidRPr="001A6610" w:rsidRDefault="00F81235" w:rsidP="00211DB5">
      <w:pPr>
        <w:pStyle w:val="Text2Numbered"/>
        <w:ind w:left="851"/>
      </w:pPr>
      <w:r>
        <w:t>B</w:t>
      </w:r>
      <w:r w:rsidRPr="001A6610">
        <w:t xml:space="preserve">e aware of cultural, </w:t>
      </w:r>
      <w:r w:rsidR="00F44734" w:rsidRPr="001A6610">
        <w:t>ethnic,</w:t>
      </w:r>
      <w:r w:rsidRPr="001A6610">
        <w:t xml:space="preserve"> or religious factors that </w:t>
      </w:r>
      <w:r>
        <w:t xml:space="preserve">may influence decision making </w:t>
      </w:r>
      <w:r w:rsidRPr="001A6610">
        <w:t xml:space="preserve">or communication. </w:t>
      </w:r>
      <w:r>
        <w:t xml:space="preserve"> </w:t>
      </w:r>
      <w:r w:rsidR="00F44734">
        <w:t>Consider using an interpreter for complex decisions, if possible.  This should be a professional as opposed to a family member.</w:t>
      </w:r>
    </w:p>
    <w:p w14:paraId="54364E8B" w14:textId="20FC3ECB" w:rsidR="00F81235" w:rsidRDefault="00F44734" w:rsidP="00F44734">
      <w:pPr>
        <w:pStyle w:val="Heading2Numbered"/>
        <w:outlineLvl w:val="1"/>
      </w:pPr>
      <w:bookmarkStart w:id="16" w:name="_Toc138757992"/>
      <w:bookmarkStart w:id="17" w:name="_Toc138761268"/>
      <w:bookmarkStart w:id="18" w:name="_Toc139958095"/>
      <w:bookmarkStart w:id="19" w:name="_Toc139959745"/>
      <w:r>
        <w:t>Recording Decisions</w:t>
      </w:r>
      <w:bookmarkEnd w:id="16"/>
      <w:bookmarkEnd w:id="17"/>
      <w:bookmarkEnd w:id="18"/>
      <w:bookmarkEnd w:id="19"/>
    </w:p>
    <w:p w14:paraId="45232B3D" w14:textId="0432068D" w:rsidR="00F44734" w:rsidRDefault="00F44734" w:rsidP="00F44734">
      <w:pPr>
        <w:pStyle w:val="Text"/>
      </w:pPr>
      <w:r w:rsidRPr="00F44734">
        <w:t>Individuals or their representatives should be asked to read and sign any consent agreement records and should be consulted on any changes.  This includes their plan of care and support to demonstrate they have provided their consent</w:t>
      </w:r>
      <w:r>
        <w:t xml:space="preserve"> and are in agreement with the proposed support to meet their needs, which include personal care, health, social, psychological, and spiritual needs. </w:t>
      </w:r>
    </w:p>
    <w:p w14:paraId="20F0E94F" w14:textId="4745BDA0" w:rsidR="005D445F" w:rsidRDefault="00F44734" w:rsidP="00162D3F">
      <w:pPr>
        <w:pStyle w:val="Text2Numbered"/>
        <w:ind w:left="851"/>
      </w:pPr>
      <w:r>
        <w:t xml:space="preserve">MHA’s consent </w:t>
      </w:r>
      <w:r w:rsidR="00C73654">
        <w:t>documents</w:t>
      </w:r>
      <w:r>
        <w:t xml:space="preserve"> [CP002a/b] </w:t>
      </w:r>
      <w:r w:rsidR="00C73654">
        <w:t xml:space="preserve">must be completed to evidence an individuals, or their representatives, involvement, and decisions regarding consent.  This should also be recorded in their relevant support plans and communicated with all colleagues involved in providing care, support, and treatment.  </w:t>
      </w:r>
    </w:p>
    <w:p w14:paraId="46427AA1" w14:textId="595C5B9C" w:rsidR="005853B8" w:rsidRDefault="005853B8" w:rsidP="005853B8">
      <w:pPr>
        <w:pStyle w:val="Text2Numbered"/>
        <w:ind w:left="851"/>
      </w:pPr>
      <w:r>
        <w:t>A</w:t>
      </w:r>
      <w:r w:rsidR="00C73654">
        <w:t>ny administration colleagues who provide support with personal documents, including mail</w:t>
      </w:r>
      <w:r>
        <w:t xml:space="preserve"> must also be made aware of and individuals decision regarding the management of their personal information.</w:t>
      </w:r>
      <w:r w:rsidR="00C73654">
        <w:t xml:space="preserve">  It is also important to record the legal status of any representatives to avoid </w:t>
      </w:r>
      <w:r>
        <w:t>the</w:t>
      </w:r>
      <w:r w:rsidR="00C73654">
        <w:t xml:space="preserve"> risk of sharing confidential information inappropriately by completing MHA’s Power of Attorney Listing [CP001a].</w:t>
      </w:r>
    </w:p>
    <w:p w14:paraId="7D73E11A" w14:textId="77777777" w:rsidR="005853B8" w:rsidRDefault="005853B8" w:rsidP="005853B8">
      <w:pPr>
        <w:pStyle w:val="Text2Numbered"/>
        <w:numPr>
          <w:ilvl w:val="0"/>
          <w:numId w:val="0"/>
        </w:numPr>
        <w:ind w:left="851"/>
      </w:pPr>
    </w:p>
    <w:p w14:paraId="2C8ECA0E" w14:textId="0DF8086F" w:rsidR="005853B8" w:rsidRDefault="005853B8" w:rsidP="00211DB5">
      <w:pPr>
        <w:pStyle w:val="Text2Numbered"/>
        <w:ind w:left="851"/>
      </w:pPr>
      <w:r>
        <w:t xml:space="preserve">All relevant information and documentation relating to consent and decision making must be </w:t>
      </w:r>
      <w:r w:rsidR="00211DB5">
        <w:t xml:space="preserve">subject to regular </w:t>
      </w:r>
      <w:r>
        <w:t>review and updated with involvement of the individual or their representative, as applicable.</w:t>
      </w:r>
    </w:p>
    <w:p w14:paraId="30143966" w14:textId="3D769554" w:rsidR="00F44734" w:rsidRDefault="005853B8" w:rsidP="005D445F">
      <w:pPr>
        <w:pStyle w:val="Heading2Numbered"/>
        <w:outlineLvl w:val="1"/>
      </w:pPr>
      <w:bookmarkStart w:id="20" w:name="_Toc138757993"/>
      <w:bookmarkStart w:id="21" w:name="_Toc138761269"/>
      <w:bookmarkStart w:id="22" w:name="_Toc139958096"/>
      <w:bookmarkStart w:id="23" w:name="_Toc139959746"/>
      <w:r>
        <w:t xml:space="preserve">Consent - </w:t>
      </w:r>
      <w:r w:rsidR="00F44734">
        <w:t>Day to Day Support</w:t>
      </w:r>
      <w:bookmarkEnd w:id="20"/>
      <w:bookmarkEnd w:id="21"/>
      <w:bookmarkEnd w:id="22"/>
      <w:bookmarkEnd w:id="23"/>
      <w:r w:rsidR="00F44734">
        <w:t xml:space="preserve"> </w:t>
      </w:r>
    </w:p>
    <w:p w14:paraId="2AAD3650" w14:textId="38E9A612" w:rsidR="00F44734" w:rsidRDefault="00F44734" w:rsidP="005853B8">
      <w:pPr>
        <w:pStyle w:val="Text2Numbered"/>
        <w:ind w:left="851"/>
      </w:pPr>
      <w:r>
        <w:t xml:space="preserve">Where </w:t>
      </w:r>
      <w:r w:rsidR="005853B8">
        <w:t xml:space="preserve">verbal consent is being sought for what are usually day to day care and support needs this should be </w:t>
      </w:r>
      <w:r w:rsidR="00211DB5">
        <w:t>documented</w:t>
      </w:r>
      <w:r w:rsidR="005853B8">
        <w:t xml:space="preserve"> in their individual records to include how it has been obtained and </w:t>
      </w:r>
      <w:r w:rsidR="00107B46">
        <w:t>the individual’s</w:t>
      </w:r>
      <w:r w:rsidR="005853B8">
        <w:t xml:space="preserve"> response. </w:t>
      </w:r>
    </w:p>
    <w:p w14:paraId="24AF0D14" w14:textId="77777777" w:rsidR="00211DB5" w:rsidRDefault="00211DB5" w:rsidP="00211DB5">
      <w:pPr>
        <w:pStyle w:val="Text2Numbered"/>
        <w:numPr>
          <w:ilvl w:val="0"/>
          <w:numId w:val="0"/>
        </w:numPr>
        <w:ind w:left="851"/>
      </w:pPr>
    </w:p>
    <w:p w14:paraId="15B45F67" w14:textId="2F4B9DF6" w:rsidR="00211DB5" w:rsidRDefault="005853B8" w:rsidP="00211DB5">
      <w:pPr>
        <w:pStyle w:val="Text2Numbered"/>
        <w:ind w:left="851"/>
      </w:pPr>
      <w:r>
        <w:t>Consent sho</w:t>
      </w:r>
      <w:r w:rsidR="00211DB5">
        <w:t>ul</w:t>
      </w:r>
      <w:r>
        <w:t xml:space="preserve">d </w:t>
      </w:r>
      <w:r w:rsidR="00211DB5">
        <w:t>always</w:t>
      </w:r>
      <w:r>
        <w:t xml:space="preserve"> be sought for in relation to any proposed participation in social and community activities, either directly form the individual or as a best interest decision in discussion with their respective relatives or representatives.</w:t>
      </w:r>
    </w:p>
    <w:p w14:paraId="72CF82DE" w14:textId="77777777" w:rsidR="00211DB5" w:rsidRDefault="00211DB5" w:rsidP="00211DB5">
      <w:pPr>
        <w:pStyle w:val="Text2Numbered"/>
        <w:numPr>
          <w:ilvl w:val="0"/>
          <w:numId w:val="0"/>
        </w:numPr>
        <w:ind w:left="851"/>
      </w:pPr>
    </w:p>
    <w:p w14:paraId="021C60A6" w14:textId="555F865C" w:rsidR="00211DB5" w:rsidRDefault="00211DB5" w:rsidP="005853B8">
      <w:pPr>
        <w:pStyle w:val="Text2Numbered"/>
        <w:ind w:left="851"/>
      </w:pPr>
      <w:r>
        <w:t>Any refusal to provide consent, or difficulty in obtaining consent due to possible illness, anxiety or distress should be recorded in the individual’s records, with an account of actions taken to address the consequences of the decision or difficulty.</w:t>
      </w:r>
    </w:p>
    <w:p w14:paraId="20D5B2F7" w14:textId="595B5505" w:rsidR="00211DB5" w:rsidRDefault="00211DB5" w:rsidP="00107B46">
      <w:pPr>
        <w:pStyle w:val="Heading2Numbered"/>
      </w:pPr>
      <w:bookmarkStart w:id="24" w:name="_Toc138757994"/>
      <w:bookmarkStart w:id="25" w:name="_Toc138761270"/>
      <w:bookmarkStart w:id="26" w:name="_Toc139958097"/>
      <w:bookmarkStart w:id="27" w:name="_Toc139959747"/>
      <w:r>
        <w:t>Special Considerations</w:t>
      </w:r>
      <w:bookmarkEnd w:id="24"/>
      <w:bookmarkEnd w:id="25"/>
      <w:bookmarkEnd w:id="26"/>
      <w:bookmarkEnd w:id="27"/>
      <w:r>
        <w:t xml:space="preserve"> </w:t>
      </w:r>
    </w:p>
    <w:p w14:paraId="7A9D4DAD" w14:textId="516267A0" w:rsidR="00107B46" w:rsidRDefault="00107B46" w:rsidP="00107B46">
      <w:pPr>
        <w:pStyle w:val="Text2Numbered"/>
        <w:ind w:left="851"/>
      </w:pPr>
      <w:r>
        <w:t xml:space="preserve">Emergency Situations </w:t>
      </w:r>
    </w:p>
    <w:p w14:paraId="45E22F06" w14:textId="1D0BBD89" w:rsidR="005D445F" w:rsidRDefault="00107B46" w:rsidP="005D445F">
      <w:pPr>
        <w:pStyle w:val="Text"/>
      </w:pPr>
      <w:r>
        <w:t>In situations where an individual remains conscious, where possible, consent should be sought for emergency treatment</w:t>
      </w:r>
      <w:r w:rsidR="005D445F">
        <w:t>, if they have capacity to be able to provide consent.</w:t>
      </w:r>
    </w:p>
    <w:p w14:paraId="379C1401" w14:textId="55333E03" w:rsidR="005D445F" w:rsidRDefault="005D445F" w:rsidP="005D445F">
      <w:pPr>
        <w:pStyle w:val="Text"/>
      </w:pPr>
      <w:r>
        <w:t xml:space="preserve">If the emergency is so significant i.e., lifesaving, the reason for the treatment must be clearly documented and reported, taking into consideration any advance decisions or DNACPR status.  If an individual has representatives listed, they must be contacted immediately. </w:t>
      </w:r>
    </w:p>
    <w:p w14:paraId="6A5B1404" w14:textId="77777777" w:rsidR="0040330F" w:rsidRDefault="0040330F" w:rsidP="005D445F">
      <w:pPr>
        <w:pStyle w:val="Text"/>
      </w:pPr>
    </w:p>
    <w:p w14:paraId="1C5CBAE6" w14:textId="77777777" w:rsidR="0040330F" w:rsidRDefault="0040330F" w:rsidP="005D445F">
      <w:pPr>
        <w:pStyle w:val="Text"/>
      </w:pPr>
    </w:p>
    <w:p w14:paraId="1198DC27" w14:textId="77777777" w:rsidR="0040330F" w:rsidRDefault="0040330F" w:rsidP="005D445F">
      <w:pPr>
        <w:pStyle w:val="Text"/>
      </w:pPr>
    </w:p>
    <w:p w14:paraId="7775694F" w14:textId="77777777" w:rsidR="00107B46" w:rsidRPr="004B26CB" w:rsidRDefault="00107B46" w:rsidP="005D445F">
      <w:pPr>
        <w:pStyle w:val="Text2Numbered"/>
        <w:ind w:left="851"/>
        <w:outlineLvl w:val="1"/>
        <w:rPr>
          <w:lang w:val="en-US"/>
        </w:rPr>
      </w:pPr>
      <w:r w:rsidRPr="004B26CB">
        <w:rPr>
          <w:lang w:val="en-US"/>
        </w:rPr>
        <w:lastRenderedPageBreak/>
        <w:t>Consent to Research Involvement</w:t>
      </w:r>
    </w:p>
    <w:p w14:paraId="70D37F83" w14:textId="7817F885" w:rsidR="00107B46" w:rsidRPr="001A6610" w:rsidRDefault="00107B46" w:rsidP="00107B46">
      <w:pPr>
        <w:pStyle w:val="Text"/>
        <w:rPr>
          <w:lang w:val="en-US"/>
        </w:rPr>
      </w:pPr>
      <w:r>
        <w:rPr>
          <w:lang w:val="en-US"/>
        </w:rPr>
        <w:t>I</w:t>
      </w:r>
      <w:r w:rsidRPr="001A6610">
        <w:rPr>
          <w:lang w:val="en-US"/>
        </w:rPr>
        <w:t>n line with published guidance on t</w:t>
      </w:r>
      <w:r>
        <w:rPr>
          <w:lang w:val="en-US"/>
        </w:rPr>
        <w:t xml:space="preserve">he conduct of research projects, any </w:t>
      </w:r>
      <w:r>
        <w:rPr>
          <w:lang w:val="en-US"/>
        </w:rPr>
        <w:tab/>
        <w:t xml:space="preserve"> </w:t>
      </w:r>
      <w:r>
        <w:rPr>
          <w:lang w:val="en-US"/>
        </w:rPr>
        <w:tab/>
        <w:t xml:space="preserve"> research conducted in an MHA Home or Scheme must be </w:t>
      </w:r>
      <w:r w:rsidRPr="001A6610">
        <w:rPr>
          <w:lang w:val="en-US"/>
        </w:rPr>
        <w:t>wit</w:t>
      </w:r>
      <w:r>
        <w:rPr>
          <w:lang w:val="en-US"/>
        </w:rPr>
        <w:t xml:space="preserve">h the consent of </w:t>
      </w:r>
      <w:r>
        <w:rPr>
          <w:lang w:val="en-US"/>
        </w:rPr>
        <w:tab/>
        <w:t xml:space="preserve"> the people involved [</w:t>
      </w:r>
      <w:r w:rsidR="00AB5A9C">
        <w:rPr>
          <w:lang w:val="en-US"/>
        </w:rPr>
        <w:t>G108</w:t>
      </w:r>
      <w:r>
        <w:rPr>
          <w:lang w:val="en-US"/>
        </w:rPr>
        <w:t>]</w:t>
      </w:r>
      <w:r w:rsidR="00B3634C">
        <w:rPr>
          <w:lang w:val="en-US"/>
        </w:rPr>
        <w:t xml:space="preserve"> and must have been approved by the MHA Research and Ethics Committee</w:t>
      </w:r>
    </w:p>
    <w:p w14:paraId="37B05B44" w14:textId="260CD6FA" w:rsidR="005D445F" w:rsidRPr="005D445F" w:rsidRDefault="005D445F" w:rsidP="005D445F">
      <w:pPr>
        <w:pStyle w:val="Text2Numbered"/>
        <w:ind w:left="851"/>
        <w:outlineLvl w:val="1"/>
      </w:pPr>
      <w:r w:rsidRPr="001A6610">
        <w:t>Consent to Search</w:t>
      </w:r>
    </w:p>
    <w:p w14:paraId="0296353C" w14:textId="7122148D" w:rsidR="00F81235" w:rsidRDefault="005D445F" w:rsidP="00F81235">
      <w:pPr>
        <w:pStyle w:val="Text"/>
        <w:rPr>
          <w:lang w:val="en-US"/>
        </w:rPr>
      </w:pPr>
      <w:r>
        <w:rPr>
          <w:lang w:val="en-US"/>
        </w:rPr>
        <w:t xml:space="preserve">Colleagues must obtain consent to search a person’s </w:t>
      </w:r>
      <w:r w:rsidRPr="001A6610">
        <w:rPr>
          <w:lang w:val="en-US"/>
        </w:rPr>
        <w:t>flat, apartment, room</w:t>
      </w:r>
      <w:r>
        <w:rPr>
          <w:lang w:val="en-US"/>
        </w:rPr>
        <w:t>,</w:t>
      </w:r>
      <w:r w:rsidRPr="001A6610">
        <w:rPr>
          <w:lang w:val="en-US"/>
        </w:rPr>
        <w:t xml:space="preserve"> o</w:t>
      </w:r>
      <w:r>
        <w:rPr>
          <w:lang w:val="en-US"/>
        </w:rPr>
        <w:t xml:space="preserve">r possessions.  This must only be </w:t>
      </w:r>
      <w:r w:rsidRPr="001A6610">
        <w:rPr>
          <w:lang w:val="en-US"/>
        </w:rPr>
        <w:t>in</w:t>
      </w:r>
      <w:r>
        <w:rPr>
          <w:lang w:val="en-US"/>
        </w:rPr>
        <w:t xml:space="preserve"> exceptional circumstances such as </w:t>
      </w:r>
      <w:r w:rsidRPr="001A6610">
        <w:rPr>
          <w:lang w:val="en-US"/>
        </w:rPr>
        <w:t>preventin</w:t>
      </w:r>
      <w:r>
        <w:rPr>
          <w:lang w:val="en-US"/>
        </w:rPr>
        <w:t xml:space="preserve">g serious harm to people.  Colleagues must pay particular attention to a person’s </w:t>
      </w:r>
      <w:r w:rsidRPr="001A6610">
        <w:rPr>
          <w:lang w:val="en-US"/>
        </w:rPr>
        <w:t xml:space="preserve">best interests, including their </w:t>
      </w:r>
      <w:r>
        <w:rPr>
          <w:lang w:val="en-US"/>
        </w:rPr>
        <w:t xml:space="preserve">privacy and </w:t>
      </w:r>
      <w:r w:rsidRPr="001A6610">
        <w:rPr>
          <w:lang w:val="en-US"/>
        </w:rPr>
        <w:t>d</w:t>
      </w:r>
      <w:r>
        <w:rPr>
          <w:lang w:val="en-US"/>
        </w:rPr>
        <w:t>ignity</w:t>
      </w:r>
      <w:r w:rsidRPr="001A6610">
        <w:rPr>
          <w:lang w:val="en-US"/>
        </w:rPr>
        <w:t xml:space="preserve">.  </w:t>
      </w:r>
      <w:r>
        <w:rPr>
          <w:lang w:val="en-US"/>
        </w:rPr>
        <w:t xml:space="preserve">Colleagues must record the </w:t>
      </w:r>
      <w:r w:rsidRPr="001A6610">
        <w:rPr>
          <w:lang w:val="en-US"/>
        </w:rPr>
        <w:t xml:space="preserve">reasons </w:t>
      </w:r>
      <w:r>
        <w:rPr>
          <w:lang w:val="en-US"/>
        </w:rPr>
        <w:t xml:space="preserve">for the search and subsequent actions </w:t>
      </w:r>
      <w:r w:rsidRPr="001A6610">
        <w:rPr>
          <w:lang w:val="en-US"/>
        </w:rPr>
        <w:t xml:space="preserve">in the </w:t>
      </w:r>
      <w:r>
        <w:rPr>
          <w:lang w:val="en-US"/>
        </w:rPr>
        <w:t>person’s safety (care and) support plan.</w:t>
      </w:r>
    </w:p>
    <w:p w14:paraId="75D21F09" w14:textId="77777777" w:rsidR="00FF55F7" w:rsidRDefault="00FF55F7" w:rsidP="00FF55F7">
      <w:pPr>
        <w:pStyle w:val="Heading1Numbered"/>
      </w:pPr>
      <w:bookmarkStart w:id="28" w:name="_Toc149914485"/>
      <w:r w:rsidRPr="00457EA4">
        <w:t>Process for obtaining evidence of Lasting Power of Attorney (POA / LPA)</w:t>
      </w:r>
      <w:bookmarkEnd w:id="28"/>
    </w:p>
    <w:p w14:paraId="18FD8506" w14:textId="77777777" w:rsidR="00FF55F7" w:rsidRPr="00457EA4" w:rsidRDefault="00FF55F7" w:rsidP="00FF55F7">
      <w:pPr>
        <w:pStyle w:val="Text1Numbered"/>
      </w:pPr>
      <w:r w:rsidRPr="00457EA4">
        <w:t>All legal documents required by MHA services must be confirmed as originals. Digital confirmation (for example, accessing via a website) is not an acceptable practice. With documents such as Lasting Power of Attorney (LPA), colleagues must retain a full copy of the original or a copy that has been certified by a legal professional or Office of the Public Guardian (OPG).</w:t>
      </w:r>
    </w:p>
    <w:p w14:paraId="50E4F3A5" w14:textId="77777777" w:rsidR="00FF55F7" w:rsidRDefault="00FF55F7" w:rsidP="00FF55F7">
      <w:pPr>
        <w:pStyle w:val="NormalIndent"/>
        <w:numPr>
          <w:ilvl w:val="0"/>
          <w:numId w:val="0"/>
        </w:numPr>
        <w:ind w:left="912"/>
      </w:pPr>
    </w:p>
    <w:p w14:paraId="7A63F12E" w14:textId="77777777" w:rsidR="00FF55F7" w:rsidRDefault="00FF55F7" w:rsidP="00FF55F7">
      <w:pPr>
        <w:pStyle w:val="Text1Numbered"/>
      </w:pPr>
      <w:r>
        <w:t>If the LPA form provided to MHA is stamped by the OPG stating that the form is validated, it can be accepted as proof that the LPA is official.</w:t>
      </w:r>
    </w:p>
    <w:p w14:paraId="672875A8" w14:textId="77777777" w:rsidR="00FF55F7" w:rsidRDefault="00FF55F7" w:rsidP="00FF55F7">
      <w:pPr>
        <w:pStyle w:val="NormalIndent"/>
        <w:numPr>
          <w:ilvl w:val="0"/>
          <w:numId w:val="0"/>
        </w:numPr>
        <w:ind w:left="912"/>
      </w:pPr>
    </w:p>
    <w:p w14:paraId="1636A94B" w14:textId="77777777" w:rsidR="00FF55F7" w:rsidRDefault="00FF55F7" w:rsidP="00FF55F7">
      <w:pPr>
        <w:pStyle w:val="Text1Numbered"/>
      </w:pPr>
      <w:r>
        <w:t xml:space="preserve">If the individual does not have evidence of their LPA status, OR there is no stamp from the OPG (regardless of solicitor verification), the form “OPG100 - Find out if someone has a registered attorney or deputy” can be used to verify the LPA. </w:t>
      </w:r>
    </w:p>
    <w:p w14:paraId="4A094E01" w14:textId="77777777" w:rsidR="00FF55F7" w:rsidRPr="0042046D" w:rsidRDefault="00FF55F7" w:rsidP="00FF55F7">
      <w:pPr>
        <w:pStyle w:val="Text1Numbered"/>
        <w:numPr>
          <w:ilvl w:val="0"/>
          <w:numId w:val="0"/>
        </w:numPr>
      </w:pPr>
    </w:p>
    <w:p w14:paraId="62025933" w14:textId="77777777" w:rsidR="00FF55F7" w:rsidRDefault="00FF55F7" w:rsidP="00FF55F7">
      <w:pPr>
        <w:pStyle w:val="Text1Numbered"/>
      </w:pPr>
      <w:r>
        <w:lastRenderedPageBreak/>
        <w:t xml:space="preserve">Download and fill in the OPG100 form to find out if someone has a lasting power of attorney (LPA), an enduring power of attorney (EPA) or a court-appointed deputy acting on their behalf: </w:t>
      </w:r>
      <w:hyperlink r:id="rId9" w:history="1">
        <w:r>
          <w:rPr>
            <w:rStyle w:val="Hyperlink"/>
          </w:rPr>
          <w:t>Find out if someone has a registered attorney or deputy</w:t>
        </w:r>
      </w:hyperlink>
    </w:p>
    <w:p w14:paraId="0F24D565" w14:textId="77777777" w:rsidR="00FF55F7" w:rsidRDefault="00FF55F7" w:rsidP="00FF55F7">
      <w:pPr>
        <w:pStyle w:val="Text1Numbered"/>
        <w:numPr>
          <w:ilvl w:val="0"/>
          <w:numId w:val="0"/>
        </w:numPr>
        <w:ind w:left="1135" w:hanging="851"/>
      </w:pPr>
    </w:p>
    <w:p w14:paraId="131B2B55" w14:textId="77777777" w:rsidR="00FF55F7" w:rsidRDefault="00FF55F7" w:rsidP="00FF55F7">
      <w:pPr>
        <w:pStyle w:val="Text1Numbered"/>
      </w:pPr>
      <w:r>
        <w:t xml:space="preserve">If the OPG100 form comes back as no LPA, then there is no valid LPA in place. The individual that states they have LPA should be informed. </w:t>
      </w:r>
    </w:p>
    <w:p w14:paraId="145A12BB" w14:textId="77777777" w:rsidR="00FF55F7" w:rsidRPr="00F46BA1" w:rsidRDefault="00FF55F7" w:rsidP="00FF55F7">
      <w:pPr>
        <w:pStyle w:val="Text1Numbered"/>
        <w:numPr>
          <w:ilvl w:val="0"/>
          <w:numId w:val="0"/>
        </w:numPr>
        <w:ind w:left="1135"/>
      </w:pPr>
    </w:p>
    <w:p w14:paraId="5E8D41E9" w14:textId="77777777" w:rsidR="00FF55F7" w:rsidRDefault="00FF55F7" w:rsidP="00FF55F7">
      <w:pPr>
        <w:pStyle w:val="Text1Numbered"/>
      </w:pPr>
      <w:r>
        <w:t>On occasion the OPG may not have logged Deputyship by the time the Court Order is presented to the care home.  If a Court Order is presented, this should be accepted as evidence of the LPA.</w:t>
      </w:r>
    </w:p>
    <w:p w14:paraId="6C266767" w14:textId="77777777" w:rsidR="00FF55F7" w:rsidRDefault="00FF55F7" w:rsidP="00FF55F7">
      <w:pPr>
        <w:pStyle w:val="Text1Numbered"/>
        <w:numPr>
          <w:ilvl w:val="0"/>
          <w:numId w:val="0"/>
        </w:numPr>
      </w:pPr>
    </w:p>
    <w:p w14:paraId="31DCF93B" w14:textId="7A6C058D" w:rsidR="00FF55F7" w:rsidRPr="00FF55F7" w:rsidRDefault="00FF55F7" w:rsidP="00FF55F7">
      <w:pPr>
        <w:pStyle w:val="Text1Numbered"/>
      </w:pPr>
      <w:r>
        <w:t>When evidence of the LPA has been obtained (either OPG stamped or using form OPG100) a photocopy must be taken to be filed in the residents file AND sent to the finance department at central support for LPA / Deputy of Finance and Affairs.</w:t>
      </w:r>
    </w:p>
    <w:p w14:paraId="4DC64963" w14:textId="77777777" w:rsidR="00DF67AA" w:rsidRDefault="009A0ED4" w:rsidP="00D558F5">
      <w:pPr>
        <w:pStyle w:val="Heading1Numbered"/>
      </w:pPr>
      <w:bookmarkStart w:id="29" w:name="_Toc139959748"/>
      <w:r w:rsidRPr="004C3545">
        <w:t xml:space="preserve">Roles </w:t>
      </w:r>
      <w:r w:rsidR="001310BB">
        <w:t>and</w:t>
      </w:r>
      <w:r w:rsidRPr="004C3545">
        <w:t xml:space="preserve"> Responsibilities</w:t>
      </w:r>
      <w:bookmarkEnd w:id="29"/>
    </w:p>
    <w:p w14:paraId="29CCC516" w14:textId="437B4F19" w:rsidR="00A92CD7" w:rsidRPr="004C3545" w:rsidRDefault="00A92CD7" w:rsidP="00914FC1"/>
    <w:tbl>
      <w:tblPr>
        <w:tblStyle w:val="MHATable"/>
        <w:tblW w:w="0" w:type="auto"/>
        <w:tblLook w:val="04A0" w:firstRow="1" w:lastRow="0" w:firstColumn="1" w:lastColumn="0" w:noHBand="0" w:noVBand="1"/>
      </w:tblPr>
      <w:tblGrid>
        <w:gridCol w:w="2830"/>
        <w:gridCol w:w="6663"/>
      </w:tblGrid>
      <w:tr w:rsidR="00A92CD7" w:rsidRPr="004C3545" w14:paraId="37779763" w14:textId="77777777" w:rsidTr="00966903">
        <w:trPr>
          <w:cnfStyle w:val="100000000000" w:firstRow="1" w:lastRow="0" w:firstColumn="0" w:lastColumn="0" w:oddVBand="0" w:evenVBand="0" w:oddHBand="0" w:evenHBand="0" w:firstRowFirstColumn="0" w:firstRowLastColumn="0" w:lastRowFirstColumn="0" w:lastRowLastColumn="0"/>
        </w:trPr>
        <w:tc>
          <w:tcPr>
            <w:tcW w:w="2830" w:type="dxa"/>
          </w:tcPr>
          <w:p w14:paraId="2B1C46AF" w14:textId="725C4F57" w:rsidR="00A92CD7" w:rsidRPr="004C3545" w:rsidRDefault="00A92CD7" w:rsidP="002D47FD">
            <w:r w:rsidRPr="004C3545">
              <w:t>Role</w:t>
            </w:r>
          </w:p>
        </w:tc>
        <w:tc>
          <w:tcPr>
            <w:tcW w:w="6663" w:type="dxa"/>
          </w:tcPr>
          <w:p w14:paraId="76D07DD0" w14:textId="6C27EBEA" w:rsidR="00A92CD7" w:rsidRPr="004C3545" w:rsidRDefault="00A92CD7" w:rsidP="002D47FD">
            <w:r w:rsidRPr="004C3545">
              <w:t>Responsibilities</w:t>
            </w:r>
          </w:p>
        </w:tc>
      </w:tr>
      <w:tr w:rsidR="00C7086F" w:rsidRPr="004C3545" w14:paraId="0294C404" w14:textId="77777777" w:rsidTr="00966903">
        <w:tc>
          <w:tcPr>
            <w:tcW w:w="2830" w:type="dxa"/>
          </w:tcPr>
          <w:p w14:paraId="59D873F6" w14:textId="269AA713" w:rsidR="00C7086F" w:rsidRPr="004C3545" w:rsidRDefault="00C7086F" w:rsidP="002D47FD">
            <w:r>
              <w:t xml:space="preserve">Area Managers </w:t>
            </w:r>
          </w:p>
        </w:tc>
        <w:tc>
          <w:tcPr>
            <w:tcW w:w="6663" w:type="dxa"/>
          </w:tcPr>
          <w:p w14:paraId="57CACD2C" w14:textId="77777777" w:rsidR="00C7086F" w:rsidRDefault="00C7086F" w:rsidP="00C7086F">
            <w:pPr>
              <w:pStyle w:val="Textlist-bullet"/>
            </w:pPr>
            <w:r>
              <w:t xml:space="preserve">Regularly audit the use of this policy and the effectiveness of procedures to obtain consent </w:t>
            </w:r>
          </w:p>
          <w:p w14:paraId="5FE5810D" w14:textId="298E469F" w:rsidR="00C7086F" w:rsidRPr="004C3545" w:rsidRDefault="00C7086F" w:rsidP="00C7086F">
            <w:pPr>
              <w:pStyle w:val="Textlist-bullet"/>
            </w:pPr>
            <w:r>
              <w:t>Monitor complaints and compliments relating to consent issues</w:t>
            </w:r>
          </w:p>
        </w:tc>
      </w:tr>
      <w:tr w:rsidR="00A92CD7" w:rsidRPr="004C3545" w14:paraId="75440E4E" w14:textId="77777777" w:rsidTr="00966903">
        <w:tc>
          <w:tcPr>
            <w:tcW w:w="2830" w:type="dxa"/>
          </w:tcPr>
          <w:p w14:paraId="01F79081" w14:textId="3AE2A33C" w:rsidR="00A92CD7" w:rsidRPr="004C3545" w:rsidRDefault="00C7086F" w:rsidP="00C7086F">
            <w:r>
              <w:t>Service Managers</w:t>
            </w:r>
          </w:p>
        </w:tc>
        <w:tc>
          <w:tcPr>
            <w:tcW w:w="6663" w:type="dxa"/>
          </w:tcPr>
          <w:p w14:paraId="3B148B2A" w14:textId="3CD5CC16" w:rsidR="00C7086F" w:rsidRDefault="00C7086F" w:rsidP="00C7086F">
            <w:pPr>
              <w:pStyle w:val="Textlist-bullet"/>
            </w:pPr>
            <w:r>
              <w:t>Provide effective communication to disseminate this policy, and any related policies, to MHA colleagues</w:t>
            </w:r>
          </w:p>
          <w:p w14:paraId="033710E5" w14:textId="65885AE9" w:rsidR="00A92CD7" w:rsidRDefault="00C7086F" w:rsidP="00C7086F">
            <w:pPr>
              <w:pStyle w:val="Textlist-bullet"/>
            </w:pPr>
            <w:r>
              <w:t xml:space="preserve">Regularly audit the use of this policy and the effectiveness of procedures to obtain consent </w:t>
            </w:r>
          </w:p>
          <w:p w14:paraId="376AC6E2" w14:textId="1F32AC01" w:rsidR="00CB1B8E" w:rsidRDefault="00CB1B8E" w:rsidP="00CB1B8E">
            <w:pPr>
              <w:pStyle w:val="Textlist-bullet"/>
            </w:pPr>
            <w:r>
              <w:t xml:space="preserve">Assess Compliance through monitoring and regular audit of support plans with a review of all associated documentation  </w:t>
            </w:r>
          </w:p>
          <w:p w14:paraId="116F48AF" w14:textId="14445DE1" w:rsidR="00CB1B8E" w:rsidRPr="004C3545" w:rsidRDefault="00CB1B8E" w:rsidP="00CB1B8E">
            <w:pPr>
              <w:pStyle w:val="Textlist-bullet"/>
            </w:pPr>
            <w:r>
              <w:lastRenderedPageBreak/>
              <w:t>Monitor complaints and compliments relating to consent issues, taking action as required including investigations</w:t>
            </w:r>
          </w:p>
        </w:tc>
      </w:tr>
      <w:tr w:rsidR="00A92CD7" w:rsidRPr="004C3545" w14:paraId="5C4A76E8" w14:textId="77777777" w:rsidTr="00966903">
        <w:tc>
          <w:tcPr>
            <w:tcW w:w="2830" w:type="dxa"/>
          </w:tcPr>
          <w:p w14:paraId="4EE5C809" w14:textId="0FB781BD" w:rsidR="00A92CD7" w:rsidRPr="004C3545" w:rsidRDefault="00C7086F" w:rsidP="00C7086F">
            <w:r>
              <w:lastRenderedPageBreak/>
              <w:t xml:space="preserve">MHA Colleagues </w:t>
            </w:r>
          </w:p>
        </w:tc>
        <w:tc>
          <w:tcPr>
            <w:tcW w:w="6663" w:type="dxa"/>
          </w:tcPr>
          <w:p w14:paraId="3FDD4F70" w14:textId="1FD6975F" w:rsidR="00C7086F" w:rsidRDefault="00C7086F" w:rsidP="00C7086F">
            <w:pPr>
              <w:pStyle w:val="Textlist-bullet"/>
            </w:pPr>
            <w:r>
              <w:t xml:space="preserve">Understand the importance of obtaining consent </w:t>
            </w:r>
          </w:p>
          <w:p w14:paraId="5A58B277" w14:textId="17C37146" w:rsidR="00A92CD7" w:rsidRDefault="00C7086F" w:rsidP="00C7086F">
            <w:pPr>
              <w:pStyle w:val="Textlist-bullet"/>
            </w:pPr>
            <w:r>
              <w:t xml:space="preserve">Always act in full compliance with this policy in seeking lawful consent </w:t>
            </w:r>
          </w:p>
          <w:p w14:paraId="748EF6F5" w14:textId="08AE4C7C" w:rsidR="00C7086F" w:rsidRDefault="00C7086F" w:rsidP="00C7086F">
            <w:pPr>
              <w:pStyle w:val="Textlist-bullet"/>
            </w:pPr>
            <w:r>
              <w:t xml:space="preserve">Comply with all related policies including Mental Capacity, </w:t>
            </w:r>
            <w:proofErr w:type="gramStart"/>
            <w:r>
              <w:t>confidentiality</w:t>
            </w:r>
            <w:proofErr w:type="gramEnd"/>
            <w:r>
              <w:t xml:space="preserve"> and data protection </w:t>
            </w:r>
          </w:p>
          <w:p w14:paraId="4768C155" w14:textId="77777777" w:rsidR="00C7086F" w:rsidRDefault="00C7086F" w:rsidP="00C7086F">
            <w:pPr>
              <w:pStyle w:val="Textlist-bullet"/>
            </w:pPr>
            <w:r>
              <w:t>Attend appropriate training</w:t>
            </w:r>
          </w:p>
          <w:p w14:paraId="6037EB4B" w14:textId="64AF5D7C" w:rsidR="00C7086F" w:rsidRPr="004C3545" w:rsidRDefault="00C7086F" w:rsidP="00C7086F">
            <w:pPr>
              <w:pStyle w:val="Textlist-bullet"/>
            </w:pPr>
            <w:r>
              <w:t xml:space="preserve">Record and report any concerns related to obtaining consent </w:t>
            </w:r>
          </w:p>
        </w:tc>
      </w:tr>
    </w:tbl>
    <w:p w14:paraId="7FC56CC8" w14:textId="77777777" w:rsidR="008D6213" w:rsidRPr="004C3545" w:rsidRDefault="008D6213" w:rsidP="00903AA2">
      <w:pPr>
        <w:rPr>
          <w:rFonts w:cs="Arial"/>
          <w:spacing w:val="7"/>
        </w:rPr>
      </w:pPr>
    </w:p>
    <w:p w14:paraId="7E40F80D" w14:textId="77777777" w:rsidR="00DF67AA" w:rsidRDefault="009A0ED4" w:rsidP="00D558F5">
      <w:pPr>
        <w:pStyle w:val="Heading1Numbered"/>
      </w:pPr>
      <w:bookmarkStart w:id="30" w:name="_Toc139959749"/>
      <w:r w:rsidRPr="00B2494E">
        <w:t>Training</w:t>
      </w:r>
      <w:r w:rsidR="002B5CDA" w:rsidRPr="00B2494E">
        <w:t xml:space="preserve"> </w:t>
      </w:r>
      <w:r w:rsidR="001310BB" w:rsidRPr="00B2494E">
        <w:t>and</w:t>
      </w:r>
      <w:r w:rsidR="002B5CDA" w:rsidRPr="00B2494E">
        <w:t xml:space="preserve"> Monitoring</w:t>
      </w:r>
      <w:bookmarkEnd w:id="30"/>
    </w:p>
    <w:p w14:paraId="2449F454" w14:textId="7C8DCBC8" w:rsidR="00CB1B8E" w:rsidRPr="00CB1B8E" w:rsidRDefault="00CB1B8E" w:rsidP="00CB1B8E">
      <w:pPr>
        <w:pStyle w:val="Text"/>
      </w:pPr>
      <w:r>
        <w:t>Each line manager must ensure that all colleagues are aware of their roles, responsibilities and limitation regarding consent, mental capacity and decision making.  Colleagues’ knowledge and competence will be maintained using a blended learning approach.</w:t>
      </w:r>
    </w:p>
    <w:p w14:paraId="62F6E601" w14:textId="18A47C2A" w:rsidR="00DF67AA" w:rsidRDefault="000C7997" w:rsidP="00D558F5">
      <w:pPr>
        <w:pStyle w:val="Heading1Numbered"/>
      </w:pPr>
      <w:bookmarkStart w:id="31" w:name="_Toc139959750"/>
      <w:r w:rsidRPr="000C7997">
        <w:t>Communication and Dissemination</w:t>
      </w:r>
      <w:bookmarkEnd w:id="31"/>
    </w:p>
    <w:p w14:paraId="148C5472" w14:textId="77777777" w:rsidR="00194778" w:rsidRDefault="00194778" w:rsidP="00B409EC">
      <w:pPr>
        <w:pStyle w:val="Text1Numbered"/>
        <w:ind w:left="851"/>
      </w:pPr>
      <w:r>
        <w:t>This policy is disseminated and implemented within all MHA services through MHA’s channels of communication.</w:t>
      </w:r>
    </w:p>
    <w:p w14:paraId="66905129" w14:textId="77777777" w:rsidR="00194778" w:rsidRDefault="00194778" w:rsidP="00194778">
      <w:pPr>
        <w:pStyle w:val="Text1Numbered"/>
        <w:numPr>
          <w:ilvl w:val="0"/>
          <w:numId w:val="0"/>
        </w:numPr>
      </w:pPr>
    </w:p>
    <w:p w14:paraId="49867121" w14:textId="77777777" w:rsidR="00194778" w:rsidRDefault="00194778" w:rsidP="00B409EC">
      <w:pPr>
        <w:pStyle w:val="Text1Numbered"/>
        <w:ind w:left="851"/>
      </w:pPr>
      <w:r>
        <w:t>Each colleague’s line manager must ensure that all teams are aware of their roles, responsibilities.</w:t>
      </w:r>
    </w:p>
    <w:p w14:paraId="45AED3A8" w14:textId="77777777" w:rsidR="00194778" w:rsidRDefault="00194778" w:rsidP="00194778">
      <w:pPr>
        <w:pStyle w:val="Text1Numbered"/>
        <w:numPr>
          <w:ilvl w:val="0"/>
          <w:numId w:val="0"/>
        </w:numPr>
      </w:pPr>
    </w:p>
    <w:p w14:paraId="5EFAB79C" w14:textId="77777777" w:rsidR="00194778" w:rsidRDefault="00194778" w:rsidP="00B409EC">
      <w:pPr>
        <w:pStyle w:val="Text1Numbered"/>
        <w:ind w:left="851"/>
      </w:pPr>
      <w:r>
        <w:t>This policy will be available to the people we support and their representatives in alternate formats, as required.</w:t>
      </w:r>
    </w:p>
    <w:p w14:paraId="5362C4DF" w14:textId="77777777" w:rsidR="00194778" w:rsidRDefault="00194778" w:rsidP="00194778">
      <w:pPr>
        <w:pStyle w:val="Text1Numbered"/>
        <w:numPr>
          <w:ilvl w:val="0"/>
          <w:numId w:val="0"/>
        </w:numPr>
      </w:pPr>
    </w:p>
    <w:p w14:paraId="0F2779C1" w14:textId="77777777" w:rsidR="00194778" w:rsidRDefault="00194778" w:rsidP="00B409EC">
      <w:pPr>
        <w:pStyle w:val="Text1Numbered"/>
        <w:ind w:left="851"/>
      </w:pPr>
      <w:r>
        <w:lastRenderedPageBreak/>
        <w:t>Any review of this policy will include consultation with our colleagues, review of support planning, incident reports, quality audits and feedback from other agencies.</w:t>
      </w:r>
    </w:p>
    <w:p w14:paraId="78769350" w14:textId="77777777" w:rsidR="00194778" w:rsidRDefault="00194778" w:rsidP="00194778">
      <w:pPr>
        <w:pStyle w:val="Text1Numbered"/>
        <w:numPr>
          <w:ilvl w:val="0"/>
          <w:numId w:val="0"/>
        </w:numPr>
      </w:pPr>
    </w:p>
    <w:p w14:paraId="793C0962" w14:textId="7720A320" w:rsidR="00386B5D" w:rsidRPr="00386B5D" w:rsidRDefault="00194778" w:rsidP="00B409EC">
      <w:pPr>
        <w:pStyle w:val="Text1Numbered"/>
        <w:ind w:left="851"/>
      </w:pPr>
      <w:r>
        <w:t xml:space="preserve">Queries and issues relating to this policy should be referred to the Standards and Policy Team </w:t>
      </w:r>
      <w:hyperlink r:id="rId10" w:history="1">
        <w:r w:rsidRPr="00B2181E">
          <w:rPr>
            <w:rStyle w:val="Hyperlink"/>
          </w:rPr>
          <w:t>policies@mha.org.uk</w:t>
        </w:r>
      </w:hyperlink>
      <w:r>
        <w:rPr>
          <w:rStyle w:val="Hyperlink"/>
        </w:rPr>
        <w:t>.</w:t>
      </w:r>
      <w:r>
        <w:t xml:space="preserve"> </w:t>
      </w:r>
    </w:p>
    <w:p w14:paraId="6E4A646D" w14:textId="4CE9CA47" w:rsidR="00DF67AA" w:rsidRDefault="000C7997" w:rsidP="00D558F5">
      <w:pPr>
        <w:pStyle w:val="Heading1Numbered"/>
      </w:pPr>
      <w:bookmarkStart w:id="32" w:name="_Toc139959751"/>
      <w:r>
        <w:t>Impact Assessments (Inc. EDI)</w:t>
      </w:r>
      <w:bookmarkEnd w:id="32"/>
    </w:p>
    <w:p w14:paraId="17ED5502" w14:textId="7232057C" w:rsidR="008D6213" w:rsidRPr="004C3545" w:rsidRDefault="00194778" w:rsidP="00B409EC">
      <w:pPr>
        <w:pStyle w:val="Text1Numbered"/>
        <w:ind w:left="851"/>
      </w:pPr>
      <w:r>
        <w:t>Equality, Diversity, and Impact Assessment to be confirmed.</w:t>
      </w:r>
    </w:p>
    <w:p w14:paraId="27F0FF39" w14:textId="6779B15D" w:rsidR="000C7997" w:rsidRDefault="000C7997" w:rsidP="00D558F5">
      <w:pPr>
        <w:pStyle w:val="Heading1Numbered"/>
      </w:pPr>
      <w:bookmarkStart w:id="33" w:name="_Toc139959752"/>
      <w:r w:rsidRPr="00B2494E">
        <w:t>Resources</w:t>
      </w:r>
      <w:bookmarkEnd w:id="33"/>
      <w:r w:rsidRPr="00B2494E">
        <w:t xml:space="preserve"> </w:t>
      </w:r>
    </w:p>
    <w:p w14:paraId="75A1EE11" w14:textId="2DE72B39" w:rsidR="00194778" w:rsidRDefault="00194778" w:rsidP="00D8768A">
      <w:pPr>
        <w:pStyle w:val="Textlist-bullet"/>
        <w:ind w:left="851" w:hanging="567"/>
      </w:pPr>
      <w:r>
        <w:t>CP002a Consent Record Care Homes</w:t>
      </w:r>
    </w:p>
    <w:p w14:paraId="680A8E86" w14:textId="53AF1E88" w:rsidR="00194778" w:rsidRDefault="00194778" w:rsidP="00D8768A">
      <w:pPr>
        <w:pStyle w:val="Textlist-bullet"/>
        <w:ind w:left="851" w:hanging="567"/>
      </w:pPr>
      <w:r>
        <w:t xml:space="preserve">CP002b Consent Record Retirement Living </w:t>
      </w:r>
    </w:p>
    <w:p w14:paraId="30DC1573" w14:textId="4AF9A970" w:rsidR="00B409EC" w:rsidRDefault="00B409EC" w:rsidP="00D8768A">
      <w:pPr>
        <w:pStyle w:val="Textlist-bullet"/>
        <w:ind w:left="851" w:hanging="567"/>
      </w:pPr>
      <w:r>
        <w:t xml:space="preserve">CP002c Consent Nominated Individual </w:t>
      </w:r>
    </w:p>
    <w:p w14:paraId="47525FBF" w14:textId="441798D2" w:rsidR="00194778" w:rsidRDefault="00194778" w:rsidP="00D8768A">
      <w:pPr>
        <w:pStyle w:val="Textlist-bullet"/>
        <w:ind w:left="851" w:hanging="567"/>
      </w:pPr>
      <w:r>
        <w:t>CP001 Mental Capacity Decision making and Deprivation of Liberty Safeguards</w:t>
      </w:r>
    </w:p>
    <w:p w14:paraId="58918019" w14:textId="0F7F22B9" w:rsidR="00194778" w:rsidRDefault="00194778" w:rsidP="00D8768A">
      <w:pPr>
        <w:pStyle w:val="Textlist-bullet"/>
        <w:ind w:left="851" w:hanging="567"/>
      </w:pPr>
      <w:r>
        <w:t xml:space="preserve">CP001a Mental Capacity Power of Attorney Listing </w:t>
      </w:r>
    </w:p>
    <w:p w14:paraId="243EB65D" w14:textId="4C00AAD6" w:rsidR="00194778" w:rsidRDefault="00194778" w:rsidP="00D8768A">
      <w:pPr>
        <w:pStyle w:val="Textlist-bullet"/>
        <w:ind w:left="851" w:hanging="567"/>
      </w:pPr>
      <w:r>
        <w:t xml:space="preserve">IG006 Data Confidentiality </w:t>
      </w:r>
    </w:p>
    <w:p w14:paraId="25F937D2" w14:textId="0EDC884B" w:rsidR="00194778" w:rsidRDefault="00194778" w:rsidP="00D8768A">
      <w:pPr>
        <w:pStyle w:val="Textlist-bullet"/>
        <w:ind w:left="851" w:hanging="567"/>
      </w:pPr>
      <w:r>
        <w:t xml:space="preserve">GDPR Toolbox Talk 6 – Consent for Photos and Videos </w:t>
      </w:r>
    </w:p>
    <w:p w14:paraId="32CDBCA9" w14:textId="2B84A199" w:rsidR="000851FC" w:rsidRDefault="00AB5A9C" w:rsidP="00D8768A">
      <w:pPr>
        <w:pStyle w:val="Textlist-bullet"/>
        <w:ind w:left="851" w:hanging="567"/>
      </w:pPr>
      <w:r>
        <w:t>G108</w:t>
      </w:r>
      <w:r w:rsidR="000851FC">
        <w:t xml:space="preserve"> Research Policy </w:t>
      </w:r>
    </w:p>
    <w:p w14:paraId="10B488A9" w14:textId="77777777" w:rsidR="00D8768A" w:rsidRDefault="00D8768A" w:rsidP="00D8768A">
      <w:pPr>
        <w:pStyle w:val="Textlist-bullet"/>
        <w:numPr>
          <w:ilvl w:val="0"/>
          <w:numId w:val="0"/>
        </w:numPr>
        <w:ind w:left="357" w:hanging="357"/>
      </w:pPr>
    </w:p>
    <w:p w14:paraId="1DCB72EB" w14:textId="7079B5C9" w:rsidR="00D8768A" w:rsidRDefault="00D8768A" w:rsidP="00D8768A">
      <w:pPr>
        <w:pStyle w:val="Textlist-bullet"/>
        <w:numPr>
          <w:ilvl w:val="0"/>
          <w:numId w:val="0"/>
        </w:numPr>
        <w:ind w:left="357" w:hanging="357"/>
      </w:pPr>
      <w:r>
        <w:t>Care Quality Commission (CQC) Regulation 11: Need for Consent</w:t>
      </w:r>
    </w:p>
    <w:p w14:paraId="634243E4" w14:textId="4DE659EF" w:rsidR="00D8768A" w:rsidRDefault="00D8768A" w:rsidP="00D8768A">
      <w:pPr>
        <w:pStyle w:val="Textlist-bullet"/>
        <w:numPr>
          <w:ilvl w:val="0"/>
          <w:numId w:val="0"/>
        </w:numPr>
        <w:ind w:left="357" w:hanging="357"/>
      </w:pPr>
      <w:r>
        <w:tab/>
      </w:r>
      <w:hyperlink r:id="rId11" w:history="1">
        <w:r>
          <w:rPr>
            <w:rStyle w:val="Hyperlink"/>
          </w:rPr>
          <w:t xml:space="preserve">Health and Social Care Act 2008 (Regulated Activities) Regulations 2014: Regulation 11 </w:t>
        </w:r>
      </w:hyperlink>
      <w:r>
        <w:t xml:space="preserve"> </w:t>
      </w:r>
    </w:p>
    <w:p w14:paraId="024252BE" w14:textId="77777777" w:rsidR="00D8768A" w:rsidRDefault="00D8768A" w:rsidP="00D8768A">
      <w:pPr>
        <w:pStyle w:val="Textlist-bullet"/>
        <w:numPr>
          <w:ilvl w:val="0"/>
          <w:numId w:val="0"/>
        </w:numPr>
        <w:ind w:left="357" w:hanging="357"/>
      </w:pPr>
    </w:p>
    <w:p w14:paraId="552DF39A" w14:textId="0C421DB8" w:rsidR="00D8768A" w:rsidRDefault="00D8768A" w:rsidP="00D8768A">
      <w:pPr>
        <w:pStyle w:val="Textlist-bullet"/>
        <w:numPr>
          <w:ilvl w:val="0"/>
          <w:numId w:val="0"/>
        </w:numPr>
        <w:ind w:left="357" w:hanging="357"/>
      </w:pPr>
      <w:r>
        <w:t>Wales: Statutory Guidance for Service Providers and Responsible Individuals</w:t>
      </w:r>
    </w:p>
    <w:p w14:paraId="688481CF" w14:textId="456D0543" w:rsidR="00D8768A" w:rsidRDefault="00D8768A" w:rsidP="00D8768A">
      <w:pPr>
        <w:pStyle w:val="Textlist-bullet"/>
        <w:numPr>
          <w:ilvl w:val="0"/>
          <w:numId w:val="0"/>
        </w:numPr>
        <w:ind w:left="357" w:hanging="357"/>
      </w:pPr>
      <w:r>
        <w:tab/>
      </w:r>
      <w:hyperlink r:id="rId12" w:history="1">
        <w:r>
          <w:rPr>
            <w:rStyle w:val="Hyperlink"/>
          </w:rPr>
          <w:t xml:space="preserve">Wales - Statutory Guidance </w:t>
        </w:r>
      </w:hyperlink>
      <w:r>
        <w:t xml:space="preserve"> </w:t>
      </w:r>
    </w:p>
    <w:p w14:paraId="0A2ADEF5" w14:textId="77777777" w:rsidR="00D8768A" w:rsidRDefault="00D8768A" w:rsidP="00D8768A">
      <w:pPr>
        <w:pStyle w:val="Textlist-bullet"/>
        <w:numPr>
          <w:ilvl w:val="0"/>
          <w:numId w:val="0"/>
        </w:numPr>
        <w:ind w:left="357" w:hanging="357"/>
      </w:pPr>
    </w:p>
    <w:p w14:paraId="21D3F5AD" w14:textId="49C39117" w:rsidR="00D8768A" w:rsidRDefault="00D8768A" w:rsidP="00D8768A">
      <w:pPr>
        <w:pStyle w:val="Textlist-bullet"/>
        <w:numPr>
          <w:ilvl w:val="0"/>
          <w:numId w:val="0"/>
        </w:numPr>
        <w:ind w:left="357" w:hanging="357"/>
      </w:pPr>
      <w:r>
        <w:t xml:space="preserve">GOV.UK: mental capacity Act Code of Practice </w:t>
      </w:r>
    </w:p>
    <w:p w14:paraId="03E3AA50" w14:textId="6C8408EE" w:rsidR="00194778" w:rsidRDefault="00D8768A" w:rsidP="000851FC">
      <w:pPr>
        <w:pStyle w:val="Textlist-bullet"/>
        <w:numPr>
          <w:ilvl w:val="0"/>
          <w:numId w:val="0"/>
        </w:numPr>
        <w:ind w:left="357" w:hanging="357"/>
      </w:pPr>
      <w:r>
        <w:tab/>
      </w:r>
      <w:hyperlink r:id="rId13" w:history="1">
        <w:r>
          <w:rPr>
            <w:rStyle w:val="Hyperlink"/>
          </w:rPr>
          <w:t xml:space="preserve">MCA 2005 Code of Practice </w:t>
        </w:r>
      </w:hyperlink>
      <w:r>
        <w:t xml:space="preserve"> </w:t>
      </w:r>
    </w:p>
    <w:p w14:paraId="5591EFC1" w14:textId="77777777" w:rsidR="000851FC" w:rsidRDefault="000851FC" w:rsidP="000851FC">
      <w:pPr>
        <w:pStyle w:val="Textlist-bullet"/>
        <w:numPr>
          <w:ilvl w:val="0"/>
          <w:numId w:val="0"/>
        </w:numPr>
        <w:ind w:left="357" w:hanging="357"/>
      </w:pPr>
    </w:p>
    <w:p w14:paraId="6B87B595" w14:textId="77777777" w:rsidR="000851FC" w:rsidRDefault="000851FC" w:rsidP="000851FC">
      <w:pPr>
        <w:pStyle w:val="Textlist-bullet"/>
        <w:numPr>
          <w:ilvl w:val="0"/>
          <w:numId w:val="0"/>
        </w:numPr>
        <w:ind w:left="357" w:hanging="357"/>
      </w:pPr>
    </w:p>
    <w:p w14:paraId="4F177B0E" w14:textId="77777777" w:rsidR="000851FC" w:rsidRDefault="000851FC" w:rsidP="000851FC">
      <w:pPr>
        <w:pStyle w:val="Textlist-bullet"/>
        <w:numPr>
          <w:ilvl w:val="0"/>
          <w:numId w:val="0"/>
        </w:numPr>
        <w:ind w:left="357" w:hanging="357"/>
      </w:pPr>
    </w:p>
    <w:p w14:paraId="7D51E0AC" w14:textId="77777777" w:rsidR="000851FC" w:rsidRPr="00194778" w:rsidRDefault="000851FC" w:rsidP="000851FC">
      <w:pPr>
        <w:pStyle w:val="Textlist-bullet"/>
        <w:numPr>
          <w:ilvl w:val="0"/>
          <w:numId w:val="0"/>
        </w:numPr>
        <w:ind w:left="357" w:hanging="357"/>
      </w:pPr>
    </w:p>
    <w:p w14:paraId="79C40FC2" w14:textId="6268B5D6" w:rsidR="00DF67AA" w:rsidRDefault="009A0ED4" w:rsidP="00162D3F">
      <w:pPr>
        <w:pStyle w:val="Heading1Numbered"/>
      </w:pPr>
      <w:bookmarkStart w:id="34" w:name="_Toc139959753"/>
      <w:r w:rsidRPr="00DC7F16">
        <w:t>Version Control</w:t>
      </w:r>
      <w:bookmarkEnd w:id="34"/>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1D8AACAB" w14:textId="77777777" w:rsidTr="002D47FD">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0D193073" w14:textId="77777777" w:rsidR="00F30A5F" w:rsidRPr="005E08A1" w:rsidRDefault="00F30A5F" w:rsidP="002D47FD">
            <w:r w:rsidRPr="005E08A1">
              <w:t>Version</w:t>
            </w:r>
          </w:p>
        </w:tc>
        <w:tc>
          <w:tcPr>
            <w:tcW w:w="1826" w:type="dxa"/>
          </w:tcPr>
          <w:p w14:paraId="1A6474C3" w14:textId="77777777" w:rsidR="00F30A5F" w:rsidRPr="005E08A1" w:rsidRDefault="00F30A5F" w:rsidP="002D47FD">
            <w:r w:rsidRPr="005E08A1">
              <w:t>Version Date</w:t>
            </w:r>
          </w:p>
        </w:tc>
        <w:tc>
          <w:tcPr>
            <w:tcW w:w="3402" w:type="dxa"/>
          </w:tcPr>
          <w:p w14:paraId="1AE00D2C" w14:textId="77777777" w:rsidR="00F30A5F" w:rsidRPr="005E08A1" w:rsidRDefault="00F30A5F" w:rsidP="002D47FD">
            <w:r w:rsidRPr="005E08A1">
              <w:t xml:space="preserve">Revision Description / Summary of Changes </w:t>
            </w:r>
          </w:p>
        </w:tc>
        <w:tc>
          <w:tcPr>
            <w:tcW w:w="1559" w:type="dxa"/>
          </w:tcPr>
          <w:p w14:paraId="20660A88" w14:textId="77777777" w:rsidR="00F30A5F" w:rsidRPr="005E08A1" w:rsidRDefault="00F30A5F" w:rsidP="002D47FD">
            <w:r w:rsidRPr="005E08A1">
              <w:t>Author</w:t>
            </w:r>
          </w:p>
        </w:tc>
        <w:tc>
          <w:tcPr>
            <w:tcW w:w="1843" w:type="dxa"/>
          </w:tcPr>
          <w:p w14:paraId="05AECA11" w14:textId="77777777" w:rsidR="00F30A5F" w:rsidRPr="005E08A1" w:rsidRDefault="00F30A5F" w:rsidP="002D47FD">
            <w:r w:rsidRPr="005E08A1">
              <w:t>Next Review Date</w:t>
            </w:r>
          </w:p>
        </w:tc>
      </w:tr>
      <w:tr w:rsidR="00F30A5F" w:rsidRPr="004C3545" w14:paraId="6E61D842" w14:textId="77777777" w:rsidTr="002D47FD">
        <w:trPr>
          <w:trHeight w:val="407"/>
        </w:trPr>
        <w:tc>
          <w:tcPr>
            <w:tcW w:w="1146" w:type="dxa"/>
          </w:tcPr>
          <w:p w14:paraId="6C0EE254" w14:textId="6DCE8A86" w:rsidR="00F30A5F" w:rsidRDefault="00FF55F7" w:rsidP="002D47FD">
            <w:r>
              <w:t>2</w:t>
            </w:r>
            <w:r w:rsidR="00194778">
              <w:t>1</w:t>
            </w:r>
          </w:p>
        </w:tc>
        <w:tc>
          <w:tcPr>
            <w:tcW w:w="1826" w:type="dxa"/>
          </w:tcPr>
          <w:p w14:paraId="120D91ED" w14:textId="75C065AC" w:rsidR="00F30A5F" w:rsidRPr="004C3545" w:rsidRDefault="000851FC" w:rsidP="002D47FD">
            <w:r>
              <w:t>11</w:t>
            </w:r>
            <w:r w:rsidR="00194778">
              <w:t>/0</w:t>
            </w:r>
            <w:r>
              <w:t>7</w:t>
            </w:r>
            <w:r w:rsidR="00194778">
              <w:t>/2023</w:t>
            </w:r>
          </w:p>
        </w:tc>
        <w:tc>
          <w:tcPr>
            <w:tcW w:w="3402" w:type="dxa"/>
          </w:tcPr>
          <w:p w14:paraId="645559D6" w14:textId="3E01C10C" w:rsidR="000851FC" w:rsidRDefault="000851FC" w:rsidP="000851FC">
            <w:pPr>
              <w:spacing w:line="276" w:lineRule="auto"/>
            </w:pPr>
            <w:r>
              <w:t xml:space="preserve">Scheduled Review </w:t>
            </w:r>
          </w:p>
          <w:p w14:paraId="0E3D6B07" w14:textId="5C528215" w:rsidR="00F30A5F" w:rsidRDefault="000851FC" w:rsidP="000851FC">
            <w:pPr>
              <w:spacing w:line="276" w:lineRule="auto"/>
            </w:pPr>
            <w:r>
              <w:t>Transferred policy to new template</w:t>
            </w:r>
          </w:p>
          <w:p w14:paraId="37C41BA7" w14:textId="58F64400" w:rsidR="000851FC" w:rsidRDefault="000851FC" w:rsidP="000851FC">
            <w:pPr>
              <w:spacing w:line="276" w:lineRule="auto"/>
            </w:pPr>
            <w:r>
              <w:t>Removed reference to Scotland</w:t>
            </w:r>
          </w:p>
          <w:p w14:paraId="2D636CED" w14:textId="77777777" w:rsidR="000851FC" w:rsidRDefault="000851FC" w:rsidP="000851FC">
            <w:pPr>
              <w:spacing w:line="276" w:lineRule="auto"/>
            </w:pPr>
            <w:r>
              <w:t xml:space="preserve">Associated forms reformatted </w:t>
            </w:r>
          </w:p>
          <w:p w14:paraId="2DA3E9AC" w14:textId="2EDFCEFF" w:rsidR="000851FC" w:rsidRPr="004C3545" w:rsidRDefault="000851FC" w:rsidP="000851FC">
            <w:pPr>
              <w:spacing w:line="276" w:lineRule="auto"/>
            </w:pPr>
            <w:r>
              <w:t>CP002a/b/c</w:t>
            </w:r>
          </w:p>
        </w:tc>
        <w:tc>
          <w:tcPr>
            <w:tcW w:w="1559" w:type="dxa"/>
          </w:tcPr>
          <w:p w14:paraId="04482449" w14:textId="453F66C6" w:rsidR="00F30A5F" w:rsidRPr="004C3545" w:rsidRDefault="00194778" w:rsidP="002D47FD">
            <w:r>
              <w:t>MH</w:t>
            </w:r>
            <w:r w:rsidR="000851FC">
              <w:t>/DE/HP</w:t>
            </w:r>
          </w:p>
        </w:tc>
        <w:tc>
          <w:tcPr>
            <w:tcW w:w="1843" w:type="dxa"/>
          </w:tcPr>
          <w:p w14:paraId="5EA4ABDB" w14:textId="5F20C485" w:rsidR="00F30A5F" w:rsidRPr="004C3545" w:rsidRDefault="000851FC" w:rsidP="002D47FD">
            <w:r>
              <w:t>July 2025</w:t>
            </w:r>
          </w:p>
        </w:tc>
      </w:tr>
      <w:tr w:rsidR="00FF55F7" w:rsidRPr="004C3545" w14:paraId="781CD4DC" w14:textId="77777777" w:rsidTr="002D47FD">
        <w:trPr>
          <w:trHeight w:val="407"/>
        </w:trPr>
        <w:tc>
          <w:tcPr>
            <w:tcW w:w="1146" w:type="dxa"/>
          </w:tcPr>
          <w:p w14:paraId="1A9CF464" w14:textId="0DFAE923" w:rsidR="00FF55F7" w:rsidRDefault="00FF55F7" w:rsidP="002D47FD">
            <w:r>
              <w:t>22</w:t>
            </w:r>
          </w:p>
        </w:tc>
        <w:tc>
          <w:tcPr>
            <w:tcW w:w="1826" w:type="dxa"/>
          </w:tcPr>
          <w:p w14:paraId="125852C2" w14:textId="326DBCFB" w:rsidR="00FF55F7" w:rsidRDefault="00FF55F7" w:rsidP="002D47FD">
            <w:r>
              <w:t>November 2023</w:t>
            </w:r>
          </w:p>
        </w:tc>
        <w:tc>
          <w:tcPr>
            <w:tcW w:w="3402" w:type="dxa"/>
          </w:tcPr>
          <w:p w14:paraId="36F7C712" w14:textId="146F2D0A" w:rsidR="00FF55F7" w:rsidRDefault="00FF55F7" w:rsidP="00FF55F7">
            <w:pPr>
              <w:pStyle w:val="Text"/>
              <w:spacing w:line="276" w:lineRule="auto"/>
            </w:pPr>
            <w:r>
              <w:t xml:space="preserve">Inclusion in Section 7 - </w:t>
            </w:r>
            <w:r w:rsidRPr="00457EA4">
              <w:t>Process for obtaining evidence of Lasting Power of Attorney (POA / LPA)</w:t>
            </w:r>
            <w:r>
              <w:t xml:space="preserve"> following a review with GDPR lead and legal team </w:t>
            </w:r>
          </w:p>
          <w:p w14:paraId="616B9951" w14:textId="77777777" w:rsidR="00FF55F7" w:rsidRDefault="00FF55F7" w:rsidP="000851FC">
            <w:pPr>
              <w:spacing w:line="276" w:lineRule="auto"/>
            </w:pPr>
          </w:p>
        </w:tc>
        <w:tc>
          <w:tcPr>
            <w:tcW w:w="1559" w:type="dxa"/>
          </w:tcPr>
          <w:p w14:paraId="51F502DF" w14:textId="77777777" w:rsidR="00FF55F7" w:rsidRDefault="00FF55F7" w:rsidP="00FF55F7">
            <w:pPr>
              <w:spacing w:line="276" w:lineRule="auto"/>
            </w:pPr>
            <w:r>
              <w:t xml:space="preserve">Head of Standards and Policy </w:t>
            </w:r>
          </w:p>
          <w:p w14:paraId="77E5A525" w14:textId="75260942" w:rsidR="00FF55F7" w:rsidRDefault="00FF55F7" w:rsidP="00FF55F7">
            <w:pPr>
              <w:spacing w:line="276" w:lineRule="auto"/>
            </w:pPr>
          </w:p>
        </w:tc>
        <w:tc>
          <w:tcPr>
            <w:tcW w:w="1843" w:type="dxa"/>
          </w:tcPr>
          <w:p w14:paraId="3FFD6BC9" w14:textId="6CEF7B45" w:rsidR="00FF55F7" w:rsidRDefault="00FF55F7" w:rsidP="002D47FD">
            <w:r>
              <w:t>July 2025</w:t>
            </w:r>
          </w:p>
        </w:tc>
      </w:tr>
    </w:tbl>
    <w:p w14:paraId="0782A3B7" w14:textId="77777777" w:rsidR="002D47FD" w:rsidRPr="004C3545" w:rsidRDefault="002D47FD" w:rsidP="00265378">
      <w:pPr>
        <w:pStyle w:val="Text"/>
      </w:pPr>
    </w:p>
    <w:sectPr w:rsidR="002D47FD" w:rsidRPr="004C3545" w:rsidSect="00847753">
      <w:headerReference w:type="default" r:id="rId14"/>
      <w:footerReference w:type="default" r:id="rId15"/>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A5CB" w14:textId="77777777" w:rsidR="009027BF" w:rsidRDefault="009027BF" w:rsidP="001876E7">
      <w:pPr>
        <w:spacing w:line="240" w:lineRule="auto"/>
      </w:pPr>
      <w:r>
        <w:separator/>
      </w:r>
    </w:p>
  </w:endnote>
  <w:endnote w:type="continuationSeparator" w:id="0">
    <w:p w14:paraId="34EFCF35" w14:textId="77777777" w:rsidR="009027BF" w:rsidRDefault="009027BF"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67A9667" w14:textId="43BBEB8D" w:rsidR="00764B4C" w:rsidRPr="00764B4C" w:rsidRDefault="000851FC" w:rsidP="000851FC">
            <w:pPr>
              <w:pStyle w:val="FooterText"/>
              <w:tabs>
                <w:tab w:val="center" w:pos="4779"/>
                <w:tab w:val="left" w:pos="6348"/>
              </w:tabs>
              <w:jc w:val="left"/>
              <w:rPr>
                <w:rFonts w:cs="Arial"/>
                <w:spacing w:val="7"/>
              </w:rPr>
            </w:pPr>
            <w:r>
              <w:tab/>
            </w:r>
            <w:r>
              <w:tab/>
            </w:r>
          </w:p>
          <w:p w14:paraId="67815F3F" w14:textId="2B61BD9D" w:rsidR="003865D9" w:rsidRDefault="00FE308D" w:rsidP="00454821">
            <w:pPr>
              <w:pStyle w:val="FooterText"/>
              <w:tabs>
                <w:tab w:val="right" w:pos="9498"/>
              </w:tabs>
              <w:jc w:val="left"/>
            </w:pPr>
            <w:r>
              <w:t>CP002 Consent</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135C0" w14:textId="77777777" w:rsidR="009027BF" w:rsidRDefault="009027BF" w:rsidP="001876E7">
      <w:pPr>
        <w:spacing w:line="240" w:lineRule="auto"/>
      </w:pPr>
      <w:r>
        <w:separator/>
      </w:r>
    </w:p>
  </w:footnote>
  <w:footnote w:type="continuationSeparator" w:id="0">
    <w:p w14:paraId="237E84A7" w14:textId="77777777" w:rsidR="009027BF" w:rsidRDefault="009027BF"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0834" w14:textId="54D7C5E8"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3695"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583993"/>
    <w:multiLevelType w:val="hybridMultilevel"/>
    <w:tmpl w:val="0346F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EF67E2"/>
    <w:multiLevelType w:val="hybridMultilevel"/>
    <w:tmpl w:val="C23E4DC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D11A77"/>
    <w:multiLevelType w:val="multilevel"/>
    <w:tmpl w:val="2102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6F7EBC"/>
    <w:multiLevelType w:val="hybridMultilevel"/>
    <w:tmpl w:val="D4AC6304"/>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C96083C"/>
    <w:multiLevelType w:val="hybridMultilevel"/>
    <w:tmpl w:val="F688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9F7306"/>
    <w:multiLevelType w:val="multilevel"/>
    <w:tmpl w:val="DA2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65B6F"/>
    <w:multiLevelType w:val="multilevel"/>
    <w:tmpl w:val="0CB4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50B85F48"/>
    <w:multiLevelType w:val="hybridMultilevel"/>
    <w:tmpl w:val="E1ECB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A829C1"/>
    <w:multiLevelType w:val="multilevel"/>
    <w:tmpl w:val="D5803A06"/>
    <w:lvl w:ilvl="0">
      <w:start w:val="1"/>
      <w:numFmt w:val="decimal"/>
      <w:lvlText w:val="%1."/>
      <w:lvlJc w:val="left"/>
      <w:pPr>
        <w:ind w:left="720" w:hanging="360"/>
      </w:pPr>
      <w:rPr>
        <w:rFonts w:hint="default"/>
        <w:b/>
        <w:color w:val="auto"/>
      </w:rPr>
    </w:lvl>
    <w:lvl w:ilvl="1">
      <w:start w:val="1"/>
      <w:numFmt w:val="decimal"/>
      <w:pStyle w:val="NormalIndent"/>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B2F62C7"/>
    <w:multiLevelType w:val="multilevel"/>
    <w:tmpl w:val="95FC6DD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9361A6"/>
    <w:multiLevelType w:val="hybridMultilevel"/>
    <w:tmpl w:val="64E4FB6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651AF5"/>
    <w:multiLevelType w:val="multilevel"/>
    <w:tmpl w:val="B77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9141532">
    <w:abstractNumId w:val="4"/>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22"/>
  </w:num>
  <w:num w:numId="7" w16cid:durableId="139810974">
    <w:abstractNumId w:val="4"/>
  </w:num>
  <w:num w:numId="8" w16cid:durableId="478111977">
    <w:abstractNumId w:val="17"/>
  </w:num>
  <w:num w:numId="9" w16cid:durableId="672680783">
    <w:abstractNumId w:val="16"/>
  </w:num>
  <w:num w:numId="10" w16cid:durableId="582229400">
    <w:abstractNumId w:val="25"/>
  </w:num>
  <w:num w:numId="11" w16cid:durableId="1068845125">
    <w:abstractNumId w:val="19"/>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5"/>
  </w:num>
  <w:num w:numId="20" w16cid:durableId="1927031610">
    <w:abstractNumId w:val="5"/>
  </w:num>
  <w:num w:numId="21" w16cid:durableId="149368801">
    <w:abstractNumId w:val="9"/>
  </w:num>
  <w:num w:numId="22" w16cid:durableId="537015620">
    <w:abstractNumId w:val="26"/>
  </w:num>
  <w:num w:numId="23" w16cid:durableId="673651929">
    <w:abstractNumId w:val="24"/>
  </w:num>
  <w:num w:numId="24" w16cid:durableId="1700010823">
    <w:abstractNumId w:val="0"/>
  </w:num>
  <w:num w:numId="25" w16cid:durableId="629408136">
    <w:abstractNumId w:val="10"/>
  </w:num>
  <w:num w:numId="26" w16cid:durableId="162627137">
    <w:abstractNumId w:val="18"/>
  </w:num>
  <w:num w:numId="27" w16cid:durableId="918909864">
    <w:abstractNumId w:val="23"/>
  </w:num>
  <w:num w:numId="28" w16cid:durableId="1815365864">
    <w:abstractNumId w:val="11"/>
  </w:num>
  <w:num w:numId="29" w16cid:durableId="816070224">
    <w:abstractNumId w:val="12"/>
  </w:num>
  <w:num w:numId="30" w16cid:durableId="11340644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797356">
    <w:abstractNumId w:val="6"/>
  </w:num>
  <w:num w:numId="32" w16cid:durableId="1094519287">
    <w:abstractNumId w:val="14"/>
  </w:num>
  <w:num w:numId="33" w16cid:durableId="1495030507">
    <w:abstractNumId w:val="27"/>
  </w:num>
  <w:num w:numId="34" w16cid:durableId="353844094">
    <w:abstractNumId w:val="13"/>
  </w:num>
  <w:num w:numId="35" w16cid:durableId="1481265688">
    <w:abstractNumId w:val="7"/>
  </w:num>
  <w:num w:numId="36" w16cid:durableId="1986856599">
    <w:abstractNumId w:val="21"/>
  </w:num>
  <w:num w:numId="37" w16cid:durableId="108464574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10148"/>
    <w:rsid w:val="00011E5A"/>
    <w:rsid w:val="0002533A"/>
    <w:rsid w:val="000553E0"/>
    <w:rsid w:val="000646E5"/>
    <w:rsid w:val="00070650"/>
    <w:rsid w:val="000771AD"/>
    <w:rsid w:val="000851FC"/>
    <w:rsid w:val="000C7997"/>
    <w:rsid w:val="000D41D5"/>
    <w:rsid w:val="000F25D4"/>
    <w:rsid w:val="000F64C5"/>
    <w:rsid w:val="00107B46"/>
    <w:rsid w:val="001248CF"/>
    <w:rsid w:val="001310BB"/>
    <w:rsid w:val="0013340B"/>
    <w:rsid w:val="00147C3B"/>
    <w:rsid w:val="00162D3F"/>
    <w:rsid w:val="0017380B"/>
    <w:rsid w:val="001876E7"/>
    <w:rsid w:val="00194778"/>
    <w:rsid w:val="00194A22"/>
    <w:rsid w:val="001B5C40"/>
    <w:rsid w:val="001E4229"/>
    <w:rsid w:val="00211DB5"/>
    <w:rsid w:val="00247E69"/>
    <w:rsid w:val="002543A7"/>
    <w:rsid w:val="00261059"/>
    <w:rsid w:val="00263D11"/>
    <w:rsid w:val="00265378"/>
    <w:rsid w:val="00273C90"/>
    <w:rsid w:val="00276188"/>
    <w:rsid w:val="00276732"/>
    <w:rsid w:val="002A538B"/>
    <w:rsid w:val="002B5CDA"/>
    <w:rsid w:val="002C0EC0"/>
    <w:rsid w:val="002D47FD"/>
    <w:rsid w:val="002F387E"/>
    <w:rsid w:val="00302641"/>
    <w:rsid w:val="00322ED2"/>
    <w:rsid w:val="003256F1"/>
    <w:rsid w:val="003266FD"/>
    <w:rsid w:val="00345825"/>
    <w:rsid w:val="003510EE"/>
    <w:rsid w:val="003865D9"/>
    <w:rsid w:val="00386B5D"/>
    <w:rsid w:val="0038720A"/>
    <w:rsid w:val="003B2431"/>
    <w:rsid w:val="003C04D5"/>
    <w:rsid w:val="003C59CC"/>
    <w:rsid w:val="003F52EA"/>
    <w:rsid w:val="0040330F"/>
    <w:rsid w:val="0042795E"/>
    <w:rsid w:val="0043268D"/>
    <w:rsid w:val="004428C9"/>
    <w:rsid w:val="00451A46"/>
    <w:rsid w:val="00454821"/>
    <w:rsid w:val="0045562B"/>
    <w:rsid w:val="00471203"/>
    <w:rsid w:val="004726A7"/>
    <w:rsid w:val="00475DB6"/>
    <w:rsid w:val="00480B30"/>
    <w:rsid w:val="004924CF"/>
    <w:rsid w:val="004A48AB"/>
    <w:rsid w:val="004A5F05"/>
    <w:rsid w:val="004B36CD"/>
    <w:rsid w:val="004C3545"/>
    <w:rsid w:val="00507AF2"/>
    <w:rsid w:val="00512916"/>
    <w:rsid w:val="0051530E"/>
    <w:rsid w:val="0052519E"/>
    <w:rsid w:val="005518A9"/>
    <w:rsid w:val="005711B3"/>
    <w:rsid w:val="00572560"/>
    <w:rsid w:val="00577484"/>
    <w:rsid w:val="005843F9"/>
    <w:rsid w:val="005853B8"/>
    <w:rsid w:val="0059266A"/>
    <w:rsid w:val="005A508B"/>
    <w:rsid w:val="005D0374"/>
    <w:rsid w:val="005D445F"/>
    <w:rsid w:val="005D62C0"/>
    <w:rsid w:val="005D7A1A"/>
    <w:rsid w:val="005E08A1"/>
    <w:rsid w:val="00610B2B"/>
    <w:rsid w:val="0063081A"/>
    <w:rsid w:val="0063326C"/>
    <w:rsid w:val="006423BB"/>
    <w:rsid w:val="0066591C"/>
    <w:rsid w:val="00667C4A"/>
    <w:rsid w:val="006A1ADF"/>
    <w:rsid w:val="006B0609"/>
    <w:rsid w:val="006B4F33"/>
    <w:rsid w:val="00707E23"/>
    <w:rsid w:val="00717A8D"/>
    <w:rsid w:val="00723627"/>
    <w:rsid w:val="007256EF"/>
    <w:rsid w:val="00730CA5"/>
    <w:rsid w:val="00744A83"/>
    <w:rsid w:val="007539BA"/>
    <w:rsid w:val="00764B4C"/>
    <w:rsid w:val="00776701"/>
    <w:rsid w:val="0078642D"/>
    <w:rsid w:val="00790142"/>
    <w:rsid w:val="007B2919"/>
    <w:rsid w:val="007C2DAF"/>
    <w:rsid w:val="007E1123"/>
    <w:rsid w:val="007E5B94"/>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27BF"/>
    <w:rsid w:val="00903AA2"/>
    <w:rsid w:val="009050C4"/>
    <w:rsid w:val="00914FC1"/>
    <w:rsid w:val="00921168"/>
    <w:rsid w:val="00922DB3"/>
    <w:rsid w:val="00947D46"/>
    <w:rsid w:val="009655E2"/>
    <w:rsid w:val="00966903"/>
    <w:rsid w:val="00973E48"/>
    <w:rsid w:val="00987C13"/>
    <w:rsid w:val="009A0ED4"/>
    <w:rsid w:val="009C5D5F"/>
    <w:rsid w:val="009E3487"/>
    <w:rsid w:val="00A07225"/>
    <w:rsid w:val="00A17E0E"/>
    <w:rsid w:val="00A24DA1"/>
    <w:rsid w:val="00A324F5"/>
    <w:rsid w:val="00A34D37"/>
    <w:rsid w:val="00A36714"/>
    <w:rsid w:val="00A43329"/>
    <w:rsid w:val="00A52F66"/>
    <w:rsid w:val="00A61E40"/>
    <w:rsid w:val="00A70245"/>
    <w:rsid w:val="00A92CD7"/>
    <w:rsid w:val="00A957C1"/>
    <w:rsid w:val="00AA0D99"/>
    <w:rsid w:val="00AB4A71"/>
    <w:rsid w:val="00AB5A9C"/>
    <w:rsid w:val="00AD5FD5"/>
    <w:rsid w:val="00AE5E04"/>
    <w:rsid w:val="00AE73CD"/>
    <w:rsid w:val="00AF1001"/>
    <w:rsid w:val="00B148E6"/>
    <w:rsid w:val="00B148FF"/>
    <w:rsid w:val="00B22399"/>
    <w:rsid w:val="00B2494E"/>
    <w:rsid w:val="00B275B1"/>
    <w:rsid w:val="00B3634C"/>
    <w:rsid w:val="00B409EC"/>
    <w:rsid w:val="00B46F84"/>
    <w:rsid w:val="00B56F75"/>
    <w:rsid w:val="00B8132B"/>
    <w:rsid w:val="00B935D9"/>
    <w:rsid w:val="00BA22C2"/>
    <w:rsid w:val="00BB0BCE"/>
    <w:rsid w:val="00C05EFA"/>
    <w:rsid w:val="00C108E0"/>
    <w:rsid w:val="00C114D1"/>
    <w:rsid w:val="00C143CB"/>
    <w:rsid w:val="00C20301"/>
    <w:rsid w:val="00C26C7B"/>
    <w:rsid w:val="00C41ACB"/>
    <w:rsid w:val="00C44824"/>
    <w:rsid w:val="00C7086F"/>
    <w:rsid w:val="00C73654"/>
    <w:rsid w:val="00C81C94"/>
    <w:rsid w:val="00C93C14"/>
    <w:rsid w:val="00CB1B8E"/>
    <w:rsid w:val="00CB43C5"/>
    <w:rsid w:val="00CB6415"/>
    <w:rsid w:val="00CD5DBF"/>
    <w:rsid w:val="00CF0899"/>
    <w:rsid w:val="00CF6C46"/>
    <w:rsid w:val="00CF7537"/>
    <w:rsid w:val="00D10E87"/>
    <w:rsid w:val="00D232C1"/>
    <w:rsid w:val="00D300F5"/>
    <w:rsid w:val="00D4040D"/>
    <w:rsid w:val="00D558F5"/>
    <w:rsid w:val="00D77D91"/>
    <w:rsid w:val="00D8768A"/>
    <w:rsid w:val="00DB2058"/>
    <w:rsid w:val="00DB24AA"/>
    <w:rsid w:val="00DC7F16"/>
    <w:rsid w:val="00DF26D9"/>
    <w:rsid w:val="00DF67AA"/>
    <w:rsid w:val="00E04B72"/>
    <w:rsid w:val="00E06E01"/>
    <w:rsid w:val="00E3506D"/>
    <w:rsid w:val="00E365D6"/>
    <w:rsid w:val="00E40653"/>
    <w:rsid w:val="00E561CE"/>
    <w:rsid w:val="00E62DDC"/>
    <w:rsid w:val="00E755AD"/>
    <w:rsid w:val="00E75D27"/>
    <w:rsid w:val="00E86F23"/>
    <w:rsid w:val="00E87F15"/>
    <w:rsid w:val="00EB4016"/>
    <w:rsid w:val="00EC4F61"/>
    <w:rsid w:val="00ED047B"/>
    <w:rsid w:val="00ED7DB5"/>
    <w:rsid w:val="00EE7121"/>
    <w:rsid w:val="00EF3699"/>
    <w:rsid w:val="00EF60A6"/>
    <w:rsid w:val="00F22D39"/>
    <w:rsid w:val="00F30A5F"/>
    <w:rsid w:val="00F44734"/>
    <w:rsid w:val="00F81235"/>
    <w:rsid w:val="00F9138C"/>
    <w:rsid w:val="00F91DD0"/>
    <w:rsid w:val="00FA1162"/>
    <w:rsid w:val="00FB5C56"/>
    <w:rsid w:val="00FD7F1E"/>
    <w:rsid w:val="00FE308D"/>
    <w:rsid w:val="00FF55F7"/>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40330F"/>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styleId="NormalWeb">
    <w:name w:val="Normal (Web)"/>
    <w:basedOn w:val="Normal"/>
    <w:uiPriority w:val="99"/>
    <w:semiHidden/>
    <w:unhideWhenUsed/>
    <w:rsid w:val="00CF0899"/>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Default">
    <w:name w:val="Default"/>
    <w:rsid w:val="007E5B94"/>
    <w:pPr>
      <w:autoSpaceDE w:val="0"/>
      <w:autoSpaceDN w:val="0"/>
      <w:adjustRightInd w:val="0"/>
      <w:spacing w:line="240" w:lineRule="auto"/>
    </w:pPr>
    <w:rPr>
      <w:rFonts w:ascii="Arial" w:hAnsi="Arial" w:cs="Arial"/>
      <w:color w:val="000000"/>
    </w:rPr>
  </w:style>
  <w:style w:type="paragraph" w:customStyle="1" w:styleId="P-Normal">
    <w:name w:val="P-Normal"/>
    <w:basedOn w:val="Normal"/>
    <w:qFormat/>
    <w:rsid w:val="00CB1B8E"/>
    <w:pPr>
      <w:spacing w:after="240" w:line="276" w:lineRule="auto"/>
      <w:jc w:val="both"/>
    </w:pPr>
    <w:rPr>
      <w:rFonts w:eastAsia="Times New Roman" w:cs="Times New Roman"/>
      <w:sz w:val="22"/>
      <w:szCs w:val="22"/>
      <w:lang w:eastAsia="en-GB"/>
    </w:rPr>
  </w:style>
  <w:style w:type="paragraph" w:styleId="Revision">
    <w:name w:val="Revision"/>
    <w:hidden/>
    <w:uiPriority w:val="99"/>
    <w:semiHidden/>
    <w:rsid w:val="00B3634C"/>
    <w:pPr>
      <w:spacing w:line="240" w:lineRule="auto"/>
    </w:pPr>
    <w:rPr>
      <w:rFonts w:ascii="Arial" w:hAnsi="Arial"/>
    </w:rPr>
  </w:style>
  <w:style w:type="paragraph" w:styleId="NormalIndent">
    <w:name w:val="Normal Indent"/>
    <w:aliases w:val="Contents List"/>
    <w:basedOn w:val="TOC1"/>
    <w:autoRedefine/>
    <w:uiPriority w:val="99"/>
    <w:qFormat/>
    <w:rsid w:val="00FF55F7"/>
    <w:pPr>
      <w:numPr>
        <w:ilvl w:val="1"/>
        <w:numId w:val="37"/>
      </w:numPr>
      <w:tabs>
        <w:tab w:val="clear" w:pos="993"/>
        <w:tab w:val="clear" w:pos="9549"/>
        <w:tab w:val="num" w:pos="360"/>
      </w:tabs>
      <w:spacing w:line="252" w:lineRule="auto"/>
      <w:ind w:left="0" w:firstLine="0"/>
      <w:jc w:val="both"/>
    </w:pPr>
    <w:rPr>
      <w:rFonts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4681">
      <w:bodyDiv w:val="1"/>
      <w:marLeft w:val="0"/>
      <w:marRight w:val="0"/>
      <w:marTop w:val="0"/>
      <w:marBottom w:val="0"/>
      <w:divBdr>
        <w:top w:val="none" w:sz="0" w:space="0" w:color="auto"/>
        <w:left w:val="none" w:sz="0" w:space="0" w:color="auto"/>
        <w:bottom w:val="none" w:sz="0" w:space="0" w:color="auto"/>
        <w:right w:val="none" w:sz="0" w:space="0" w:color="auto"/>
      </w:divBdr>
    </w:div>
    <w:div w:id="1138454121">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049">
      <w:bodyDiv w:val="1"/>
      <w:marLeft w:val="0"/>
      <w:marRight w:val="0"/>
      <w:marTop w:val="0"/>
      <w:marBottom w:val="0"/>
      <w:divBdr>
        <w:top w:val="none" w:sz="0" w:space="0" w:color="auto"/>
        <w:left w:val="none" w:sz="0" w:space="0" w:color="auto"/>
        <w:bottom w:val="none" w:sz="0" w:space="0" w:color="auto"/>
        <w:right w:val="none" w:sz="0" w:space="0" w:color="auto"/>
      </w:divBdr>
    </w:div>
    <w:div w:id="19177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publications/mental-capacity-act-code-of-practice"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wales/sites/default/files/publications/2019-04/guidance-for-providers-and-responsible-individual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qc.org.uk/guidance-providers/regulations-enforcement/regulation-11-need-consen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olicies@mha.org.uk"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gov.uk/government/publications/search-public-guardian-register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B795D173-36AB-45D7-94F2-42338F7A045B}"/>
</file>

<file path=customXml/itemProps3.xml><?xml version="1.0" encoding="utf-8"?>
<ds:datastoreItem xmlns:ds="http://schemas.openxmlformats.org/officeDocument/2006/customXml" ds:itemID="{75607CB2-57F9-43EB-8F20-2C7C8CEA55C4}"/>
</file>

<file path=customXml/itemProps4.xml><?xml version="1.0" encoding="utf-8"?>
<ds:datastoreItem xmlns:ds="http://schemas.openxmlformats.org/officeDocument/2006/customXml" ds:itemID="{3A6BB258-48E7-47F9-93DD-E11E0A2E7B87}"/>
</file>

<file path=docProps/app.xml><?xml version="1.0" encoding="utf-8"?>
<Properties xmlns="http://schemas.openxmlformats.org/officeDocument/2006/extended-properties" xmlns:vt="http://schemas.openxmlformats.org/officeDocument/2006/docPropsVTypes">
  <Template>Normal</Template>
  <TotalTime>7</TotalTime>
  <Pages>12</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2023-11-03T14:43:00Z</dcterms:created>
  <dcterms:modified xsi:type="dcterms:W3CDTF">2023-11-03T14:50:00Z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