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8322" w14:textId="77777777" w:rsidR="00DF67AA" w:rsidRDefault="00DF67AA" w:rsidP="00903AA2">
      <w:pPr>
        <w:rPr>
          <w:spacing w:val="10"/>
        </w:rPr>
      </w:pPr>
    </w:p>
    <w:p w14:paraId="748B8D4F" w14:textId="77777777" w:rsidR="00DF67AA" w:rsidRDefault="00DF67AA" w:rsidP="00903AA2">
      <w:pPr>
        <w:rPr>
          <w:spacing w:val="10"/>
        </w:rPr>
      </w:pPr>
    </w:p>
    <w:p w14:paraId="28B9075D" w14:textId="77777777" w:rsidR="00FA1162" w:rsidRDefault="00FA1162" w:rsidP="00903AA2">
      <w:pPr>
        <w:rPr>
          <w:spacing w:val="10"/>
        </w:rPr>
      </w:pPr>
    </w:p>
    <w:p w14:paraId="5D5C3168" w14:textId="77777777" w:rsidR="00DF67AA" w:rsidRDefault="00306ED7" w:rsidP="00FA1162">
      <w:pPr>
        <w:rPr>
          <w:spacing w:val="10"/>
        </w:rPr>
      </w:pPr>
      <w:r w:rsidRPr="0063326C">
        <w:rPr>
          <w:noProof/>
          <w:spacing w:val="10"/>
        </w:rPr>
        <mc:AlternateContent>
          <mc:Choice Requires="wps">
            <w:drawing>
              <wp:inline distT="0" distB="0" distL="0" distR="0" wp14:anchorId="73B5D99A" wp14:editId="2269CFE6">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5CCF1BEC" w14:textId="23D9CCAE" w:rsidR="00306ED7" w:rsidRPr="00847753" w:rsidRDefault="00223C37" w:rsidP="00306ED7">
                            <w:pPr>
                              <w:pStyle w:val="PolicyTitle"/>
                            </w:pPr>
                            <w:r>
                              <w:t>Petty Cash</w:t>
                            </w:r>
                            <w:r w:rsidR="00306ED7">
                              <w:t xml:space="preserve"> Policy and Procedure</w:t>
                            </w:r>
                          </w:p>
                          <w:p w14:paraId="106F023B" w14:textId="14E2A9DB" w:rsidR="00306ED7" w:rsidRPr="00847753" w:rsidRDefault="00223C37" w:rsidP="00306ED7">
                            <w:pPr>
                              <w:pStyle w:val="PolicyCode"/>
                            </w:pPr>
                            <w:r>
                              <w:t>FP102 Finance</w:t>
                            </w:r>
                            <w:r w:rsidR="00306ED7">
                              <w:t xml:space="preserve"> Policies</w:t>
                            </w:r>
                          </w:p>
                          <w:p w14:paraId="0DB54E94" w14:textId="546CB8E0" w:rsidR="00306ED7" w:rsidRPr="00847753" w:rsidRDefault="00007A39" w:rsidP="00306ED7">
                            <w:pPr>
                              <w:pStyle w:val="PolicyDate"/>
                            </w:pPr>
                            <w:r>
                              <w:t>April</w:t>
                            </w:r>
                            <w:r w:rsidR="00187922">
                              <w:t xml:space="preserve"> 2024</w:t>
                            </w:r>
                          </w:p>
                        </w:txbxContent>
                      </wps:txbx>
                      <wps:bodyPr rot="0" vert="horz" wrap="square" lIns="91440" tIns="45720" rIns="91440" bIns="45720" anchor="t" anchorCtr="0">
                        <a:spAutoFit/>
                      </wps:bodyPr>
                    </wps:wsp>
                  </a:graphicData>
                </a:graphic>
              </wp:inline>
            </w:drawing>
          </mc:Choice>
          <mc:Fallback>
            <w:pict>
              <v:shapetype w14:anchorId="73B5D99A"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5CCF1BEC" w14:textId="23D9CCAE" w:rsidR="00306ED7" w:rsidRPr="00847753" w:rsidRDefault="00223C37" w:rsidP="00306ED7">
                      <w:pPr>
                        <w:pStyle w:val="PolicyTitle"/>
                      </w:pPr>
                      <w:r>
                        <w:t>Petty Cash</w:t>
                      </w:r>
                      <w:r w:rsidR="00306ED7">
                        <w:t xml:space="preserve"> Policy and Procedure</w:t>
                      </w:r>
                    </w:p>
                    <w:p w14:paraId="106F023B" w14:textId="14E2A9DB" w:rsidR="00306ED7" w:rsidRPr="00847753" w:rsidRDefault="00223C37" w:rsidP="00306ED7">
                      <w:pPr>
                        <w:pStyle w:val="PolicyCode"/>
                      </w:pPr>
                      <w:r>
                        <w:t>FP102 Finance</w:t>
                      </w:r>
                      <w:r w:rsidR="00306ED7">
                        <w:t xml:space="preserve"> Policies</w:t>
                      </w:r>
                    </w:p>
                    <w:p w14:paraId="0DB54E94" w14:textId="546CB8E0" w:rsidR="00306ED7" w:rsidRPr="00847753" w:rsidRDefault="00007A39" w:rsidP="00306ED7">
                      <w:pPr>
                        <w:pStyle w:val="PolicyDate"/>
                      </w:pPr>
                      <w:r>
                        <w:t>April</w:t>
                      </w:r>
                      <w:r w:rsidR="00187922">
                        <w:t xml:space="preserve"> 2024</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50597435" wp14:editId="12CC044D">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34E04C95" w14:textId="77777777" w:rsidR="00DF67AA" w:rsidRDefault="00471203" w:rsidP="00070650">
          <w:pPr>
            <w:rPr>
              <w:rFonts w:cs="Arial"/>
              <w:b/>
              <w:bCs/>
              <w:sz w:val="28"/>
              <w:szCs w:val="28"/>
            </w:rPr>
          </w:pPr>
          <w:r w:rsidRPr="00070650">
            <w:rPr>
              <w:rFonts w:cs="Arial"/>
              <w:b/>
              <w:bCs/>
              <w:sz w:val="28"/>
              <w:szCs w:val="28"/>
            </w:rPr>
            <w:t>Contents</w:t>
          </w:r>
        </w:p>
        <w:p w14:paraId="6766C9F3" w14:textId="44218959" w:rsidR="00347752"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1653936" w:history="1">
            <w:r w:rsidR="00347752" w:rsidRPr="007E18AC">
              <w:rPr>
                <w:rStyle w:val="Hyperlink"/>
              </w:rPr>
              <w:t>1</w:t>
            </w:r>
            <w:r w:rsidR="00347752">
              <w:rPr>
                <w:rFonts w:asciiTheme="minorHAnsi" w:eastAsiaTheme="minorEastAsia" w:hAnsiTheme="minorHAnsi"/>
                <w:kern w:val="2"/>
                <w:lang w:eastAsia="en-GB"/>
                <w14:ligatures w14:val="standardContextual"/>
              </w:rPr>
              <w:tab/>
            </w:r>
            <w:r w:rsidR="00347752" w:rsidRPr="007E18AC">
              <w:rPr>
                <w:rStyle w:val="Hyperlink"/>
              </w:rPr>
              <w:t>Introduction</w:t>
            </w:r>
            <w:r w:rsidR="00347752">
              <w:rPr>
                <w:webHidden/>
              </w:rPr>
              <w:tab/>
            </w:r>
            <w:r w:rsidR="00347752">
              <w:rPr>
                <w:webHidden/>
              </w:rPr>
              <w:fldChar w:fldCharType="begin"/>
            </w:r>
            <w:r w:rsidR="00347752">
              <w:rPr>
                <w:webHidden/>
              </w:rPr>
              <w:instrText xml:space="preserve"> PAGEREF _Toc161653936 \h </w:instrText>
            </w:r>
            <w:r w:rsidR="00347752">
              <w:rPr>
                <w:webHidden/>
              </w:rPr>
            </w:r>
            <w:r w:rsidR="00347752">
              <w:rPr>
                <w:webHidden/>
              </w:rPr>
              <w:fldChar w:fldCharType="separate"/>
            </w:r>
            <w:r w:rsidR="00007A39">
              <w:rPr>
                <w:webHidden/>
              </w:rPr>
              <w:t>2</w:t>
            </w:r>
            <w:r w:rsidR="00347752">
              <w:rPr>
                <w:webHidden/>
              </w:rPr>
              <w:fldChar w:fldCharType="end"/>
            </w:r>
          </w:hyperlink>
        </w:p>
        <w:p w14:paraId="6D5E6690" w14:textId="7A9E4781" w:rsidR="00347752" w:rsidRDefault="002718F0">
          <w:pPr>
            <w:pStyle w:val="TOC1"/>
            <w:rPr>
              <w:rFonts w:asciiTheme="minorHAnsi" w:eastAsiaTheme="minorEastAsia" w:hAnsiTheme="minorHAnsi"/>
              <w:kern w:val="2"/>
              <w:lang w:eastAsia="en-GB"/>
              <w14:ligatures w14:val="standardContextual"/>
            </w:rPr>
          </w:pPr>
          <w:hyperlink w:anchor="_Toc161653937" w:history="1">
            <w:r w:rsidR="00347752" w:rsidRPr="007E18AC">
              <w:rPr>
                <w:rStyle w:val="Hyperlink"/>
              </w:rPr>
              <w:t>2</w:t>
            </w:r>
            <w:r w:rsidR="00347752">
              <w:rPr>
                <w:rFonts w:asciiTheme="minorHAnsi" w:eastAsiaTheme="minorEastAsia" w:hAnsiTheme="minorHAnsi"/>
                <w:kern w:val="2"/>
                <w:lang w:eastAsia="en-GB"/>
                <w14:ligatures w14:val="standardContextual"/>
              </w:rPr>
              <w:tab/>
            </w:r>
            <w:r w:rsidR="00347752" w:rsidRPr="007E18AC">
              <w:rPr>
                <w:rStyle w:val="Hyperlink"/>
              </w:rPr>
              <w:t>Scope and Purpose</w:t>
            </w:r>
            <w:r w:rsidR="00347752">
              <w:rPr>
                <w:webHidden/>
              </w:rPr>
              <w:tab/>
            </w:r>
            <w:r w:rsidR="00347752">
              <w:rPr>
                <w:webHidden/>
              </w:rPr>
              <w:fldChar w:fldCharType="begin"/>
            </w:r>
            <w:r w:rsidR="00347752">
              <w:rPr>
                <w:webHidden/>
              </w:rPr>
              <w:instrText xml:space="preserve"> PAGEREF _Toc161653937 \h </w:instrText>
            </w:r>
            <w:r w:rsidR="00347752">
              <w:rPr>
                <w:webHidden/>
              </w:rPr>
            </w:r>
            <w:r w:rsidR="00347752">
              <w:rPr>
                <w:webHidden/>
              </w:rPr>
              <w:fldChar w:fldCharType="separate"/>
            </w:r>
            <w:r w:rsidR="00007A39">
              <w:rPr>
                <w:webHidden/>
              </w:rPr>
              <w:t>2</w:t>
            </w:r>
            <w:r w:rsidR="00347752">
              <w:rPr>
                <w:webHidden/>
              </w:rPr>
              <w:fldChar w:fldCharType="end"/>
            </w:r>
          </w:hyperlink>
        </w:p>
        <w:p w14:paraId="599182BE" w14:textId="2815FC2C" w:rsidR="00347752" w:rsidRDefault="002718F0">
          <w:pPr>
            <w:pStyle w:val="TOC1"/>
            <w:rPr>
              <w:rFonts w:asciiTheme="minorHAnsi" w:eastAsiaTheme="minorEastAsia" w:hAnsiTheme="minorHAnsi"/>
              <w:kern w:val="2"/>
              <w:lang w:eastAsia="en-GB"/>
              <w14:ligatures w14:val="standardContextual"/>
            </w:rPr>
          </w:pPr>
          <w:hyperlink w:anchor="_Toc161653938" w:history="1">
            <w:r w:rsidR="00347752" w:rsidRPr="007E18AC">
              <w:rPr>
                <w:rStyle w:val="Hyperlink"/>
              </w:rPr>
              <w:t>3</w:t>
            </w:r>
            <w:r w:rsidR="00347752">
              <w:rPr>
                <w:rFonts w:asciiTheme="minorHAnsi" w:eastAsiaTheme="minorEastAsia" w:hAnsiTheme="minorHAnsi"/>
                <w:kern w:val="2"/>
                <w:lang w:eastAsia="en-GB"/>
                <w14:ligatures w14:val="standardContextual"/>
              </w:rPr>
              <w:tab/>
            </w:r>
            <w:r w:rsidR="00347752" w:rsidRPr="007E18AC">
              <w:rPr>
                <w:rStyle w:val="Hyperlink"/>
              </w:rPr>
              <w:t>Definitions</w:t>
            </w:r>
            <w:r w:rsidR="00347752">
              <w:rPr>
                <w:webHidden/>
              </w:rPr>
              <w:tab/>
            </w:r>
            <w:r w:rsidR="00347752">
              <w:rPr>
                <w:webHidden/>
              </w:rPr>
              <w:fldChar w:fldCharType="begin"/>
            </w:r>
            <w:r w:rsidR="00347752">
              <w:rPr>
                <w:webHidden/>
              </w:rPr>
              <w:instrText xml:space="preserve"> PAGEREF _Toc161653938 \h </w:instrText>
            </w:r>
            <w:r w:rsidR="00347752">
              <w:rPr>
                <w:webHidden/>
              </w:rPr>
            </w:r>
            <w:r w:rsidR="00347752">
              <w:rPr>
                <w:webHidden/>
              </w:rPr>
              <w:fldChar w:fldCharType="separate"/>
            </w:r>
            <w:r w:rsidR="00007A39">
              <w:rPr>
                <w:webHidden/>
              </w:rPr>
              <w:t>2</w:t>
            </w:r>
            <w:r w:rsidR="00347752">
              <w:rPr>
                <w:webHidden/>
              </w:rPr>
              <w:fldChar w:fldCharType="end"/>
            </w:r>
          </w:hyperlink>
        </w:p>
        <w:p w14:paraId="3E51AA89" w14:textId="05F62BD2" w:rsidR="00347752" w:rsidRDefault="002718F0">
          <w:pPr>
            <w:pStyle w:val="TOC1"/>
            <w:rPr>
              <w:rFonts w:asciiTheme="minorHAnsi" w:eastAsiaTheme="minorEastAsia" w:hAnsiTheme="minorHAnsi"/>
              <w:kern w:val="2"/>
              <w:lang w:eastAsia="en-GB"/>
              <w14:ligatures w14:val="standardContextual"/>
            </w:rPr>
          </w:pPr>
          <w:hyperlink w:anchor="_Toc161653939" w:history="1">
            <w:r w:rsidR="00347752" w:rsidRPr="007E18AC">
              <w:rPr>
                <w:rStyle w:val="Hyperlink"/>
              </w:rPr>
              <w:t>4</w:t>
            </w:r>
            <w:r w:rsidR="00347752">
              <w:rPr>
                <w:rFonts w:asciiTheme="minorHAnsi" w:eastAsiaTheme="minorEastAsia" w:hAnsiTheme="minorHAnsi"/>
                <w:kern w:val="2"/>
                <w:lang w:eastAsia="en-GB"/>
                <w14:ligatures w14:val="standardContextual"/>
              </w:rPr>
              <w:tab/>
            </w:r>
            <w:r w:rsidR="00347752" w:rsidRPr="007E18AC">
              <w:rPr>
                <w:rStyle w:val="Hyperlink"/>
              </w:rPr>
              <w:t>Insurance</w:t>
            </w:r>
            <w:r w:rsidR="00347752">
              <w:rPr>
                <w:webHidden/>
              </w:rPr>
              <w:tab/>
            </w:r>
            <w:r w:rsidR="00347752">
              <w:rPr>
                <w:webHidden/>
              </w:rPr>
              <w:fldChar w:fldCharType="begin"/>
            </w:r>
            <w:r w:rsidR="00347752">
              <w:rPr>
                <w:webHidden/>
              </w:rPr>
              <w:instrText xml:space="preserve"> PAGEREF _Toc161653939 \h </w:instrText>
            </w:r>
            <w:r w:rsidR="00347752">
              <w:rPr>
                <w:webHidden/>
              </w:rPr>
            </w:r>
            <w:r w:rsidR="00347752">
              <w:rPr>
                <w:webHidden/>
              </w:rPr>
              <w:fldChar w:fldCharType="separate"/>
            </w:r>
            <w:r w:rsidR="00007A39">
              <w:rPr>
                <w:webHidden/>
              </w:rPr>
              <w:t>2</w:t>
            </w:r>
            <w:r w:rsidR="00347752">
              <w:rPr>
                <w:webHidden/>
              </w:rPr>
              <w:fldChar w:fldCharType="end"/>
            </w:r>
          </w:hyperlink>
        </w:p>
        <w:p w14:paraId="5E0818BE" w14:textId="7526D176" w:rsidR="00347752" w:rsidRDefault="002718F0">
          <w:pPr>
            <w:pStyle w:val="TOC1"/>
            <w:rPr>
              <w:rFonts w:asciiTheme="minorHAnsi" w:eastAsiaTheme="minorEastAsia" w:hAnsiTheme="minorHAnsi"/>
              <w:kern w:val="2"/>
              <w:lang w:eastAsia="en-GB"/>
              <w14:ligatures w14:val="standardContextual"/>
            </w:rPr>
          </w:pPr>
          <w:hyperlink w:anchor="_Toc161653940" w:history="1">
            <w:r w:rsidR="00347752" w:rsidRPr="007E18AC">
              <w:rPr>
                <w:rStyle w:val="Hyperlink"/>
              </w:rPr>
              <w:t>5</w:t>
            </w:r>
            <w:r w:rsidR="00347752">
              <w:rPr>
                <w:rFonts w:asciiTheme="minorHAnsi" w:eastAsiaTheme="minorEastAsia" w:hAnsiTheme="minorHAnsi"/>
                <w:kern w:val="2"/>
                <w:lang w:eastAsia="en-GB"/>
                <w14:ligatures w14:val="standardContextual"/>
              </w:rPr>
              <w:tab/>
            </w:r>
            <w:r w:rsidR="00347752" w:rsidRPr="007E18AC">
              <w:rPr>
                <w:rStyle w:val="Hyperlink"/>
              </w:rPr>
              <w:t>Petty Cash Floats</w:t>
            </w:r>
            <w:r w:rsidR="00347752">
              <w:rPr>
                <w:webHidden/>
              </w:rPr>
              <w:tab/>
            </w:r>
            <w:r w:rsidR="00347752">
              <w:rPr>
                <w:webHidden/>
              </w:rPr>
              <w:fldChar w:fldCharType="begin"/>
            </w:r>
            <w:r w:rsidR="00347752">
              <w:rPr>
                <w:webHidden/>
              </w:rPr>
              <w:instrText xml:space="preserve"> PAGEREF _Toc161653940 \h </w:instrText>
            </w:r>
            <w:r w:rsidR="00347752">
              <w:rPr>
                <w:webHidden/>
              </w:rPr>
            </w:r>
            <w:r w:rsidR="00347752">
              <w:rPr>
                <w:webHidden/>
              </w:rPr>
              <w:fldChar w:fldCharType="separate"/>
            </w:r>
            <w:r w:rsidR="00007A39">
              <w:rPr>
                <w:webHidden/>
              </w:rPr>
              <w:t>3</w:t>
            </w:r>
            <w:r w:rsidR="00347752">
              <w:rPr>
                <w:webHidden/>
              </w:rPr>
              <w:fldChar w:fldCharType="end"/>
            </w:r>
          </w:hyperlink>
        </w:p>
        <w:p w14:paraId="77AA1C18" w14:textId="25204F19" w:rsidR="00347752" w:rsidRDefault="002718F0">
          <w:pPr>
            <w:pStyle w:val="TOC1"/>
            <w:rPr>
              <w:rFonts w:asciiTheme="minorHAnsi" w:eastAsiaTheme="minorEastAsia" w:hAnsiTheme="minorHAnsi"/>
              <w:kern w:val="2"/>
              <w:lang w:eastAsia="en-GB"/>
              <w14:ligatures w14:val="standardContextual"/>
            </w:rPr>
          </w:pPr>
          <w:hyperlink w:anchor="_Toc161653941" w:history="1">
            <w:r w:rsidR="00347752" w:rsidRPr="007E18AC">
              <w:rPr>
                <w:rStyle w:val="Hyperlink"/>
              </w:rPr>
              <w:t>6</w:t>
            </w:r>
            <w:r w:rsidR="00347752">
              <w:rPr>
                <w:rFonts w:asciiTheme="minorHAnsi" w:eastAsiaTheme="minorEastAsia" w:hAnsiTheme="minorHAnsi"/>
                <w:kern w:val="2"/>
                <w:lang w:eastAsia="en-GB"/>
                <w14:ligatures w14:val="standardContextual"/>
              </w:rPr>
              <w:tab/>
            </w:r>
            <w:r w:rsidR="00347752" w:rsidRPr="007E18AC">
              <w:rPr>
                <w:rStyle w:val="Hyperlink"/>
              </w:rPr>
              <w:t>Petty Cash Top Ups</w:t>
            </w:r>
            <w:r w:rsidR="00347752">
              <w:rPr>
                <w:webHidden/>
              </w:rPr>
              <w:tab/>
            </w:r>
            <w:r w:rsidR="00347752">
              <w:rPr>
                <w:webHidden/>
              </w:rPr>
              <w:fldChar w:fldCharType="begin"/>
            </w:r>
            <w:r w:rsidR="00347752">
              <w:rPr>
                <w:webHidden/>
              </w:rPr>
              <w:instrText xml:space="preserve"> PAGEREF _Toc161653941 \h </w:instrText>
            </w:r>
            <w:r w:rsidR="00347752">
              <w:rPr>
                <w:webHidden/>
              </w:rPr>
            </w:r>
            <w:r w:rsidR="00347752">
              <w:rPr>
                <w:webHidden/>
              </w:rPr>
              <w:fldChar w:fldCharType="separate"/>
            </w:r>
            <w:r w:rsidR="00007A39">
              <w:rPr>
                <w:webHidden/>
              </w:rPr>
              <w:t>4</w:t>
            </w:r>
            <w:r w:rsidR="00347752">
              <w:rPr>
                <w:webHidden/>
              </w:rPr>
              <w:fldChar w:fldCharType="end"/>
            </w:r>
          </w:hyperlink>
        </w:p>
        <w:p w14:paraId="5404B436" w14:textId="2AC220DF" w:rsidR="00347752" w:rsidRDefault="002718F0">
          <w:pPr>
            <w:pStyle w:val="TOC1"/>
            <w:rPr>
              <w:rFonts w:asciiTheme="minorHAnsi" w:eastAsiaTheme="minorEastAsia" w:hAnsiTheme="minorHAnsi"/>
              <w:kern w:val="2"/>
              <w:lang w:eastAsia="en-GB"/>
              <w14:ligatures w14:val="standardContextual"/>
            </w:rPr>
          </w:pPr>
          <w:hyperlink w:anchor="_Toc161653942" w:history="1">
            <w:r w:rsidR="00347752" w:rsidRPr="007E18AC">
              <w:rPr>
                <w:rStyle w:val="Hyperlink"/>
              </w:rPr>
              <w:t>7</w:t>
            </w:r>
            <w:r w:rsidR="00347752">
              <w:rPr>
                <w:rFonts w:asciiTheme="minorHAnsi" w:eastAsiaTheme="minorEastAsia" w:hAnsiTheme="minorHAnsi"/>
                <w:kern w:val="2"/>
                <w:lang w:eastAsia="en-GB"/>
                <w14:ligatures w14:val="standardContextual"/>
              </w:rPr>
              <w:tab/>
            </w:r>
            <w:r w:rsidR="00347752" w:rsidRPr="007E18AC">
              <w:rPr>
                <w:rStyle w:val="Hyperlink"/>
              </w:rPr>
              <w:t>Miscellaneous Income</w:t>
            </w:r>
            <w:r w:rsidR="00347752">
              <w:rPr>
                <w:webHidden/>
              </w:rPr>
              <w:tab/>
            </w:r>
            <w:r w:rsidR="00347752">
              <w:rPr>
                <w:webHidden/>
              </w:rPr>
              <w:fldChar w:fldCharType="begin"/>
            </w:r>
            <w:r w:rsidR="00347752">
              <w:rPr>
                <w:webHidden/>
              </w:rPr>
              <w:instrText xml:space="preserve"> PAGEREF _Toc161653942 \h </w:instrText>
            </w:r>
            <w:r w:rsidR="00347752">
              <w:rPr>
                <w:webHidden/>
              </w:rPr>
            </w:r>
            <w:r w:rsidR="00347752">
              <w:rPr>
                <w:webHidden/>
              </w:rPr>
              <w:fldChar w:fldCharType="separate"/>
            </w:r>
            <w:r w:rsidR="00007A39">
              <w:rPr>
                <w:webHidden/>
              </w:rPr>
              <w:t>4</w:t>
            </w:r>
            <w:r w:rsidR="00347752">
              <w:rPr>
                <w:webHidden/>
              </w:rPr>
              <w:fldChar w:fldCharType="end"/>
            </w:r>
          </w:hyperlink>
        </w:p>
        <w:p w14:paraId="5382603F" w14:textId="7213F41D" w:rsidR="00347752" w:rsidRDefault="002718F0">
          <w:pPr>
            <w:pStyle w:val="TOC1"/>
            <w:rPr>
              <w:rFonts w:asciiTheme="minorHAnsi" w:eastAsiaTheme="minorEastAsia" w:hAnsiTheme="minorHAnsi"/>
              <w:kern w:val="2"/>
              <w:lang w:eastAsia="en-GB"/>
              <w14:ligatures w14:val="standardContextual"/>
            </w:rPr>
          </w:pPr>
          <w:hyperlink w:anchor="_Toc161653943" w:history="1">
            <w:r w:rsidR="00347752" w:rsidRPr="007E18AC">
              <w:rPr>
                <w:rStyle w:val="Hyperlink"/>
              </w:rPr>
              <w:t>8</w:t>
            </w:r>
            <w:r w:rsidR="00347752">
              <w:rPr>
                <w:rFonts w:asciiTheme="minorHAnsi" w:eastAsiaTheme="minorEastAsia" w:hAnsiTheme="minorHAnsi"/>
                <w:kern w:val="2"/>
                <w:lang w:eastAsia="en-GB"/>
                <w14:ligatures w14:val="standardContextual"/>
              </w:rPr>
              <w:tab/>
            </w:r>
            <w:r w:rsidR="00347752" w:rsidRPr="007E18AC">
              <w:rPr>
                <w:rStyle w:val="Hyperlink"/>
              </w:rPr>
              <w:t>Petty Cash Expenditure</w:t>
            </w:r>
            <w:r w:rsidR="00347752">
              <w:rPr>
                <w:webHidden/>
              </w:rPr>
              <w:tab/>
            </w:r>
            <w:r w:rsidR="00347752">
              <w:rPr>
                <w:webHidden/>
              </w:rPr>
              <w:fldChar w:fldCharType="begin"/>
            </w:r>
            <w:r w:rsidR="00347752">
              <w:rPr>
                <w:webHidden/>
              </w:rPr>
              <w:instrText xml:space="preserve"> PAGEREF _Toc161653943 \h </w:instrText>
            </w:r>
            <w:r w:rsidR="00347752">
              <w:rPr>
                <w:webHidden/>
              </w:rPr>
            </w:r>
            <w:r w:rsidR="00347752">
              <w:rPr>
                <w:webHidden/>
              </w:rPr>
              <w:fldChar w:fldCharType="separate"/>
            </w:r>
            <w:r w:rsidR="00007A39">
              <w:rPr>
                <w:webHidden/>
              </w:rPr>
              <w:t>4</w:t>
            </w:r>
            <w:r w:rsidR="00347752">
              <w:rPr>
                <w:webHidden/>
              </w:rPr>
              <w:fldChar w:fldCharType="end"/>
            </w:r>
          </w:hyperlink>
        </w:p>
        <w:p w14:paraId="4BB3288D" w14:textId="17BC168C" w:rsidR="00347752" w:rsidRDefault="002718F0">
          <w:pPr>
            <w:pStyle w:val="TOC1"/>
            <w:rPr>
              <w:rFonts w:asciiTheme="minorHAnsi" w:eastAsiaTheme="minorEastAsia" w:hAnsiTheme="minorHAnsi"/>
              <w:kern w:val="2"/>
              <w:lang w:eastAsia="en-GB"/>
              <w14:ligatures w14:val="standardContextual"/>
            </w:rPr>
          </w:pPr>
          <w:hyperlink w:anchor="_Toc161653944" w:history="1">
            <w:r w:rsidR="00347752" w:rsidRPr="007E18AC">
              <w:rPr>
                <w:rStyle w:val="Hyperlink"/>
              </w:rPr>
              <w:t>9</w:t>
            </w:r>
            <w:r w:rsidR="00347752">
              <w:rPr>
                <w:rFonts w:asciiTheme="minorHAnsi" w:eastAsiaTheme="minorEastAsia" w:hAnsiTheme="minorHAnsi"/>
                <w:kern w:val="2"/>
                <w:lang w:eastAsia="en-GB"/>
                <w14:ligatures w14:val="standardContextual"/>
              </w:rPr>
              <w:tab/>
            </w:r>
            <w:r w:rsidR="00347752" w:rsidRPr="007E18AC">
              <w:rPr>
                <w:rStyle w:val="Hyperlink"/>
              </w:rPr>
              <w:t>Reconciliation</w:t>
            </w:r>
            <w:r w:rsidR="00347752">
              <w:rPr>
                <w:webHidden/>
              </w:rPr>
              <w:tab/>
            </w:r>
            <w:r w:rsidR="00347752">
              <w:rPr>
                <w:webHidden/>
              </w:rPr>
              <w:fldChar w:fldCharType="begin"/>
            </w:r>
            <w:r w:rsidR="00347752">
              <w:rPr>
                <w:webHidden/>
              </w:rPr>
              <w:instrText xml:space="preserve"> PAGEREF _Toc161653944 \h </w:instrText>
            </w:r>
            <w:r w:rsidR="00347752">
              <w:rPr>
                <w:webHidden/>
              </w:rPr>
            </w:r>
            <w:r w:rsidR="00347752">
              <w:rPr>
                <w:webHidden/>
              </w:rPr>
              <w:fldChar w:fldCharType="separate"/>
            </w:r>
            <w:r w:rsidR="00007A39">
              <w:rPr>
                <w:webHidden/>
              </w:rPr>
              <w:t>6</w:t>
            </w:r>
            <w:r w:rsidR="00347752">
              <w:rPr>
                <w:webHidden/>
              </w:rPr>
              <w:fldChar w:fldCharType="end"/>
            </w:r>
          </w:hyperlink>
        </w:p>
        <w:p w14:paraId="332796FE" w14:textId="4404E9B9" w:rsidR="00347752" w:rsidRDefault="002718F0">
          <w:pPr>
            <w:pStyle w:val="TOC1"/>
            <w:rPr>
              <w:rFonts w:asciiTheme="minorHAnsi" w:eastAsiaTheme="minorEastAsia" w:hAnsiTheme="minorHAnsi"/>
              <w:kern w:val="2"/>
              <w:lang w:eastAsia="en-GB"/>
              <w14:ligatures w14:val="standardContextual"/>
            </w:rPr>
          </w:pPr>
          <w:hyperlink w:anchor="_Toc161653945" w:history="1">
            <w:r w:rsidR="00347752" w:rsidRPr="007E18AC">
              <w:rPr>
                <w:rStyle w:val="Hyperlink"/>
              </w:rPr>
              <w:t>10</w:t>
            </w:r>
            <w:r w:rsidR="00347752">
              <w:rPr>
                <w:rFonts w:asciiTheme="minorHAnsi" w:eastAsiaTheme="minorEastAsia" w:hAnsiTheme="minorHAnsi"/>
                <w:kern w:val="2"/>
                <w:lang w:eastAsia="en-GB"/>
                <w14:ligatures w14:val="standardContextual"/>
              </w:rPr>
              <w:tab/>
            </w:r>
            <w:r w:rsidR="00347752" w:rsidRPr="007E18AC">
              <w:rPr>
                <w:rStyle w:val="Hyperlink"/>
              </w:rPr>
              <w:t>Petty Cash Returns</w:t>
            </w:r>
            <w:r w:rsidR="00347752">
              <w:rPr>
                <w:webHidden/>
              </w:rPr>
              <w:tab/>
            </w:r>
            <w:r w:rsidR="00347752">
              <w:rPr>
                <w:webHidden/>
              </w:rPr>
              <w:fldChar w:fldCharType="begin"/>
            </w:r>
            <w:r w:rsidR="00347752">
              <w:rPr>
                <w:webHidden/>
              </w:rPr>
              <w:instrText xml:space="preserve"> PAGEREF _Toc161653945 \h </w:instrText>
            </w:r>
            <w:r w:rsidR="00347752">
              <w:rPr>
                <w:webHidden/>
              </w:rPr>
            </w:r>
            <w:r w:rsidR="00347752">
              <w:rPr>
                <w:webHidden/>
              </w:rPr>
              <w:fldChar w:fldCharType="separate"/>
            </w:r>
            <w:r w:rsidR="00007A39">
              <w:rPr>
                <w:webHidden/>
              </w:rPr>
              <w:t>7</w:t>
            </w:r>
            <w:r w:rsidR="00347752">
              <w:rPr>
                <w:webHidden/>
              </w:rPr>
              <w:fldChar w:fldCharType="end"/>
            </w:r>
          </w:hyperlink>
        </w:p>
        <w:p w14:paraId="10D86C16" w14:textId="1925EE29" w:rsidR="00347752" w:rsidRDefault="002718F0">
          <w:pPr>
            <w:pStyle w:val="TOC1"/>
            <w:rPr>
              <w:rFonts w:asciiTheme="minorHAnsi" w:eastAsiaTheme="minorEastAsia" w:hAnsiTheme="minorHAnsi"/>
              <w:kern w:val="2"/>
              <w:lang w:eastAsia="en-GB"/>
              <w14:ligatures w14:val="standardContextual"/>
            </w:rPr>
          </w:pPr>
          <w:hyperlink w:anchor="_Toc161653946" w:history="1">
            <w:r w:rsidR="00347752" w:rsidRPr="007E18AC">
              <w:rPr>
                <w:rStyle w:val="Hyperlink"/>
              </w:rPr>
              <w:t>11</w:t>
            </w:r>
            <w:r w:rsidR="00347752">
              <w:rPr>
                <w:rFonts w:asciiTheme="minorHAnsi" w:eastAsiaTheme="minorEastAsia" w:hAnsiTheme="minorHAnsi"/>
                <w:kern w:val="2"/>
                <w:lang w:eastAsia="en-GB"/>
                <w14:ligatures w14:val="standardContextual"/>
              </w:rPr>
              <w:tab/>
            </w:r>
            <w:r w:rsidR="00347752" w:rsidRPr="007E18AC">
              <w:rPr>
                <w:rStyle w:val="Hyperlink"/>
              </w:rPr>
              <w:t>Security</w:t>
            </w:r>
            <w:r w:rsidR="00347752">
              <w:rPr>
                <w:webHidden/>
              </w:rPr>
              <w:tab/>
            </w:r>
            <w:r w:rsidR="00347752">
              <w:rPr>
                <w:webHidden/>
              </w:rPr>
              <w:fldChar w:fldCharType="begin"/>
            </w:r>
            <w:r w:rsidR="00347752">
              <w:rPr>
                <w:webHidden/>
              </w:rPr>
              <w:instrText xml:space="preserve"> PAGEREF _Toc161653946 \h </w:instrText>
            </w:r>
            <w:r w:rsidR="00347752">
              <w:rPr>
                <w:webHidden/>
              </w:rPr>
            </w:r>
            <w:r w:rsidR="00347752">
              <w:rPr>
                <w:webHidden/>
              </w:rPr>
              <w:fldChar w:fldCharType="separate"/>
            </w:r>
            <w:r w:rsidR="00007A39">
              <w:rPr>
                <w:webHidden/>
              </w:rPr>
              <w:t>7</w:t>
            </w:r>
            <w:r w:rsidR="00347752">
              <w:rPr>
                <w:webHidden/>
              </w:rPr>
              <w:fldChar w:fldCharType="end"/>
            </w:r>
          </w:hyperlink>
        </w:p>
        <w:p w14:paraId="59B74B5A" w14:textId="429C908B" w:rsidR="00347752" w:rsidRDefault="002718F0">
          <w:pPr>
            <w:pStyle w:val="TOC1"/>
            <w:rPr>
              <w:rFonts w:asciiTheme="minorHAnsi" w:eastAsiaTheme="minorEastAsia" w:hAnsiTheme="minorHAnsi"/>
              <w:kern w:val="2"/>
              <w:lang w:eastAsia="en-GB"/>
              <w14:ligatures w14:val="standardContextual"/>
            </w:rPr>
          </w:pPr>
          <w:hyperlink w:anchor="_Toc161653947" w:history="1">
            <w:r w:rsidR="00347752" w:rsidRPr="007E18AC">
              <w:rPr>
                <w:rStyle w:val="Hyperlink"/>
              </w:rPr>
              <w:t>12</w:t>
            </w:r>
            <w:r w:rsidR="00347752">
              <w:rPr>
                <w:rFonts w:asciiTheme="minorHAnsi" w:eastAsiaTheme="minorEastAsia" w:hAnsiTheme="minorHAnsi"/>
                <w:kern w:val="2"/>
                <w:lang w:eastAsia="en-GB"/>
                <w14:ligatures w14:val="standardContextual"/>
              </w:rPr>
              <w:tab/>
            </w:r>
            <w:r w:rsidR="00347752" w:rsidRPr="007E18AC">
              <w:rPr>
                <w:rStyle w:val="Hyperlink"/>
              </w:rPr>
              <w:t>Roles and Responsibilities</w:t>
            </w:r>
            <w:r w:rsidR="00347752">
              <w:rPr>
                <w:webHidden/>
              </w:rPr>
              <w:tab/>
            </w:r>
            <w:r w:rsidR="00347752">
              <w:rPr>
                <w:webHidden/>
              </w:rPr>
              <w:fldChar w:fldCharType="begin"/>
            </w:r>
            <w:r w:rsidR="00347752">
              <w:rPr>
                <w:webHidden/>
              </w:rPr>
              <w:instrText xml:space="preserve"> PAGEREF _Toc161653947 \h </w:instrText>
            </w:r>
            <w:r w:rsidR="00347752">
              <w:rPr>
                <w:webHidden/>
              </w:rPr>
            </w:r>
            <w:r w:rsidR="00347752">
              <w:rPr>
                <w:webHidden/>
              </w:rPr>
              <w:fldChar w:fldCharType="separate"/>
            </w:r>
            <w:r w:rsidR="00007A39">
              <w:rPr>
                <w:webHidden/>
              </w:rPr>
              <w:t>7</w:t>
            </w:r>
            <w:r w:rsidR="00347752">
              <w:rPr>
                <w:webHidden/>
              </w:rPr>
              <w:fldChar w:fldCharType="end"/>
            </w:r>
          </w:hyperlink>
        </w:p>
        <w:p w14:paraId="67D2A0D9" w14:textId="57CA2C33" w:rsidR="00347752" w:rsidRDefault="002718F0">
          <w:pPr>
            <w:pStyle w:val="TOC1"/>
            <w:rPr>
              <w:rFonts w:asciiTheme="minorHAnsi" w:eastAsiaTheme="minorEastAsia" w:hAnsiTheme="minorHAnsi"/>
              <w:kern w:val="2"/>
              <w:lang w:eastAsia="en-GB"/>
              <w14:ligatures w14:val="standardContextual"/>
            </w:rPr>
          </w:pPr>
          <w:hyperlink w:anchor="_Toc161653948" w:history="1">
            <w:r w:rsidR="00347752" w:rsidRPr="007E18AC">
              <w:rPr>
                <w:rStyle w:val="Hyperlink"/>
              </w:rPr>
              <w:t>13</w:t>
            </w:r>
            <w:r w:rsidR="00347752">
              <w:rPr>
                <w:rFonts w:asciiTheme="minorHAnsi" w:eastAsiaTheme="minorEastAsia" w:hAnsiTheme="minorHAnsi"/>
                <w:kern w:val="2"/>
                <w:lang w:eastAsia="en-GB"/>
                <w14:ligatures w14:val="standardContextual"/>
              </w:rPr>
              <w:tab/>
            </w:r>
            <w:r w:rsidR="00347752" w:rsidRPr="007E18AC">
              <w:rPr>
                <w:rStyle w:val="Hyperlink"/>
              </w:rPr>
              <w:t>Training and Monitoring</w:t>
            </w:r>
            <w:r w:rsidR="00347752">
              <w:rPr>
                <w:webHidden/>
              </w:rPr>
              <w:tab/>
            </w:r>
            <w:r w:rsidR="00347752">
              <w:rPr>
                <w:webHidden/>
              </w:rPr>
              <w:fldChar w:fldCharType="begin"/>
            </w:r>
            <w:r w:rsidR="00347752">
              <w:rPr>
                <w:webHidden/>
              </w:rPr>
              <w:instrText xml:space="preserve"> PAGEREF _Toc161653948 \h </w:instrText>
            </w:r>
            <w:r w:rsidR="00347752">
              <w:rPr>
                <w:webHidden/>
              </w:rPr>
            </w:r>
            <w:r w:rsidR="00347752">
              <w:rPr>
                <w:webHidden/>
              </w:rPr>
              <w:fldChar w:fldCharType="separate"/>
            </w:r>
            <w:r w:rsidR="00007A39">
              <w:rPr>
                <w:webHidden/>
              </w:rPr>
              <w:t>9</w:t>
            </w:r>
            <w:r w:rsidR="00347752">
              <w:rPr>
                <w:webHidden/>
              </w:rPr>
              <w:fldChar w:fldCharType="end"/>
            </w:r>
          </w:hyperlink>
        </w:p>
        <w:p w14:paraId="167186EB" w14:textId="1C996082" w:rsidR="00347752" w:rsidRDefault="002718F0">
          <w:pPr>
            <w:pStyle w:val="TOC1"/>
            <w:rPr>
              <w:rFonts w:asciiTheme="minorHAnsi" w:eastAsiaTheme="minorEastAsia" w:hAnsiTheme="minorHAnsi"/>
              <w:kern w:val="2"/>
              <w:lang w:eastAsia="en-GB"/>
              <w14:ligatures w14:val="standardContextual"/>
            </w:rPr>
          </w:pPr>
          <w:hyperlink w:anchor="_Toc161653949" w:history="1">
            <w:r w:rsidR="00347752" w:rsidRPr="007E18AC">
              <w:rPr>
                <w:rStyle w:val="Hyperlink"/>
              </w:rPr>
              <w:t>14</w:t>
            </w:r>
            <w:r w:rsidR="00347752">
              <w:rPr>
                <w:rFonts w:asciiTheme="minorHAnsi" w:eastAsiaTheme="minorEastAsia" w:hAnsiTheme="minorHAnsi"/>
                <w:kern w:val="2"/>
                <w:lang w:eastAsia="en-GB"/>
                <w14:ligatures w14:val="standardContextual"/>
              </w:rPr>
              <w:tab/>
            </w:r>
            <w:r w:rsidR="00347752" w:rsidRPr="007E18AC">
              <w:rPr>
                <w:rStyle w:val="Hyperlink"/>
              </w:rPr>
              <w:t>Communication and Dissemination</w:t>
            </w:r>
            <w:r w:rsidR="00347752">
              <w:rPr>
                <w:webHidden/>
              </w:rPr>
              <w:tab/>
            </w:r>
            <w:r w:rsidR="00347752">
              <w:rPr>
                <w:webHidden/>
              </w:rPr>
              <w:fldChar w:fldCharType="begin"/>
            </w:r>
            <w:r w:rsidR="00347752">
              <w:rPr>
                <w:webHidden/>
              </w:rPr>
              <w:instrText xml:space="preserve"> PAGEREF _Toc161653949 \h </w:instrText>
            </w:r>
            <w:r w:rsidR="00347752">
              <w:rPr>
                <w:webHidden/>
              </w:rPr>
            </w:r>
            <w:r w:rsidR="00347752">
              <w:rPr>
                <w:webHidden/>
              </w:rPr>
              <w:fldChar w:fldCharType="separate"/>
            </w:r>
            <w:r w:rsidR="00007A39">
              <w:rPr>
                <w:webHidden/>
              </w:rPr>
              <w:t>9</w:t>
            </w:r>
            <w:r w:rsidR="00347752">
              <w:rPr>
                <w:webHidden/>
              </w:rPr>
              <w:fldChar w:fldCharType="end"/>
            </w:r>
          </w:hyperlink>
        </w:p>
        <w:p w14:paraId="1C518FEF" w14:textId="17348E72" w:rsidR="00347752" w:rsidRDefault="002718F0">
          <w:pPr>
            <w:pStyle w:val="TOC1"/>
            <w:rPr>
              <w:rFonts w:asciiTheme="minorHAnsi" w:eastAsiaTheme="minorEastAsia" w:hAnsiTheme="minorHAnsi"/>
              <w:kern w:val="2"/>
              <w:lang w:eastAsia="en-GB"/>
              <w14:ligatures w14:val="standardContextual"/>
            </w:rPr>
          </w:pPr>
          <w:hyperlink w:anchor="_Toc161653950" w:history="1">
            <w:r w:rsidR="00347752" w:rsidRPr="007E18AC">
              <w:rPr>
                <w:rStyle w:val="Hyperlink"/>
              </w:rPr>
              <w:t>15</w:t>
            </w:r>
            <w:r w:rsidR="00347752">
              <w:rPr>
                <w:rFonts w:asciiTheme="minorHAnsi" w:eastAsiaTheme="minorEastAsia" w:hAnsiTheme="minorHAnsi"/>
                <w:kern w:val="2"/>
                <w:lang w:eastAsia="en-GB"/>
                <w14:ligatures w14:val="standardContextual"/>
              </w:rPr>
              <w:tab/>
            </w:r>
            <w:r w:rsidR="00347752" w:rsidRPr="007E18AC">
              <w:rPr>
                <w:rStyle w:val="Hyperlink"/>
              </w:rPr>
              <w:t>EDI Impact Assessments</w:t>
            </w:r>
            <w:r w:rsidR="00347752">
              <w:rPr>
                <w:webHidden/>
              </w:rPr>
              <w:tab/>
            </w:r>
            <w:r w:rsidR="00347752">
              <w:rPr>
                <w:webHidden/>
              </w:rPr>
              <w:fldChar w:fldCharType="begin"/>
            </w:r>
            <w:r w:rsidR="00347752">
              <w:rPr>
                <w:webHidden/>
              </w:rPr>
              <w:instrText xml:space="preserve"> PAGEREF _Toc161653950 \h </w:instrText>
            </w:r>
            <w:r w:rsidR="00347752">
              <w:rPr>
                <w:webHidden/>
              </w:rPr>
            </w:r>
            <w:r w:rsidR="00347752">
              <w:rPr>
                <w:webHidden/>
              </w:rPr>
              <w:fldChar w:fldCharType="separate"/>
            </w:r>
            <w:r w:rsidR="00007A39">
              <w:rPr>
                <w:webHidden/>
              </w:rPr>
              <w:t>10</w:t>
            </w:r>
            <w:r w:rsidR="00347752">
              <w:rPr>
                <w:webHidden/>
              </w:rPr>
              <w:fldChar w:fldCharType="end"/>
            </w:r>
          </w:hyperlink>
        </w:p>
        <w:p w14:paraId="000B7DE6" w14:textId="724400A2" w:rsidR="00347752" w:rsidRDefault="002718F0">
          <w:pPr>
            <w:pStyle w:val="TOC1"/>
            <w:rPr>
              <w:rFonts w:asciiTheme="minorHAnsi" w:eastAsiaTheme="minorEastAsia" w:hAnsiTheme="minorHAnsi"/>
              <w:kern w:val="2"/>
              <w:lang w:eastAsia="en-GB"/>
              <w14:ligatures w14:val="standardContextual"/>
            </w:rPr>
          </w:pPr>
          <w:hyperlink w:anchor="_Toc161653951" w:history="1">
            <w:r w:rsidR="00347752" w:rsidRPr="007E18AC">
              <w:rPr>
                <w:rStyle w:val="Hyperlink"/>
              </w:rPr>
              <w:t>16</w:t>
            </w:r>
            <w:r w:rsidR="00347752">
              <w:rPr>
                <w:rFonts w:asciiTheme="minorHAnsi" w:eastAsiaTheme="minorEastAsia" w:hAnsiTheme="minorHAnsi"/>
                <w:kern w:val="2"/>
                <w:lang w:eastAsia="en-GB"/>
                <w14:ligatures w14:val="standardContextual"/>
              </w:rPr>
              <w:tab/>
            </w:r>
            <w:r w:rsidR="00347752" w:rsidRPr="007E18AC">
              <w:rPr>
                <w:rStyle w:val="Hyperlink"/>
              </w:rPr>
              <w:t>Resources</w:t>
            </w:r>
            <w:r w:rsidR="00347752">
              <w:rPr>
                <w:webHidden/>
              </w:rPr>
              <w:tab/>
            </w:r>
            <w:r w:rsidR="00347752">
              <w:rPr>
                <w:webHidden/>
              </w:rPr>
              <w:fldChar w:fldCharType="begin"/>
            </w:r>
            <w:r w:rsidR="00347752">
              <w:rPr>
                <w:webHidden/>
              </w:rPr>
              <w:instrText xml:space="preserve"> PAGEREF _Toc161653951 \h </w:instrText>
            </w:r>
            <w:r w:rsidR="00347752">
              <w:rPr>
                <w:webHidden/>
              </w:rPr>
            </w:r>
            <w:r w:rsidR="00347752">
              <w:rPr>
                <w:webHidden/>
              </w:rPr>
              <w:fldChar w:fldCharType="separate"/>
            </w:r>
            <w:r w:rsidR="00007A39">
              <w:rPr>
                <w:webHidden/>
              </w:rPr>
              <w:t>10</w:t>
            </w:r>
            <w:r w:rsidR="00347752">
              <w:rPr>
                <w:webHidden/>
              </w:rPr>
              <w:fldChar w:fldCharType="end"/>
            </w:r>
          </w:hyperlink>
        </w:p>
        <w:p w14:paraId="53E98B43" w14:textId="0FF83643" w:rsidR="00347752" w:rsidRDefault="002718F0">
          <w:pPr>
            <w:pStyle w:val="TOC1"/>
            <w:rPr>
              <w:rFonts w:asciiTheme="minorHAnsi" w:eastAsiaTheme="minorEastAsia" w:hAnsiTheme="minorHAnsi"/>
              <w:kern w:val="2"/>
              <w:lang w:eastAsia="en-GB"/>
              <w14:ligatures w14:val="standardContextual"/>
            </w:rPr>
          </w:pPr>
          <w:hyperlink w:anchor="_Toc161653952" w:history="1">
            <w:r w:rsidR="00347752" w:rsidRPr="007E18AC">
              <w:rPr>
                <w:rStyle w:val="Hyperlink"/>
              </w:rPr>
              <w:t>17</w:t>
            </w:r>
            <w:r w:rsidR="00347752">
              <w:rPr>
                <w:rFonts w:asciiTheme="minorHAnsi" w:eastAsiaTheme="minorEastAsia" w:hAnsiTheme="minorHAnsi"/>
                <w:kern w:val="2"/>
                <w:lang w:eastAsia="en-GB"/>
                <w14:ligatures w14:val="standardContextual"/>
              </w:rPr>
              <w:tab/>
            </w:r>
            <w:r w:rsidR="00347752" w:rsidRPr="007E18AC">
              <w:rPr>
                <w:rStyle w:val="Hyperlink"/>
              </w:rPr>
              <w:t>Version Control</w:t>
            </w:r>
            <w:r w:rsidR="00347752">
              <w:rPr>
                <w:webHidden/>
              </w:rPr>
              <w:tab/>
            </w:r>
            <w:r w:rsidR="00347752">
              <w:rPr>
                <w:webHidden/>
              </w:rPr>
              <w:fldChar w:fldCharType="begin"/>
            </w:r>
            <w:r w:rsidR="00347752">
              <w:rPr>
                <w:webHidden/>
              </w:rPr>
              <w:instrText xml:space="preserve"> PAGEREF _Toc161653952 \h </w:instrText>
            </w:r>
            <w:r w:rsidR="00347752">
              <w:rPr>
                <w:webHidden/>
              </w:rPr>
            </w:r>
            <w:r w:rsidR="00347752">
              <w:rPr>
                <w:webHidden/>
              </w:rPr>
              <w:fldChar w:fldCharType="separate"/>
            </w:r>
            <w:r w:rsidR="00007A39">
              <w:rPr>
                <w:webHidden/>
              </w:rPr>
              <w:t>10</w:t>
            </w:r>
            <w:r w:rsidR="00347752">
              <w:rPr>
                <w:webHidden/>
              </w:rPr>
              <w:fldChar w:fldCharType="end"/>
            </w:r>
          </w:hyperlink>
        </w:p>
        <w:p w14:paraId="677210ED" w14:textId="419077B6" w:rsidR="00DF67AA" w:rsidRPr="002E4B12" w:rsidRDefault="00F91DD0" w:rsidP="002E4B12">
          <w:pPr>
            <w:pStyle w:val="TOC1"/>
          </w:pPr>
          <w:r>
            <w:rPr>
              <w:rFonts w:cs="Arial"/>
              <w:spacing w:val="7"/>
            </w:rPr>
            <w:fldChar w:fldCharType="end"/>
          </w:r>
        </w:p>
      </w:sdtContent>
    </w:sdt>
    <w:p w14:paraId="568FD2D5" w14:textId="77777777" w:rsidR="0010231D" w:rsidRDefault="0010231D" w:rsidP="0010231D">
      <w:pPr>
        <w:pStyle w:val="Text"/>
      </w:pPr>
    </w:p>
    <w:p w14:paraId="1E0041DF" w14:textId="472AF899" w:rsidR="009A0ED4" w:rsidRDefault="009A0ED4" w:rsidP="00D558F5">
      <w:pPr>
        <w:pStyle w:val="Heading1Numbered"/>
      </w:pPr>
      <w:bookmarkStart w:id="6" w:name="_Toc161653936"/>
      <w:r w:rsidRPr="00D558F5">
        <w:t>Introduction</w:t>
      </w:r>
      <w:bookmarkEnd w:id="6"/>
    </w:p>
    <w:p w14:paraId="0AEBBF76" w14:textId="74F0AD71" w:rsidR="00784932" w:rsidRPr="002E4B12" w:rsidRDefault="0010231D" w:rsidP="00223C37">
      <w:pPr>
        <w:pStyle w:val="Text1Numbered"/>
      </w:pPr>
      <w:r>
        <w:t>This policy</w:t>
      </w:r>
      <w:r w:rsidR="00223C37" w:rsidRPr="00223C37">
        <w:t xml:space="preserve"> outlines</w:t>
      </w:r>
      <w:r>
        <w:t xml:space="preserve"> </w:t>
      </w:r>
      <w:r w:rsidR="00223C37" w:rsidRPr="00223C37">
        <w:t>MHA’s expectations of colleagues in relation to the petty cash fund, including how to keep petty cash floats and bank accounts safe and secure.</w:t>
      </w:r>
      <w:r w:rsidR="0034019C">
        <w:t xml:space="preserve"> </w:t>
      </w:r>
    </w:p>
    <w:p w14:paraId="111CD53B" w14:textId="77777777" w:rsidR="002E4B12" w:rsidRDefault="009A0ED4" w:rsidP="002E4B12">
      <w:pPr>
        <w:pStyle w:val="Heading1Numbered"/>
      </w:pPr>
      <w:bookmarkStart w:id="7" w:name="_Toc161653937"/>
      <w:r w:rsidRPr="00EF3699">
        <w:t xml:space="preserve">Scope </w:t>
      </w:r>
      <w:r w:rsidR="001310BB" w:rsidRPr="00EF3699">
        <w:t>and</w:t>
      </w:r>
      <w:r w:rsidRPr="00EF3699">
        <w:t xml:space="preserve"> </w:t>
      </w:r>
      <w:r w:rsidRPr="00D558F5">
        <w:t>Purpose</w:t>
      </w:r>
      <w:bookmarkEnd w:id="7"/>
    </w:p>
    <w:p w14:paraId="37EDFF58" w14:textId="72968DF3" w:rsidR="00223C37" w:rsidRDefault="00223C37" w:rsidP="00223C37">
      <w:pPr>
        <w:pStyle w:val="Text1Numbered"/>
      </w:pPr>
      <w:r>
        <w:t>This policy applies to all MHA colleagues for petty cash floats and bank accounts under the control of MHA’s Homes, Schemes and Central Support.</w:t>
      </w:r>
    </w:p>
    <w:p w14:paraId="4A1527CA" w14:textId="77777777" w:rsidR="00DF67AA" w:rsidRPr="00EF3699" w:rsidRDefault="009A0ED4" w:rsidP="00EC4F61">
      <w:pPr>
        <w:pStyle w:val="Heading1Numbered"/>
      </w:pPr>
      <w:bookmarkStart w:id="8" w:name="_Toc161653938"/>
      <w:r w:rsidRPr="00EF3699">
        <w:t>Definitions</w:t>
      </w:r>
      <w:bookmarkEnd w:id="8"/>
    </w:p>
    <w:tbl>
      <w:tblPr>
        <w:tblStyle w:val="MHATable"/>
        <w:tblW w:w="0" w:type="auto"/>
        <w:tblLook w:val="04A0" w:firstRow="1" w:lastRow="0" w:firstColumn="1" w:lastColumn="0" w:noHBand="0" w:noVBand="1"/>
      </w:tblPr>
      <w:tblGrid>
        <w:gridCol w:w="2830"/>
        <w:gridCol w:w="6663"/>
      </w:tblGrid>
      <w:tr w:rsidR="00D40DD9" w:rsidRPr="004C3545" w14:paraId="446AAFA4" w14:textId="77777777" w:rsidTr="00737EDE">
        <w:trPr>
          <w:cnfStyle w:val="100000000000" w:firstRow="1" w:lastRow="0" w:firstColumn="0" w:lastColumn="0" w:oddVBand="0" w:evenVBand="0" w:oddHBand="0" w:evenHBand="0" w:firstRowFirstColumn="0" w:firstRowLastColumn="0" w:lastRowFirstColumn="0" w:lastRowLastColumn="0"/>
        </w:trPr>
        <w:tc>
          <w:tcPr>
            <w:tcW w:w="2830" w:type="dxa"/>
          </w:tcPr>
          <w:p w14:paraId="28A4414F" w14:textId="77777777" w:rsidR="00D40DD9" w:rsidRPr="004C3545" w:rsidRDefault="00D40DD9" w:rsidP="00737EDE">
            <w:r>
              <w:t>Term</w:t>
            </w:r>
          </w:p>
        </w:tc>
        <w:tc>
          <w:tcPr>
            <w:tcW w:w="6663" w:type="dxa"/>
          </w:tcPr>
          <w:p w14:paraId="406A2DC5" w14:textId="77777777" w:rsidR="00D40DD9" w:rsidRPr="004C3545" w:rsidRDefault="00D40DD9" w:rsidP="00737EDE">
            <w:r>
              <w:t>Definition</w:t>
            </w:r>
          </w:p>
        </w:tc>
      </w:tr>
      <w:tr w:rsidR="00D40DD9" w:rsidRPr="004C3545" w14:paraId="682B6DE8" w14:textId="77777777" w:rsidTr="00737EDE">
        <w:tc>
          <w:tcPr>
            <w:tcW w:w="2830" w:type="dxa"/>
          </w:tcPr>
          <w:p w14:paraId="4BE0EE95" w14:textId="52A3F676" w:rsidR="00D40DD9" w:rsidRPr="0010231D" w:rsidRDefault="00223C37" w:rsidP="00737EDE">
            <w:pPr>
              <w:rPr>
                <w:b/>
                <w:bCs/>
              </w:rPr>
            </w:pPr>
            <w:r w:rsidRPr="0010231D">
              <w:rPr>
                <w:b/>
                <w:bCs/>
              </w:rPr>
              <w:t>BACS</w:t>
            </w:r>
          </w:p>
        </w:tc>
        <w:tc>
          <w:tcPr>
            <w:tcW w:w="6663" w:type="dxa"/>
          </w:tcPr>
          <w:p w14:paraId="0F2DB953" w14:textId="41812999" w:rsidR="00D40DD9" w:rsidRPr="004C3545" w:rsidRDefault="0010231D" w:rsidP="00737EDE">
            <w:r>
              <w:t>Bank Transfers.</w:t>
            </w:r>
          </w:p>
        </w:tc>
      </w:tr>
      <w:tr w:rsidR="00D40DD9" w:rsidRPr="004C3545" w14:paraId="7D9FB854" w14:textId="77777777" w:rsidTr="00737EDE">
        <w:tc>
          <w:tcPr>
            <w:tcW w:w="2830" w:type="dxa"/>
          </w:tcPr>
          <w:p w14:paraId="6524456E" w14:textId="7E41B227" w:rsidR="00D40DD9" w:rsidRPr="0010231D" w:rsidRDefault="00223C37" w:rsidP="00737EDE">
            <w:pPr>
              <w:rPr>
                <w:b/>
                <w:bCs/>
              </w:rPr>
            </w:pPr>
            <w:r w:rsidRPr="0010231D">
              <w:rPr>
                <w:b/>
                <w:bCs/>
              </w:rPr>
              <w:t>Petty Cash</w:t>
            </w:r>
          </w:p>
        </w:tc>
        <w:tc>
          <w:tcPr>
            <w:tcW w:w="6663" w:type="dxa"/>
          </w:tcPr>
          <w:p w14:paraId="3B88793C" w14:textId="5759CF87" w:rsidR="00D40DD9" w:rsidRPr="004C3545" w:rsidRDefault="0010231D" w:rsidP="00737EDE">
            <w:r>
              <w:t>A small amount of physical currency (money) set aside to cover minor day-to-cay expenses of a small value.</w:t>
            </w:r>
          </w:p>
        </w:tc>
      </w:tr>
    </w:tbl>
    <w:p w14:paraId="736F5DEE" w14:textId="77777777" w:rsidR="008D6213" w:rsidRDefault="008D6213" w:rsidP="00903AA2">
      <w:pPr>
        <w:rPr>
          <w:rFonts w:cs="Arial"/>
          <w:spacing w:val="7"/>
        </w:rPr>
      </w:pPr>
    </w:p>
    <w:p w14:paraId="5E8D42C8" w14:textId="32967B88" w:rsidR="0034019C" w:rsidRDefault="0034019C" w:rsidP="00D40DD9">
      <w:pPr>
        <w:pStyle w:val="Heading1Numbered"/>
      </w:pPr>
      <w:bookmarkStart w:id="9" w:name="_Toc161653939"/>
      <w:r>
        <w:t>Insurance</w:t>
      </w:r>
      <w:bookmarkEnd w:id="9"/>
    </w:p>
    <w:p w14:paraId="7649BEC2" w14:textId="3A867FAE" w:rsidR="0034019C" w:rsidRPr="0034019C" w:rsidRDefault="0034019C" w:rsidP="0034019C">
      <w:pPr>
        <w:pStyle w:val="Text1Numbered"/>
      </w:pPr>
      <w:r w:rsidRPr="0034019C">
        <w:t xml:space="preserve">All sites must ensure that the following insured cash values </w:t>
      </w:r>
      <w:r>
        <w:t>do not exceed</w:t>
      </w:r>
      <w:r w:rsidRPr="0034019C">
        <w:t>:</w:t>
      </w:r>
    </w:p>
    <w:p w14:paraId="569331AF" w14:textId="77777777" w:rsidR="0034019C" w:rsidRDefault="0034019C" w:rsidP="0034019C">
      <w:pPr>
        <w:pStyle w:val="Textlistindented-bullet"/>
      </w:pPr>
      <w:r>
        <w:t>Cash in transit (to or from the bank)</w:t>
      </w:r>
      <w:r>
        <w:tab/>
      </w:r>
      <w:r>
        <w:tab/>
      </w:r>
      <w:r>
        <w:tab/>
        <w:t>£1,500</w:t>
      </w:r>
    </w:p>
    <w:p w14:paraId="7D2B4720" w14:textId="77777777" w:rsidR="0034019C" w:rsidRDefault="0034019C" w:rsidP="0034019C">
      <w:pPr>
        <w:pStyle w:val="Textlistindented-bullet"/>
        <w:numPr>
          <w:ilvl w:val="0"/>
          <w:numId w:val="0"/>
        </w:numPr>
        <w:ind w:left="1559"/>
      </w:pPr>
    </w:p>
    <w:p w14:paraId="7912D1D9" w14:textId="77777777" w:rsidR="0034019C" w:rsidRDefault="0034019C" w:rsidP="0034019C">
      <w:pPr>
        <w:pStyle w:val="Textlistindented-bullet"/>
      </w:pPr>
      <w:r>
        <w:t>Cash held in a locked safe (provided the keys are</w:t>
      </w:r>
      <w:r>
        <w:tab/>
        <w:t>£2,500</w:t>
      </w:r>
    </w:p>
    <w:p w14:paraId="62097421" w14:textId="77777777" w:rsidR="0034019C" w:rsidRDefault="0034019C" w:rsidP="0034019C">
      <w:pPr>
        <w:pStyle w:val="Textlistindented-bullet"/>
        <w:numPr>
          <w:ilvl w:val="0"/>
          <w:numId w:val="0"/>
        </w:numPr>
        <w:ind w:left="1559"/>
      </w:pPr>
      <w:r>
        <w:t>not kept in the same part of the building)</w:t>
      </w:r>
    </w:p>
    <w:p w14:paraId="1B93242E" w14:textId="77777777" w:rsidR="0034019C" w:rsidRDefault="0034019C" w:rsidP="0034019C">
      <w:pPr>
        <w:pStyle w:val="Textlistindented-bullet"/>
        <w:numPr>
          <w:ilvl w:val="0"/>
          <w:numId w:val="0"/>
        </w:numPr>
        <w:ind w:left="1559" w:hanging="425"/>
      </w:pPr>
    </w:p>
    <w:p w14:paraId="19DD2FC1" w14:textId="77777777" w:rsidR="0034019C" w:rsidRDefault="0034019C" w:rsidP="0034019C">
      <w:pPr>
        <w:pStyle w:val="Textlistindented-bullet"/>
      </w:pPr>
      <w:r>
        <w:t>Cash held not in a safe</w:t>
      </w:r>
      <w:r>
        <w:tab/>
      </w:r>
      <w:r>
        <w:tab/>
      </w:r>
      <w:r>
        <w:tab/>
      </w:r>
      <w:r>
        <w:tab/>
      </w:r>
      <w:r>
        <w:tab/>
        <w:t>£250</w:t>
      </w:r>
    </w:p>
    <w:p w14:paraId="4625AC0A" w14:textId="303C79B9" w:rsidR="0034019C" w:rsidRDefault="0034019C" w:rsidP="0034019C">
      <w:pPr>
        <w:pStyle w:val="Text1Numbered"/>
      </w:pPr>
      <w:r>
        <w:t>For more information, refer to the Insurance Policy [G800].</w:t>
      </w:r>
    </w:p>
    <w:p w14:paraId="4892AD9B" w14:textId="77777777" w:rsidR="00347752" w:rsidRDefault="00347752" w:rsidP="00347752">
      <w:pPr>
        <w:pStyle w:val="Text1Numbered"/>
        <w:numPr>
          <w:ilvl w:val="0"/>
          <w:numId w:val="0"/>
        </w:numPr>
        <w:ind w:left="1135"/>
      </w:pPr>
    </w:p>
    <w:p w14:paraId="78D8ADDF" w14:textId="77777777" w:rsidR="00347752" w:rsidRDefault="00347752" w:rsidP="00347752">
      <w:pPr>
        <w:pStyle w:val="Text1Numbered"/>
        <w:numPr>
          <w:ilvl w:val="0"/>
          <w:numId w:val="0"/>
        </w:numPr>
        <w:ind w:left="1135"/>
      </w:pPr>
    </w:p>
    <w:p w14:paraId="22F3F55C" w14:textId="77777777" w:rsidR="00347752" w:rsidRDefault="00347752" w:rsidP="00347752">
      <w:pPr>
        <w:pStyle w:val="Text1Numbered"/>
        <w:numPr>
          <w:ilvl w:val="0"/>
          <w:numId w:val="0"/>
        </w:numPr>
        <w:ind w:left="1135"/>
      </w:pPr>
    </w:p>
    <w:p w14:paraId="79FA7199" w14:textId="77777777" w:rsidR="00347752" w:rsidRDefault="00347752" w:rsidP="00347752">
      <w:pPr>
        <w:pStyle w:val="Text1Numbered"/>
        <w:numPr>
          <w:ilvl w:val="0"/>
          <w:numId w:val="0"/>
        </w:numPr>
        <w:ind w:left="1135"/>
      </w:pPr>
    </w:p>
    <w:p w14:paraId="12737790" w14:textId="492D0107" w:rsidR="00D40DD9" w:rsidRDefault="00223C37" w:rsidP="00D40DD9">
      <w:pPr>
        <w:pStyle w:val="Heading1Numbered"/>
      </w:pPr>
      <w:bookmarkStart w:id="10" w:name="_Toc161653940"/>
      <w:r>
        <w:t>Petty Cash Floats</w:t>
      </w:r>
      <w:bookmarkEnd w:id="10"/>
    </w:p>
    <w:p w14:paraId="459AF26D" w14:textId="581BAD0B" w:rsidR="00D1001F" w:rsidRDefault="00D1001F" w:rsidP="00D1001F">
      <w:pPr>
        <w:pStyle w:val="Text1Numbered"/>
      </w:pPr>
      <w:r w:rsidRPr="00D1001F">
        <w:t xml:space="preserve">The petty cash float is intended to be used only for low-value items </w:t>
      </w:r>
      <w:r>
        <w:t>(</w:t>
      </w:r>
      <w:r w:rsidRPr="00D1001F">
        <w:t>less than £100</w:t>
      </w:r>
      <w:r>
        <w:t>)</w:t>
      </w:r>
      <w:r w:rsidRPr="00D1001F">
        <w:t>.</w:t>
      </w:r>
      <w:r w:rsidR="0034019C">
        <w:t xml:space="preserve"> Retirement Living schemes, more than £100 can be used in exceptional circumstances. </w:t>
      </w:r>
    </w:p>
    <w:p w14:paraId="68DF088E" w14:textId="77777777" w:rsidR="00D1001F" w:rsidRDefault="00D1001F" w:rsidP="00D1001F">
      <w:pPr>
        <w:pStyle w:val="Text1Numbered"/>
        <w:numPr>
          <w:ilvl w:val="0"/>
          <w:numId w:val="0"/>
        </w:numPr>
        <w:ind w:left="1135"/>
      </w:pPr>
    </w:p>
    <w:p w14:paraId="57D15EE4" w14:textId="372110EE" w:rsidR="00D1001F" w:rsidRDefault="00D1001F" w:rsidP="00D1001F">
      <w:pPr>
        <w:pStyle w:val="Text1Numbered"/>
      </w:pPr>
      <w:r w:rsidRPr="00D1001F">
        <w:t xml:space="preserve">Large amounts of cash should not be accepted in homes or schemes apart from for the amenity fund. Large amounts of cash for any other purpose such as residents personal monies, or fees as an example, should not be accepted. Colleagues should encourage other means of transfer such as BACs or cheque rather than cash. </w:t>
      </w:r>
    </w:p>
    <w:p w14:paraId="1C0E2460" w14:textId="77777777" w:rsidR="00D1001F" w:rsidRDefault="00D1001F" w:rsidP="00D1001F">
      <w:pPr>
        <w:pStyle w:val="Text1Numbered"/>
        <w:numPr>
          <w:ilvl w:val="0"/>
          <w:numId w:val="0"/>
        </w:numPr>
      </w:pPr>
    </w:p>
    <w:p w14:paraId="04BDFB6D" w14:textId="7D08188D" w:rsidR="00D1001F" w:rsidRDefault="00D1001F" w:rsidP="00D1001F">
      <w:pPr>
        <w:pStyle w:val="Text1Numbered"/>
      </w:pPr>
      <w:r w:rsidRPr="00D1001F">
        <w:rPr>
          <w:b/>
          <w:bCs/>
        </w:rPr>
        <w:t xml:space="preserve">For Care Homes </w:t>
      </w:r>
    </w:p>
    <w:p w14:paraId="0656CA79" w14:textId="71FCA858" w:rsidR="00D1001F" w:rsidRDefault="00D1001F" w:rsidP="00D1001F">
      <w:pPr>
        <w:pStyle w:val="Text2Numbered"/>
      </w:pPr>
      <w:r>
        <w:t>Petty</w:t>
      </w:r>
      <w:r w:rsidRPr="00D1001F">
        <w:t xml:space="preserve"> cash floats must not exceed £500</w:t>
      </w:r>
      <w:r>
        <w:t xml:space="preserve"> in Care Homes</w:t>
      </w:r>
    </w:p>
    <w:p w14:paraId="3466F598" w14:textId="77777777" w:rsidR="00D1001F" w:rsidRDefault="00D1001F" w:rsidP="00D1001F">
      <w:pPr>
        <w:pStyle w:val="Text2Numbered"/>
        <w:numPr>
          <w:ilvl w:val="0"/>
          <w:numId w:val="0"/>
        </w:numPr>
        <w:ind w:left="1135"/>
      </w:pPr>
    </w:p>
    <w:p w14:paraId="46B08CBA" w14:textId="246F9077" w:rsidR="00D1001F" w:rsidRDefault="00D1001F" w:rsidP="00D1001F">
      <w:pPr>
        <w:pStyle w:val="Text2Numbered"/>
      </w:pPr>
      <w:r>
        <w:t>W</w:t>
      </w:r>
      <w:r w:rsidRPr="00D1001F">
        <w:t>hen the petty cash float reaches £500 or is expected to reach £500, a paying in slip should be requested from operational finance  at central support. Once the home has received the paying in slip, they can complete this and return it to central support along with the excess money for banking</w:t>
      </w:r>
      <w:r w:rsidR="00347752" w:rsidRPr="00D1001F">
        <w:t xml:space="preserve">. </w:t>
      </w:r>
    </w:p>
    <w:p w14:paraId="00289EC0" w14:textId="2D78CE6F" w:rsidR="00D1001F" w:rsidRPr="00D1001F" w:rsidRDefault="00D1001F" w:rsidP="00D1001F">
      <w:pPr>
        <w:pStyle w:val="Text1Numbered"/>
        <w:rPr>
          <w:b/>
          <w:bCs/>
        </w:rPr>
      </w:pPr>
      <w:r w:rsidRPr="00D1001F">
        <w:rPr>
          <w:b/>
          <w:bCs/>
        </w:rPr>
        <w:t>For Retirement Living Schemes</w:t>
      </w:r>
    </w:p>
    <w:p w14:paraId="51264E69" w14:textId="1BF06E38" w:rsidR="00D1001F" w:rsidRDefault="00D1001F" w:rsidP="00D1001F">
      <w:pPr>
        <w:pStyle w:val="Text2Numbered"/>
      </w:pPr>
      <w:r w:rsidRPr="00D1001F">
        <w:t>Retirement Living Schemes with Bistro’s may often have a petty cash float of upwards of £500</w:t>
      </w:r>
      <w:r>
        <w:t>.</w:t>
      </w:r>
    </w:p>
    <w:p w14:paraId="5567E3CC" w14:textId="77777777" w:rsidR="00D1001F" w:rsidRDefault="00D1001F" w:rsidP="00D1001F">
      <w:pPr>
        <w:pStyle w:val="Text2Numbered"/>
        <w:numPr>
          <w:ilvl w:val="0"/>
          <w:numId w:val="0"/>
        </w:numPr>
        <w:ind w:left="1135"/>
      </w:pPr>
    </w:p>
    <w:p w14:paraId="29670086" w14:textId="6E9F6F7B" w:rsidR="00D1001F" w:rsidRDefault="00D1001F" w:rsidP="00D1001F">
      <w:pPr>
        <w:pStyle w:val="Text2Numbered"/>
      </w:pPr>
      <w:r>
        <w:t>Schemes should regularly bank any excess petty cash locally using the paying in book for MHA’s bank account.</w:t>
      </w:r>
    </w:p>
    <w:p w14:paraId="27E643A7" w14:textId="77777777" w:rsidR="0034019C" w:rsidRDefault="0034019C" w:rsidP="0034019C">
      <w:pPr>
        <w:pStyle w:val="Text2Numbered"/>
        <w:numPr>
          <w:ilvl w:val="0"/>
          <w:numId w:val="0"/>
        </w:numPr>
        <w:ind w:left="1135"/>
        <w:rPr>
          <w:rStyle w:val="cf01"/>
          <w:rFonts w:ascii="Arial" w:hAnsi="Arial" w:cstheme="minorBidi"/>
          <w:sz w:val="24"/>
          <w:szCs w:val="24"/>
        </w:rPr>
      </w:pPr>
    </w:p>
    <w:p w14:paraId="1FDAD680" w14:textId="213F180B" w:rsidR="0034019C" w:rsidRDefault="0034019C" w:rsidP="0034019C">
      <w:pPr>
        <w:pStyle w:val="Text2Numbered"/>
        <w:rPr>
          <w:rStyle w:val="cf01"/>
          <w:rFonts w:ascii="Arial" w:hAnsi="Arial" w:cstheme="minorBidi"/>
          <w:sz w:val="24"/>
          <w:szCs w:val="24"/>
        </w:rPr>
      </w:pPr>
      <w:r>
        <w:rPr>
          <w:rStyle w:val="cf01"/>
          <w:rFonts w:ascii="Arial" w:hAnsi="Arial" w:cstheme="minorBidi"/>
          <w:sz w:val="24"/>
          <w:szCs w:val="24"/>
        </w:rPr>
        <w:t xml:space="preserve">Residents are not encouraged to pay any fee’s using </w:t>
      </w:r>
      <w:r w:rsidR="00347752">
        <w:rPr>
          <w:rStyle w:val="cf01"/>
          <w:rFonts w:ascii="Arial" w:hAnsi="Arial" w:cstheme="minorBidi"/>
          <w:sz w:val="24"/>
          <w:szCs w:val="24"/>
        </w:rPr>
        <w:t>cash,</w:t>
      </w:r>
      <w:r>
        <w:rPr>
          <w:rStyle w:val="cf01"/>
          <w:rFonts w:ascii="Arial" w:hAnsi="Arial" w:cstheme="minorBidi"/>
          <w:sz w:val="24"/>
          <w:szCs w:val="24"/>
        </w:rPr>
        <w:t xml:space="preserve"> but this can be done in exceptional circumstances through the petty cash fund. Colleagues must contact Operational Finance prior to accepting any cash payments.</w:t>
      </w:r>
      <w:r w:rsidRPr="0034019C">
        <w:rPr>
          <w:rStyle w:val="cf01"/>
          <w:rFonts w:ascii="Arial" w:hAnsi="Arial" w:cstheme="minorBidi"/>
          <w:sz w:val="24"/>
          <w:szCs w:val="24"/>
        </w:rPr>
        <w:t xml:space="preserve"> </w:t>
      </w:r>
    </w:p>
    <w:p w14:paraId="6EB1DE06" w14:textId="77777777" w:rsidR="00347752" w:rsidRDefault="00347752" w:rsidP="00347752">
      <w:pPr>
        <w:pStyle w:val="ListParagraph"/>
      </w:pPr>
    </w:p>
    <w:p w14:paraId="3A911AC8" w14:textId="77777777" w:rsidR="00347752" w:rsidRPr="0034019C" w:rsidRDefault="00347752" w:rsidP="00347752">
      <w:pPr>
        <w:pStyle w:val="Text2Numbered"/>
        <w:numPr>
          <w:ilvl w:val="0"/>
          <w:numId w:val="0"/>
        </w:numPr>
        <w:ind w:left="1135"/>
      </w:pPr>
    </w:p>
    <w:p w14:paraId="129C6D46" w14:textId="76A59463" w:rsidR="00223C37" w:rsidRDefault="00223C37" w:rsidP="00223C37">
      <w:pPr>
        <w:pStyle w:val="Heading1Numbered"/>
      </w:pPr>
      <w:bookmarkStart w:id="11" w:name="_Toc161653941"/>
      <w:r>
        <w:t>Petty Cash Top Ups</w:t>
      </w:r>
      <w:bookmarkEnd w:id="11"/>
    </w:p>
    <w:p w14:paraId="115E785D" w14:textId="703C479F" w:rsidR="0010231D" w:rsidRPr="00D1001F" w:rsidRDefault="0010231D" w:rsidP="00223C37">
      <w:pPr>
        <w:pStyle w:val="Text1Numbered"/>
      </w:pPr>
      <w:r w:rsidRPr="00D1001F">
        <w:t>Managers can withdraw cash using the Equals card if they don’t have enough money in the tin.</w:t>
      </w:r>
    </w:p>
    <w:p w14:paraId="063ECB84" w14:textId="77777777" w:rsidR="0010231D" w:rsidRDefault="0010231D" w:rsidP="0010231D">
      <w:pPr>
        <w:pStyle w:val="Text1Numbered"/>
        <w:numPr>
          <w:ilvl w:val="0"/>
          <w:numId w:val="0"/>
        </w:numPr>
        <w:ind w:left="1135"/>
        <w:rPr>
          <w:color w:val="D4007F" w:themeColor="accent2"/>
        </w:rPr>
      </w:pPr>
    </w:p>
    <w:p w14:paraId="36E22EBD" w14:textId="49533A0D" w:rsidR="00187922" w:rsidRPr="00187922" w:rsidRDefault="00223C37" w:rsidP="00223C37">
      <w:pPr>
        <w:pStyle w:val="Text1Numbered"/>
      </w:pPr>
      <w:r w:rsidRPr="00187922">
        <w:t xml:space="preserve">Equals cards have been issued via HSBC to all Care homes and </w:t>
      </w:r>
      <w:r w:rsidR="00187922" w:rsidRPr="00187922">
        <w:t xml:space="preserve">Retirement Living </w:t>
      </w:r>
      <w:r w:rsidRPr="00187922">
        <w:t>Schemes and these are to be used to draw cash to top up the Petty Cash float</w:t>
      </w:r>
      <w:r w:rsidR="00347752" w:rsidRPr="00187922">
        <w:t xml:space="preserve">. </w:t>
      </w:r>
      <w:r w:rsidR="00187922" w:rsidRPr="00187922">
        <w:t>A petty cash</w:t>
      </w:r>
      <w:r w:rsidRPr="00187922">
        <w:t xml:space="preserve"> return must be completed and submitted at least monthly to account for the withdrawal and to top up money available on the Equals card</w:t>
      </w:r>
      <w:r w:rsidR="00347752" w:rsidRPr="00187922">
        <w:t xml:space="preserve">. </w:t>
      </w:r>
    </w:p>
    <w:p w14:paraId="37AB236F" w14:textId="77777777" w:rsidR="00187922" w:rsidRPr="00187922" w:rsidRDefault="00187922" w:rsidP="00187922">
      <w:pPr>
        <w:pStyle w:val="Text1Numbered"/>
        <w:numPr>
          <w:ilvl w:val="0"/>
          <w:numId w:val="0"/>
        </w:numPr>
        <w:ind w:left="1135"/>
      </w:pPr>
    </w:p>
    <w:p w14:paraId="79040D80" w14:textId="7DE334C6" w:rsidR="00223C37" w:rsidRDefault="00223C37" w:rsidP="00223C37">
      <w:pPr>
        <w:pStyle w:val="Text1Numbered"/>
      </w:pPr>
      <w:r>
        <w:t xml:space="preserve">If cash funds are insufficient or the regular payment to a local supplier would significantly reduce the cash float, a payment may be issued for urgent payments where the time involved in processing an invoice via </w:t>
      </w:r>
      <w:r w:rsidR="00EC2425">
        <w:t>Central Support</w:t>
      </w:r>
      <w:r>
        <w:t xml:space="preserve"> Purchase Ledger Team or processing one off bacs payment requests is unacceptable to the supplier. This is an exception not the norm.</w:t>
      </w:r>
    </w:p>
    <w:p w14:paraId="66045ED1" w14:textId="28EBAC62" w:rsidR="00223C37" w:rsidRDefault="00223C37" w:rsidP="00223C37">
      <w:pPr>
        <w:pStyle w:val="Heading1Numbered"/>
      </w:pPr>
      <w:bookmarkStart w:id="12" w:name="_Toc161653942"/>
      <w:r>
        <w:t>Miscellaneous Income</w:t>
      </w:r>
      <w:bookmarkEnd w:id="12"/>
    </w:p>
    <w:p w14:paraId="2B6F6A20" w14:textId="77777777" w:rsidR="00223C37" w:rsidRDefault="00223C37" w:rsidP="00223C37">
      <w:pPr>
        <w:pStyle w:val="Text1Numbered"/>
      </w:pPr>
      <w:r>
        <w:t>All cash received must be signed for in a receipt book by:</w:t>
      </w:r>
    </w:p>
    <w:p w14:paraId="46A35402" w14:textId="77777777" w:rsidR="00223C37" w:rsidRDefault="00223C37" w:rsidP="00223C37">
      <w:pPr>
        <w:pStyle w:val="Textlistindented-bullet"/>
      </w:pPr>
      <w:r>
        <w:t>the person giving the income.</w:t>
      </w:r>
    </w:p>
    <w:p w14:paraId="02DABB34" w14:textId="77777777" w:rsidR="00223C37" w:rsidRDefault="00223C37" w:rsidP="00223C37">
      <w:pPr>
        <w:pStyle w:val="Textlistindented-bullet"/>
      </w:pPr>
      <w:r>
        <w:t>the person receiving the income.</w:t>
      </w:r>
    </w:p>
    <w:p w14:paraId="7C1621C1" w14:textId="432C6DEF" w:rsidR="00223C37" w:rsidRDefault="00223C37" w:rsidP="00223C37">
      <w:pPr>
        <w:pStyle w:val="Heading1Numbered"/>
      </w:pPr>
      <w:bookmarkStart w:id="13" w:name="_Toc161653943"/>
      <w:r>
        <w:t>Petty Cash Expenditure</w:t>
      </w:r>
      <w:bookmarkEnd w:id="13"/>
    </w:p>
    <w:p w14:paraId="47EFD0F4" w14:textId="77777777" w:rsidR="00223C37" w:rsidRDefault="00223C37" w:rsidP="00223C37">
      <w:pPr>
        <w:pStyle w:val="Text1Numbered"/>
      </w:pPr>
      <w:r>
        <w:t>A petty cash voucher must be completed for every cash payment,</w:t>
      </w:r>
    </w:p>
    <w:p w14:paraId="0BC29A2D" w14:textId="77777777" w:rsidR="00223C37" w:rsidRDefault="00223C37" w:rsidP="00223C37">
      <w:pPr>
        <w:pStyle w:val="Textlistindented-bullet"/>
      </w:pPr>
      <w:r>
        <w:t xml:space="preserve">detailing the expenditure </w:t>
      </w:r>
    </w:p>
    <w:p w14:paraId="43A16001" w14:textId="4E5AA11B" w:rsidR="00223C37" w:rsidRDefault="00223C37" w:rsidP="00223C37">
      <w:pPr>
        <w:pStyle w:val="Textlistindented-bullet"/>
      </w:pPr>
      <w:r>
        <w:t xml:space="preserve">signed by the </w:t>
      </w:r>
      <w:r w:rsidR="00EC2425">
        <w:t>colleagues</w:t>
      </w:r>
      <w:r>
        <w:t xml:space="preserve"> seeking reimbursement.</w:t>
      </w:r>
    </w:p>
    <w:p w14:paraId="20ECCDEC" w14:textId="6CEB5D07" w:rsidR="00223C37" w:rsidRDefault="00223C37" w:rsidP="00223C37">
      <w:pPr>
        <w:pStyle w:val="Textlistindented-bullet"/>
      </w:pPr>
      <w:r>
        <w:t xml:space="preserve">signed by the </w:t>
      </w:r>
      <w:r w:rsidR="00EC2425">
        <w:t>colleagues</w:t>
      </w:r>
      <w:r>
        <w:t xml:space="preserve"> providing reimbursement.</w:t>
      </w:r>
    </w:p>
    <w:p w14:paraId="37A49C1E" w14:textId="77777777" w:rsidR="00223C37" w:rsidRDefault="00223C37" w:rsidP="00223C37">
      <w:pPr>
        <w:pStyle w:val="Textlistindented-bullet"/>
      </w:pPr>
      <w:r>
        <w:t>accompanied by an itemised till receipt.</w:t>
      </w:r>
    </w:p>
    <w:p w14:paraId="2015CB25" w14:textId="70900AF1" w:rsidR="00223C37" w:rsidRDefault="00223C37" w:rsidP="00223C37">
      <w:pPr>
        <w:pStyle w:val="Text1Numbered"/>
      </w:pPr>
      <w:r>
        <w:t>These vouchers must be filed with the local copy of the Petty Cash Claim form</w:t>
      </w:r>
      <w:r w:rsidR="00591827">
        <w:t xml:space="preserve"> which must be kept for 7 years.</w:t>
      </w:r>
    </w:p>
    <w:p w14:paraId="3C444028" w14:textId="77777777" w:rsidR="00D1001F" w:rsidRDefault="00D1001F" w:rsidP="00D1001F">
      <w:pPr>
        <w:pStyle w:val="Text1Numbered"/>
        <w:numPr>
          <w:ilvl w:val="0"/>
          <w:numId w:val="0"/>
        </w:numPr>
        <w:ind w:left="1135"/>
      </w:pPr>
    </w:p>
    <w:p w14:paraId="14E53532" w14:textId="054BCF46" w:rsidR="00D1001F" w:rsidRDefault="00D1001F" w:rsidP="00EC2425">
      <w:pPr>
        <w:pStyle w:val="Text1Numbered"/>
      </w:pPr>
      <w:r>
        <w:t xml:space="preserve">If an advance is required to enable a colleague to make a purchase on behalf of MHA, both </w:t>
      </w:r>
      <w:r w:rsidR="00182D1B">
        <w:t>the</w:t>
      </w:r>
      <w:r>
        <w:t xml:space="preserve"> colleague and an authorised signatory must sign the voucher.</w:t>
      </w:r>
      <w:r w:rsidR="00EC2425">
        <w:t xml:space="preserve"> Double signing is a requirement across care homes and should be followed where possible across Retirement Living.</w:t>
      </w:r>
      <w:r>
        <w:t xml:space="preserve"> </w:t>
      </w:r>
    </w:p>
    <w:p w14:paraId="38367F14" w14:textId="77777777" w:rsidR="00D1001F" w:rsidRDefault="00D1001F" w:rsidP="00D1001F">
      <w:pPr>
        <w:pStyle w:val="Text1Numbered"/>
        <w:numPr>
          <w:ilvl w:val="0"/>
          <w:numId w:val="0"/>
        </w:numPr>
        <w:ind w:left="1135"/>
      </w:pPr>
    </w:p>
    <w:p w14:paraId="1DB5F9C9" w14:textId="5CD27872" w:rsidR="00D1001F" w:rsidRDefault="00D1001F" w:rsidP="00D1001F">
      <w:pPr>
        <w:pStyle w:val="Text1Numbered"/>
      </w:pPr>
      <w:r>
        <w:t xml:space="preserve">Advances over £20 need authorisation by </w:t>
      </w:r>
      <w:r w:rsidR="00EC2425">
        <w:t>a Manager</w:t>
      </w:r>
      <w:r>
        <w:t xml:space="preserve"> and they must sign the advance slip before any money can be advanced</w:t>
      </w:r>
      <w:r w:rsidR="00347752">
        <w:t xml:space="preserve">. </w:t>
      </w:r>
    </w:p>
    <w:p w14:paraId="62457263" w14:textId="77777777" w:rsidR="00223C37" w:rsidRDefault="00223C37" w:rsidP="00EC2425">
      <w:pPr>
        <w:pStyle w:val="Text1Numbered"/>
        <w:numPr>
          <w:ilvl w:val="0"/>
          <w:numId w:val="0"/>
        </w:numPr>
      </w:pPr>
    </w:p>
    <w:p w14:paraId="1D422A37" w14:textId="35BE907D" w:rsidR="00223C37" w:rsidRDefault="00223C37" w:rsidP="00223C37">
      <w:pPr>
        <w:pStyle w:val="Text1Numbered"/>
      </w:pPr>
      <w:r>
        <w:t xml:space="preserve">Advances must be promptly dealt within 3 days </w:t>
      </w:r>
      <w:r w:rsidR="00C83D44">
        <w:t xml:space="preserve">- </w:t>
      </w:r>
      <w:r>
        <w:t xml:space="preserve">the full amount or a receipt and any change must be returned. </w:t>
      </w:r>
    </w:p>
    <w:p w14:paraId="0E5A4930" w14:textId="77777777" w:rsidR="00223C37" w:rsidRDefault="00223C37" w:rsidP="00223C37">
      <w:pPr>
        <w:pStyle w:val="Text1Numbered"/>
        <w:numPr>
          <w:ilvl w:val="0"/>
          <w:numId w:val="0"/>
        </w:numPr>
        <w:ind w:left="1135"/>
      </w:pPr>
    </w:p>
    <w:p w14:paraId="38B67BAC" w14:textId="45F9A742" w:rsidR="00223C37" w:rsidRDefault="00223C37" w:rsidP="00223C37">
      <w:pPr>
        <w:pStyle w:val="Text1Numbered"/>
      </w:pPr>
      <w:r>
        <w:t>If an advance exceeds 3 days this must be escalated to the Manager immediately so that they can help chase up the return of the full advance or receipt and any change.</w:t>
      </w:r>
    </w:p>
    <w:p w14:paraId="4BB34907" w14:textId="77777777" w:rsidR="00223C37" w:rsidRDefault="00223C37" w:rsidP="00223C37">
      <w:pPr>
        <w:pStyle w:val="Text1Numbered"/>
        <w:numPr>
          <w:ilvl w:val="0"/>
          <w:numId w:val="0"/>
        </w:numPr>
        <w:ind w:left="1135"/>
      </w:pPr>
    </w:p>
    <w:p w14:paraId="25EBA954" w14:textId="54DA442C" w:rsidR="00407302" w:rsidRDefault="00223C37" w:rsidP="00223C37">
      <w:pPr>
        <w:pStyle w:val="Text1Numbered"/>
      </w:pPr>
      <w:r>
        <w:t>In the event of a lost receipt, the Manager can apply discretion for a spend of up to £20</w:t>
      </w:r>
      <w:r w:rsidR="00347752">
        <w:t xml:space="preserve">. </w:t>
      </w:r>
    </w:p>
    <w:p w14:paraId="7947DCEE" w14:textId="77777777" w:rsidR="00407302" w:rsidRDefault="00407302" w:rsidP="00407302">
      <w:pPr>
        <w:pStyle w:val="Text1Numbered"/>
        <w:numPr>
          <w:ilvl w:val="0"/>
          <w:numId w:val="0"/>
        </w:numPr>
        <w:ind w:left="1135"/>
      </w:pPr>
    </w:p>
    <w:p w14:paraId="24861C13" w14:textId="54E63231" w:rsidR="00223C37" w:rsidRDefault="00223C37" w:rsidP="00223C37">
      <w:pPr>
        <w:pStyle w:val="Text1Numbered"/>
      </w:pPr>
      <w:r>
        <w:t xml:space="preserve">Above £20 requires approval from an Area Manager, Regional Director, </w:t>
      </w:r>
      <w:r w:rsidR="00EC2425">
        <w:t>Central Support</w:t>
      </w:r>
      <w:r>
        <w:t xml:space="preserve"> Manager or Leadership Team Member</w:t>
      </w:r>
      <w:r w:rsidR="00347752">
        <w:t xml:space="preserve">. </w:t>
      </w:r>
      <w:r>
        <w:t>The petty cash voucher must be signed to acknowledge and approve the missing receipt by the authoriser.</w:t>
      </w:r>
    </w:p>
    <w:p w14:paraId="2C8E890D" w14:textId="77777777" w:rsidR="00347752" w:rsidRDefault="00347752" w:rsidP="00347752">
      <w:pPr>
        <w:pStyle w:val="Text1Numbered"/>
        <w:numPr>
          <w:ilvl w:val="0"/>
          <w:numId w:val="0"/>
        </w:numPr>
        <w:ind w:left="1135"/>
      </w:pPr>
    </w:p>
    <w:p w14:paraId="7DC44F24" w14:textId="7548E35E" w:rsidR="00347752" w:rsidRPr="00223C37" w:rsidRDefault="00347752" w:rsidP="00223C37">
      <w:pPr>
        <w:pStyle w:val="Text1Numbered"/>
      </w:pPr>
      <w:r w:rsidRPr="00347752">
        <w:t>If an item is not listed below, please check with a member of Treasury at Central Support for advice</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4536"/>
      </w:tblGrid>
      <w:tr w:rsidR="00223C37" w:rsidRPr="00102B88" w14:paraId="3EFA6748" w14:textId="77777777" w:rsidTr="00347752">
        <w:trPr>
          <w:tblHeader/>
          <w:jc w:val="center"/>
        </w:trPr>
        <w:tc>
          <w:tcPr>
            <w:tcW w:w="4957" w:type="dxa"/>
            <w:shd w:val="clear" w:color="auto" w:fill="4F868E"/>
            <w:vAlign w:val="center"/>
          </w:tcPr>
          <w:p w14:paraId="722F5C06" w14:textId="77777777" w:rsidR="00223C37" w:rsidRPr="00102B88" w:rsidRDefault="00223C37" w:rsidP="00E4542E">
            <w:pPr>
              <w:pStyle w:val="ListParagraph"/>
              <w:spacing w:line="276" w:lineRule="auto"/>
              <w:ind w:left="0"/>
              <w:rPr>
                <w:rFonts w:cs="Arial"/>
                <w:b/>
                <w:bCs/>
                <w:color w:val="FFFFFF" w:themeColor="background1"/>
                <w:szCs w:val="22"/>
              </w:rPr>
            </w:pPr>
            <w:r w:rsidRPr="00102B88">
              <w:rPr>
                <w:rFonts w:cs="Arial"/>
                <w:b/>
                <w:bCs/>
                <w:color w:val="FFFFFF" w:themeColor="background1"/>
                <w:szCs w:val="22"/>
              </w:rPr>
              <w:t>Petty cash - allowed items</w:t>
            </w:r>
          </w:p>
        </w:tc>
        <w:tc>
          <w:tcPr>
            <w:tcW w:w="4536" w:type="dxa"/>
            <w:shd w:val="clear" w:color="auto" w:fill="4F868E"/>
            <w:vAlign w:val="center"/>
          </w:tcPr>
          <w:p w14:paraId="1DEA4233" w14:textId="77777777" w:rsidR="00223C37" w:rsidRPr="00102B88" w:rsidRDefault="00223C37" w:rsidP="00E4542E">
            <w:pPr>
              <w:pStyle w:val="ListParagraph"/>
              <w:spacing w:line="276" w:lineRule="auto"/>
              <w:ind w:left="0"/>
              <w:rPr>
                <w:rFonts w:cs="Arial"/>
                <w:b/>
                <w:bCs/>
                <w:color w:val="FFFFFF" w:themeColor="background1"/>
                <w:szCs w:val="22"/>
              </w:rPr>
            </w:pPr>
            <w:r w:rsidRPr="00102B88">
              <w:rPr>
                <w:rFonts w:cs="Arial"/>
                <w:b/>
                <w:bCs/>
                <w:color w:val="FFFFFF" w:themeColor="background1"/>
                <w:szCs w:val="22"/>
              </w:rPr>
              <w:t>Petty cash – disallowed items</w:t>
            </w:r>
          </w:p>
        </w:tc>
      </w:tr>
      <w:tr w:rsidR="00223C37" w:rsidRPr="00DF1B72" w14:paraId="6C9D9734" w14:textId="77777777" w:rsidTr="00EC2425">
        <w:trPr>
          <w:jc w:val="center"/>
        </w:trPr>
        <w:tc>
          <w:tcPr>
            <w:tcW w:w="4957" w:type="dxa"/>
            <w:shd w:val="clear" w:color="auto" w:fill="auto"/>
            <w:vAlign w:val="center"/>
          </w:tcPr>
          <w:p w14:paraId="27591D4F" w14:textId="77777777" w:rsidR="00223C37" w:rsidRPr="00DF1B72" w:rsidRDefault="00223C37" w:rsidP="00E4542E">
            <w:pPr>
              <w:pStyle w:val="ListParagraph"/>
              <w:spacing w:line="276" w:lineRule="auto"/>
              <w:ind w:left="0"/>
              <w:rPr>
                <w:rFonts w:cs="Arial"/>
                <w:szCs w:val="22"/>
              </w:rPr>
            </w:pPr>
            <w:r w:rsidRPr="0045442D">
              <w:rPr>
                <w:rFonts w:cs="Arial"/>
                <w:szCs w:val="22"/>
              </w:rPr>
              <w:t>Small one-off expenses claims should be reimbursed via the home and schemes petty cash (see the Business Expenses policy, FP003)</w:t>
            </w:r>
          </w:p>
        </w:tc>
        <w:tc>
          <w:tcPr>
            <w:tcW w:w="4536" w:type="dxa"/>
            <w:shd w:val="clear" w:color="auto" w:fill="auto"/>
            <w:vAlign w:val="center"/>
          </w:tcPr>
          <w:p w14:paraId="20C6259C" w14:textId="2893CB5A" w:rsidR="00223C37" w:rsidRPr="00DF1B72" w:rsidRDefault="00223C37" w:rsidP="00E4542E">
            <w:pPr>
              <w:pStyle w:val="ListParagraph"/>
              <w:spacing w:line="276" w:lineRule="auto"/>
              <w:ind w:left="0"/>
              <w:rPr>
                <w:rFonts w:cs="Arial"/>
                <w:szCs w:val="22"/>
              </w:rPr>
            </w:pPr>
            <w:r w:rsidRPr="0045442D">
              <w:rPr>
                <w:rFonts w:cs="Arial"/>
                <w:szCs w:val="22"/>
              </w:rPr>
              <w:t>All other expenses must be submitted using Webexpenses (see the Business Expenses policy, FP003)</w:t>
            </w:r>
          </w:p>
        </w:tc>
      </w:tr>
      <w:tr w:rsidR="00223C37" w:rsidRPr="00DF1B72" w14:paraId="2672E628" w14:textId="77777777" w:rsidTr="00EC2425">
        <w:trPr>
          <w:jc w:val="center"/>
        </w:trPr>
        <w:tc>
          <w:tcPr>
            <w:tcW w:w="4957" w:type="dxa"/>
            <w:shd w:val="clear" w:color="auto" w:fill="auto"/>
            <w:vAlign w:val="center"/>
          </w:tcPr>
          <w:p w14:paraId="74BE954E" w14:textId="77777777" w:rsidR="00223C37" w:rsidRPr="00DF1B72" w:rsidRDefault="00223C37" w:rsidP="00E4542E">
            <w:pPr>
              <w:pStyle w:val="ListParagraph"/>
              <w:spacing w:line="276" w:lineRule="auto"/>
              <w:ind w:left="0"/>
              <w:rPr>
                <w:rFonts w:cs="Arial"/>
                <w:szCs w:val="22"/>
              </w:rPr>
            </w:pPr>
            <w:r w:rsidRPr="00DF1B72">
              <w:rPr>
                <w:rFonts w:cs="Arial"/>
                <w:szCs w:val="22"/>
              </w:rPr>
              <w:t>One off activities less than £100</w:t>
            </w:r>
          </w:p>
        </w:tc>
        <w:tc>
          <w:tcPr>
            <w:tcW w:w="4536" w:type="dxa"/>
            <w:shd w:val="clear" w:color="auto" w:fill="auto"/>
            <w:vAlign w:val="center"/>
          </w:tcPr>
          <w:p w14:paraId="4E72D56F" w14:textId="77777777" w:rsidR="00223C37" w:rsidRPr="00DF1B72" w:rsidRDefault="00223C37" w:rsidP="00E4542E">
            <w:pPr>
              <w:pStyle w:val="ListParagraph"/>
              <w:spacing w:line="276" w:lineRule="auto"/>
              <w:ind w:left="0"/>
              <w:rPr>
                <w:rFonts w:cs="Arial"/>
                <w:szCs w:val="22"/>
              </w:rPr>
            </w:pPr>
            <w:r w:rsidRPr="00DF1B72">
              <w:rPr>
                <w:rFonts w:cs="Arial"/>
                <w:szCs w:val="22"/>
              </w:rPr>
              <w:t xml:space="preserve">Regular activates that can be paid by an invoice and have payments terms of 30 days </w:t>
            </w:r>
          </w:p>
        </w:tc>
      </w:tr>
      <w:tr w:rsidR="00223C37" w:rsidRPr="00DF1B72" w14:paraId="2097F5C1" w14:textId="77777777" w:rsidTr="00EC2425">
        <w:trPr>
          <w:jc w:val="center"/>
        </w:trPr>
        <w:tc>
          <w:tcPr>
            <w:tcW w:w="4957" w:type="dxa"/>
            <w:shd w:val="clear" w:color="auto" w:fill="auto"/>
            <w:vAlign w:val="center"/>
          </w:tcPr>
          <w:p w14:paraId="20F4566A" w14:textId="77777777" w:rsidR="00223C37" w:rsidRPr="00DF1B72" w:rsidRDefault="00223C37" w:rsidP="00E4542E">
            <w:pPr>
              <w:pStyle w:val="ListParagraph"/>
              <w:spacing w:line="276" w:lineRule="auto"/>
              <w:ind w:left="0"/>
              <w:rPr>
                <w:rFonts w:cs="Arial"/>
                <w:szCs w:val="22"/>
              </w:rPr>
            </w:pPr>
            <w:r w:rsidRPr="00DF1B72">
              <w:rPr>
                <w:rFonts w:cs="Arial"/>
                <w:szCs w:val="22"/>
              </w:rPr>
              <w:t>Local florists, newsagents, Chiropodists hairdressers and suppliers who have payment terms of less than 30 days</w:t>
            </w:r>
          </w:p>
        </w:tc>
        <w:tc>
          <w:tcPr>
            <w:tcW w:w="4536" w:type="dxa"/>
            <w:shd w:val="clear" w:color="auto" w:fill="auto"/>
            <w:vAlign w:val="center"/>
          </w:tcPr>
          <w:p w14:paraId="58A3D7BB" w14:textId="77777777" w:rsidR="00223C37" w:rsidRPr="00DF1B72" w:rsidRDefault="00223C37" w:rsidP="00E4542E">
            <w:pPr>
              <w:pStyle w:val="ListParagraph"/>
              <w:spacing w:line="276" w:lineRule="auto"/>
              <w:ind w:left="0"/>
              <w:rPr>
                <w:rFonts w:cs="Arial"/>
                <w:szCs w:val="22"/>
              </w:rPr>
            </w:pPr>
            <w:r w:rsidRPr="00DF1B72">
              <w:rPr>
                <w:rFonts w:cs="Arial"/>
                <w:szCs w:val="22"/>
              </w:rPr>
              <w:t>Repairs to buildings</w:t>
            </w:r>
            <w:r>
              <w:rPr>
                <w:rFonts w:cs="Arial"/>
                <w:szCs w:val="22"/>
              </w:rPr>
              <w:t xml:space="preserve"> (including skip hire where possible – skip hire paid in cash must be approved by the area manager prior to booking)</w:t>
            </w:r>
          </w:p>
        </w:tc>
      </w:tr>
      <w:tr w:rsidR="00223C37" w:rsidRPr="00DF1B72" w14:paraId="5148D3E2" w14:textId="77777777" w:rsidTr="00EC2425">
        <w:trPr>
          <w:jc w:val="center"/>
        </w:trPr>
        <w:tc>
          <w:tcPr>
            <w:tcW w:w="4957" w:type="dxa"/>
            <w:shd w:val="clear" w:color="auto" w:fill="auto"/>
            <w:vAlign w:val="center"/>
          </w:tcPr>
          <w:p w14:paraId="00BBB845" w14:textId="77777777" w:rsidR="00223C37" w:rsidRPr="00DF1B72" w:rsidRDefault="00223C37" w:rsidP="00E4542E">
            <w:pPr>
              <w:pStyle w:val="ListParagraph"/>
              <w:spacing w:line="276" w:lineRule="auto"/>
              <w:ind w:left="0"/>
              <w:rPr>
                <w:rFonts w:cs="Arial"/>
                <w:szCs w:val="22"/>
              </w:rPr>
            </w:pPr>
            <w:r w:rsidRPr="00DF1B72">
              <w:rPr>
                <w:rFonts w:cs="Arial"/>
                <w:szCs w:val="22"/>
              </w:rPr>
              <w:t>Postage</w:t>
            </w:r>
          </w:p>
        </w:tc>
        <w:tc>
          <w:tcPr>
            <w:tcW w:w="4536" w:type="dxa"/>
            <w:shd w:val="clear" w:color="auto" w:fill="auto"/>
            <w:vAlign w:val="center"/>
          </w:tcPr>
          <w:p w14:paraId="3C98E9A9" w14:textId="77777777" w:rsidR="00223C37" w:rsidRPr="00DF1B72" w:rsidRDefault="00223C37" w:rsidP="00E4542E">
            <w:pPr>
              <w:pStyle w:val="ListParagraph"/>
              <w:spacing w:line="276" w:lineRule="auto"/>
              <w:ind w:left="0"/>
              <w:rPr>
                <w:rFonts w:cs="Arial"/>
                <w:szCs w:val="22"/>
              </w:rPr>
            </w:pPr>
            <w:r w:rsidRPr="00DF1B72">
              <w:rPr>
                <w:rFonts w:cs="Arial"/>
                <w:szCs w:val="22"/>
              </w:rPr>
              <w:t>Loans or advances for non-business expenditure</w:t>
            </w:r>
          </w:p>
        </w:tc>
      </w:tr>
      <w:tr w:rsidR="00223C37" w:rsidRPr="00DF1B72" w14:paraId="18F06482" w14:textId="77777777" w:rsidTr="00EC2425">
        <w:trPr>
          <w:jc w:val="center"/>
        </w:trPr>
        <w:tc>
          <w:tcPr>
            <w:tcW w:w="4957" w:type="dxa"/>
            <w:shd w:val="clear" w:color="auto" w:fill="auto"/>
            <w:vAlign w:val="center"/>
          </w:tcPr>
          <w:p w14:paraId="71F56216" w14:textId="77777777" w:rsidR="00223C37" w:rsidRPr="00DF1B72" w:rsidRDefault="00223C37" w:rsidP="00E4542E">
            <w:pPr>
              <w:pStyle w:val="ListParagraph"/>
              <w:spacing w:line="276" w:lineRule="auto"/>
              <w:ind w:left="0"/>
              <w:rPr>
                <w:rFonts w:cs="Arial"/>
                <w:szCs w:val="22"/>
              </w:rPr>
            </w:pPr>
            <w:r w:rsidRPr="00DF1B72">
              <w:rPr>
                <w:rFonts w:cs="Arial"/>
                <w:szCs w:val="22"/>
              </w:rPr>
              <w:t>Leaving gifts / small item gifts</w:t>
            </w:r>
          </w:p>
        </w:tc>
        <w:tc>
          <w:tcPr>
            <w:tcW w:w="4536" w:type="dxa"/>
            <w:shd w:val="clear" w:color="auto" w:fill="auto"/>
            <w:vAlign w:val="center"/>
          </w:tcPr>
          <w:p w14:paraId="6DC0CFCA" w14:textId="77777777" w:rsidR="00223C37" w:rsidRPr="00DF1B72" w:rsidRDefault="00223C37" w:rsidP="00E4542E">
            <w:pPr>
              <w:pStyle w:val="ListParagraph"/>
              <w:spacing w:line="276" w:lineRule="auto"/>
              <w:ind w:left="0"/>
              <w:rPr>
                <w:rFonts w:cs="Arial"/>
                <w:szCs w:val="22"/>
              </w:rPr>
            </w:pPr>
            <w:r w:rsidRPr="00DF1B72">
              <w:rPr>
                <w:rFonts w:cs="Arial"/>
                <w:szCs w:val="22"/>
              </w:rPr>
              <w:t xml:space="preserve">Reimbursement - Employee Business expenses over £100 </w:t>
            </w:r>
          </w:p>
        </w:tc>
      </w:tr>
      <w:tr w:rsidR="00223C37" w:rsidRPr="00DF1B72" w14:paraId="17193A15" w14:textId="77777777" w:rsidTr="00EC2425">
        <w:trPr>
          <w:jc w:val="center"/>
        </w:trPr>
        <w:tc>
          <w:tcPr>
            <w:tcW w:w="4957" w:type="dxa"/>
            <w:shd w:val="clear" w:color="auto" w:fill="auto"/>
            <w:vAlign w:val="center"/>
          </w:tcPr>
          <w:p w14:paraId="594C86E6" w14:textId="57F6E5A3" w:rsidR="00223C37" w:rsidRPr="00DF1B72" w:rsidRDefault="00223C37" w:rsidP="00E4542E">
            <w:pPr>
              <w:pStyle w:val="ListParagraph"/>
              <w:spacing w:line="276" w:lineRule="auto"/>
              <w:ind w:left="0"/>
              <w:rPr>
                <w:rFonts w:cs="Arial"/>
                <w:szCs w:val="22"/>
              </w:rPr>
            </w:pPr>
            <w:r w:rsidRPr="00DF1B72">
              <w:rPr>
                <w:rFonts w:cs="Arial"/>
                <w:szCs w:val="22"/>
              </w:rPr>
              <w:t>Cashing residents or relatives cheques to top up residents monies account</w:t>
            </w:r>
          </w:p>
        </w:tc>
        <w:tc>
          <w:tcPr>
            <w:tcW w:w="4536" w:type="dxa"/>
            <w:shd w:val="clear" w:color="auto" w:fill="auto"/>
            <w:vAlign w:val="center"/>
          </w:tcPr>
          <w:p w14:paraId="67DFFDD1" w14:textId="77777777" w:rsidR="00223C37" w:rsidRPr="00DF1B72" w:rsidRDefault="00223C37" w:rsidP="00E4542E">
            <w:pPr>
              <w:pStyle w:val="ListParagraph"/>
              <w:spacing w:line="276" w:lineRule="auto"/>
              <w:ind w:left="0"/>
              <w:rPr>
                <w:rFonts w:cs="Arial"/>
                <w:szCs w:val="22"/>
              </w:rPr>
            </w:pPr>
            <w:r w:rsidRPr="00DF1B72">
              <w:rPr>
                <w:rFonts w:cs="Arial"/>
                <w:szCs w:val="22"/>
              </w:rPr>
              <w:t>Purchase of new equipment (washing machine, fridge etc)</w:t>
            </w:r>
          </w:p>
        </w:tc>
      </w:tr>
      <w:tr w:rsidR="00223C37" w:rsidRPr="00BD4BCA" w14:paraId="19E3C869" w14:textId="77777777" w:rsidTr="00EC2425">
        <w:trPr>
          <w:jc w:val="center"/>
        </w:trPr>
        <w:tc>
          <w:tcPr>
            <w:tcW w:w="4957" w:type="dxa"/>
            <w:shd w:val="clear" w:color="auto" w:fill="auto"/>
            <w:vAlign w:val="center"/>
          </w:tcPr>
          <w:p w14:paraId="3DD5F479" w14:textId="06286916" w:rsidR="00223C37" w:rsidRPr="00DF1B72" w:rsidRDefault="00223C37" w:rsidP="00E4542E">
            <w:pPr>
              <w:pStyle w:val="ListParagraph"/>
              <w:spacing w:line="276" w:lineRule="auto"/>
              <w:ind w:left="0"/>
              <w:rPr>
                <w:rFonts w:cs="Arial"/>
                <w:szCs w:val="22"/>
              </w:rPr>
            </w:pPr>
            <w:r w:rsidRPr="00DF1B72">
              <w:rPr>
                <w:rFonts w:cs="Arial"/>
                <w:szCs w:val="22"/>
              </w:rPr>
              <w:t>Taxi fares for residents for hospital, Doctors appointments</w:t>
            </w:r>
            <w:r>
              <w:rPr>
                <w:rFonts w:cs="Arial"/>
                <w:szCs w:val="22"/>
              </w:rPr>
              <w:t xml:space="preserve"> </w:t>
            </w:r>
            <w:r w:rsidR="00EC2425">
              <w:rPr>
                <w:rFonts w:cs="Arial"/>
                <w:szCs w:val="22"/>
              </w:rPr>
              <w:t>(not applicable for Retirement Living)</w:t>
            </w:r>
          </w:p>
        </w:tc>
        <w:tc>
          <w:tcPr>
            <w:tcW w:w="4536" w:type="dxa"/>
            <w:shd w:val="clear" w:color="auto" w:fill="auto"/>
            <w:vAlign w:val="center"/>
          </w:tcPr>
          <w:p w14:paraId="54108C50" w14:textId="77777777" w:rsidR="00223C37" w:rsidRPr="00BD4BCA" w:rsidRDefault="00223C37" w:rsidP="00E4542E">
            <w:pPr>
              <w:pStyle w:val="ListParagraph"/>
              <w:spacing w:line="276" w:lineRule="auto"/>
              <w:ind w:left="0"/>
              <w:rPr>
                <w:rFonts w:cs="Arial"/>
                <w:szCs w:val="22"/>
                <w:highlight w:val="yellow"/>
              </w:rPr>
            </w:pPr>
            <w:r w:rsidRPr="00DF1B72">
              <w:rPr>
                <w:rFonts w:cs="Arial"/>
                <w:szCs w:val="22"/>
              </w:rPr>
              <w:t>Invoices or purchases over £100 and the supplier has payment terms of 30 days</w:t>
            </w:r>
          </w:p>
        </w:tc>
      </w:tr>
      <w:tr w:rsidR="00223C37" w:rsidRPr="00BD4BCA" w14:paraId="36B19D22" w14:textId="77777777" w:rsidTr="00EC2425">
        <w:trPr>
          <w:jc w:val="center"/>
        </w:trPr>
        <w:tc>
          <w:tcPr>
            <w:tcW w:w="4957" w:type="dxa"/>
            <w:shd w:val="clear" w:color="auto" w:fill="auto"/>
            <w:vAlign w:val="center"/>
          </w:tcPr>
          <w:p w14:paraId="46E5C130" w14:textId="77777777" w:rsidR="00223C37" w:rsidRPr="00DF1B72" w:rsidRDefault="00223C37" w:rsidP="00E4542E">
            <w:pPr>
              <w:pStyle w:val="ListParagraph"/>
              <w:spacing w:line="276" w:lineRule="auto"/>
              <w:ind w:left="0"/>
              <w:rPr>
                <w:rFonts w:cs="Arial"/>
                <w:szCs w:val="22"/>
              </w:rPr>
            </w:pPr>
            <w:r w:rsidRPr="00DF1B72">
              <w:rPr>
                <w:rFonts w:cs="Arial"/>
                <w:szCs w:val="22"/>
              </w:rPr>
              <w:t>Key cutting</w:t>
            </w:r>
          </w:p>
        </w:tc>
        <w:tc>
          <w:tcPr>
            <w:tcW w:w="4536" w:type="dxa"/>
            <w:shd w:val="clear" w:color="auto" w:fill="auto"/>
            <w:vAlign w:val="center"/>
          </w:tcPr>
          <w:p w14:paraId="77313B01" w14:textId="77777777" w:rsidR="00223C37" w:rsidRPr="00BD4BCA" w:rsidRDefault="00223C37" w:rsidP="00E4542E">
            <w:pPr>
              <w:pStyle w:val="ListParagraph"/>
              <w:spacing w:line="276" w:lineRule="auto"/>
              <w:ind w:left="0"/>
              <w:rPr>
                <w:rFonts w:cs="Arial"/>
                <w:szCs w:val="22"/>
                <w:highlight w:val="yellow"/>
              </w:rPr>
            </w:pPr>
            <w:r w:rsidRPr="00DF1B72">
              <w:rPr>
                <w:rFonts w:cs="Arial"/>
                <w:szCs w:val="22"/>
              </w:rPr>
              <w:t>Repairs to buildings</w:t>
            </w:r>
          </w:p>
        </w:tc>
      </w:tr>
      <w:tr w:rsidR="00407302" w:rsidRPr="00DF1B72" w14:paraId="041D13EA" w14:textId="77777777" w:rsidTr="00EC2425">
        <w:trPr>
          <w:jc w:val="center"/>
        </w:trPr>
        <w:tc>
          <w:tcPr>
            <w:tcW w:w="4957" w:type="dxa"/>
            <w:shd w:val="clear" w:color="auto" w:fill="auto"/>
            <w:vAlign w:val="center"/>
          </w:tcPr>
          <w:p w14:paraId="56E60049" w14:textId="2D2B61E3" w:rsidR="00407302" w:rsidRPr="00DF1B72" w:rsidRDefault="00407302" w:rsidP="00407302">
            <w:pPr>
              <w:pStyle w:val="ListParagraph"/>
              <w:spacing w:line="276" w:lineRule="auto"/>
              <w:ind w:left="0"/>
              <w:rPr>
                <w:rFonts w:cs="Arial"/>
                <w:szCs w:val="22"/>
              </w:rPr>
            </w:pPr>
            <w:r w:rsidRPr="00DF1B72">
              <w:rPr>
                <w:rFonts w:cs="Arial"/>
                <w:szCs w:val="22"/>
              </w:rPr>
              <w:t>Expenditure where an invoice isn’t an option e.g., Tesco supermarket for emergency purchases / top up items</w:t>
            </w:r>
            <w:r>
              <w:rPr>
                <w:rFonts w:cs="Arial"/>
                <w:szCs w:val="22"/>
              </w:rPr>
              <w:t xml:space="preserve"> </w:t>
            </w:r>
          </w:p>
        </w:tc>
        <w:tc>
          <w:tcPr>
            <w:tcW w:w="4536" w:type="dxa"/>
            <w:shd w:val="clear" w:color="auto" w:fill="auto"/>
            <w:vAlign w:val="center"/>
          </w:tcPr>
          <w:p w14:paraId="50A5CFAE" w14:textId="4EA80641" w:rsidR="00407302" w:rsidRPr="00DF1B72" w:rsidRDefault="00407302" w:rsidP="00407302">
            <w:pPr>
              <w:pStyle w:val="ListParagraph"/>
              <w:spacing w:line="276" w:lineRule="auto"/>
              <w:ind w:left="0"/>
              <w:rPr>
                <w:rFonts w:cs="Arial"/>
                <w:szCs w:val="22"/>
              </w:rPr>
            </w:pPr>
            <w:r w:rsidRPr="00DF1B72">
              <w:rPr>
                <w:rFonts w:cs="Arial"/>
                <w:szCs w:val="22"/>
              </w:rPr>
              <w:t>Amenity fund expenditure</w:t>
            </w:r>
          </w:p>
        </w:tc>
      </w:tr>
      <w:tr w:rsidR="00407302" w:rsidRPr="00DF1B72" w14:paraId="1C354302" w14:textId="77777777" w:rsidTr="00EC2425">
        <w:trPr>
          <w:jc w:val="center"/>
        </w:trPr>
        <w:tc>
          <w:tcPr>
            <w:tcW w:w="4957" w:type="dxa"/>
            <w:shd w:val="clear" w:color="auto" w:fill="auto"/>
            <w:vAlign w:val="center"/>
          </w:tcPr>
          <w:p w14:paraId="6A91B958" w14:textId="2DACC317" w:rsidR="00407302" w:rsidRPr="00DF1B72" w:rsidRDefault="00407302" w:rsidP="00407302">
            <w:pPr>
              <w:pStyle w:val="ListParagraph"/>
              <w:spacing w:line="276" w:lineRule="auto"/>
              <w:ind w:left="0"/>
              <w:rPr>
                <w:rFonts w:cs="Arial"/>
                <w:szCs w:val="22"/>
              </w:rPr>
            </w:pPr>
            <w:r w:rsidRPr="00DF1B72">
              <w:rPr>
                <w:rFonts w:cs="Arial"/>
                <w:szCs w:val="22"/>
              </w:rPr>
              <w:t xml:space="preserve">Advances for business expenditure (subject to limits and approval) </w:t>
            </w:r>
          </w:p>
        </w:tc>
        <w:tc>
          <w:tcPr>
            <w:tcW w:w="4536" w:type="dxa"/>
            <w:shd w:val="clear" w:color="auto" w:fill="auto"/>
            <w:vAlign w:val="center"/>
          </w:tcPr>
          <w:p w14:paraId="73804DCA" w14:textId="77777777" w:rsidR="00407302" w:rsidRPr="00DF1B72" w:rsidRDefault="00407302" w:rsidP="00407302">
            <w:pPr>
              <w:pStyle w:val="ListParagraph"/>
              <w:spacing w:line="276" w:lineRule="auto"/>
              <w:ind w:left="0"/>
              <w:rPr>
                <w:rFonts w:cs="Arial"/>
                <w:szCs w:val="22"/>
              </w:rPr>
            </w:pPr>
          </w:p>
        </w:tc>
      </w:tr>
      <w:tr w:rsidR="00407302" w:rsidRPr="00DF1B72" w14:paraId="38E1F446" w14:textId="77777777" w:rsidTr="00EC2425">
        <w:trPr>
          <w:jc w:val="center"/>
        </w:trPr>
        <w:tc>
          <w:tcPr>
            <w:tcW w:w="4957" w:type="dxa"/>
            <w:shd w:val="clear" w:color="auto" w:fill="auto"/>
            <w:vAlign w:val="center"/>
          </w:tcPr>
          <w:p w14:paraId="42586AAF" w14:textId="77777777" w:rsidR="00407302" w:rsidRPr="00DF1B72" w:rsidRDefault="00407302" w:rsidP="00407302">
            <w:pPr>
              <w:pStyle w:val="ListParagraph"/>
              <w:spacing w:line="276" w:lineRule="auto"/>
              <w:ind w:left="0"/>
              <w:rPr>
                <w:rFonts w:cs="Arial"/>
                <w:szCs w:val="22"/>
              </w:rPr>
            </w:pPr>
            <w:r w:rsidRPr="00DF1B72">
              <w:rPr>
                <w:rFonts w:cs="Arial"/>
                <w:szCs w:val="22"/>
              </w:rPr>
              <w:t>TV licences</w:t>
            </w:r>
          </w:p>
        </w:tc>
        <w:tc>
          <w:tcPr>
            <w:tcW w:w="4536" w:type="dxa"/>
            <w:shd w:val="clear" w:color="auto" w:fill="auto"/>
            <w:vAlign w:val="center"/>
          </w:tcPr>
          <w:p w14:paraId="550195F0" w14:textId="77777777" w:rsidR="00407302" w:rsidRPr="00DF1B72" w:rsidRDefault="00407302" w:rsidP="00407302">
            <w:pPr>
              <w:pStyle w:val="ListParagraph"/>
              <w:spacing w:line="276" w:lineRule="auto"/>
              <w:ind w:left="0"/>
              <w:rPr>
                <w:rFonts w:cs="Arial"/>
                <w:szCs w:val="22"/>
              </w:rPr>
            </w:pPr>
          </w:p>
        </w:tc>
      </w:tr>
      <w:tr w:rsidR="00187922" w:rsidRPr="00DF1B72" w14:paraId="65449E11" w14:textId="77777777" w:rsidTr="00EC2425">
        <w:trPr>
          <w:jc w:val="center"/>
        </w:trPr>
        <w:tc>
          <w:tcPr>
            <w:tcW w:w="4957" w:type="dxa"/>
            <w:shd w:val="clear" w:color="auto" w:fill="auto"/>
            <w:vAlign w:val="center"/>
          </w:tcPr>
          <w:p w14:paraId="15109C97" w14:textId="5FC3BEB2" w:rsidR="00187922" w:rsidRPr="00DF1B72" w:rsidRDefault="00187922" w:rsidP="00407302">
            <w:pPr>
              <w:pStyle w:val="ListParagraph"/>
              <w:spacing w:line="276" w:lineRule="auto"/>
              <w:ind w:left="0"/>
              <w:rPr>
                <w:rFonts w:cs="Arial"/>
                <w:szCs w:val="22"/>
              </w:rPr>
            </w:pPr>
            <w:r>
              <w:rPr>
                <w:rFonts w:cs="Arial"/>
                <w:szCs w:val="22"/>
              </w:rPr>
              <w:t>For Retirement Living – subscription services (e.g. amazon prime) at the prior approval of the Area Manager.</w:t>
            </w:r>
          </w:p>
        </w:tc>
        <w:tc>
          <w:tcPr>
            <w:tcW w:w="4536" w:type="dxa"/>
            <w:shd w:val="clear" w:color="auto" w:fill="auto"/>
            <w:vAlign w:val="center"/>
          </w:tcPr>
          <w:p w14:paraId="3953F757" w14:textId="77777777" w:rsidR="00187922" w:rsidRPr="00DF1B72" w:rsidRDefault="00187922" w:rsidP="00407302">
            <w:pPr>
              <w:pStyle w:val="ListParagraph"/>
              <w:spacing w:line="276" w:lineRule="auto"/>
              <w:ind w:left="0"/>
              <w:rPr>
                <w:rFonts w:cs="Arial"/>
                <w:szCs w:val="22"/>
              </w:rPr>
            </w:pPr>
          </w:p>
        </w:tc>
      </w:tr>
    </w:tbl>
    <w:p w14:paraId="4654DD6F" w14:textId="77777777" w:rsidR="00407302" w:rsidRDefault="00407302" w:rsidP="0010231D"/>
    <w:p w14:paraId="01142EB1" w14:textId="77777777" w:rsidR="00D1001F" w:rsidRDefault="00D1001F" w:rsidP="00D1001F">
      <w:pPr>
        <w:pStyle w:val="Heading1Numbered"/>
      </w:pPr>
      <w:bookmarkStart w:id="14" w:name="_Toc161653944"/>
      <w:r>
        <w:t>Reconciliation</w:t>
      </w:r>
      <w:bookmarkEnd w:id="14"/>
    </w:p>
    <w:p w14:paraId="7E4FFD09" w14:textId="77777777" w:rsidR="00D1001F" w:rsidRDefault="00D1001F" w:rsidP="00D1001F">
      <w:pPr>
        <w:pStyle w:val="Text1Numbered"/>
      </w:pPr>
      <w:r>
        <w:t>Petty cash needs to be reconciled and counted at least monthly using local procedures that work best for the home or scheme. It is advised that the Manager audits the petty cash regularly in line with the Safe Inventory policy.</w:t>
      </w:r>
    </w:p>
    <w:p w14:paraId="5DAB4013" w14:textId="77777777" w:rsidR="00D1001F" w:rsidRDefault="00D1001F" w:rsidP="00D1001F">
      <w:pPr>
        <w:pStyle w:val="Text1Numbered"/>
        <w:numPr>
          <w:ilvl w:val="0"/>
          <w:numId w:val="0"/>
        </w:numPr>
        <w:ind w:left="1135"/>
      </w:pPr>
    </w:p>
    <w:p w14:paraId="0DC5FD62" w14:textId="77777777" w:rsidR="00D1001F" w:rsidRDefault="00D1001F" w:rsidP="00D1001F">
      <w:pPr>
        <w:pStyle w:val="Text1Numbered"/>
      </w:pPr>
      <w:r>
        <w:t>Ad hoc checks can be carried out at any time as requested by an Auditor, Manger, Deputy Manager, Area Manager, Operational Finance, or Operations Support Managers, and Service Administration Managers (SAMs).</w:t>
      </w:r>
    </w:p>
    <w:p w14:paraId="3904FE11" w14:textId="77777777" w:rsidR="00EC2425" w:rsidRDefault="00EC2425" w:rsidP="00EC2425">
      <w:pPr>
        <w:pStyle w:val="Text1Numbered"/>
        <w:numPr>
          <w:ilvl w:val="0"/>
          <w:numId w:val="0"/>
        </w:numPr>
        <w:ind w:left="1135"/>
      </w:pPr>
    </w:p>
    <w:p w14:paraId="47472687" w14:textId="17913759" w:rsidR="00D1001F" w:rsidRDefault="00D1001F" w:rsidP="00D1001F">
      <w:pPr>
        <w:pStyle w:val="Text1Numbered"/>
      </w:pPr>
      <w:r w:rsidRPr="00102B88">
        <w:t>If there is a discrepancy or a concern regarding Petty Cash, this must be investigated and rectified as quickly as possible.</w:t>
      </w:r>
    </w:p>
    <w:p w14:paraId="2C01EC3E" w14:textId="77777777" w:rsidR="00EC2425" w:rsidRDefault="00EC2425" w:rsidP="00EC2425">
      <w:pPr>
        <w:pStyle w:val="Text1Numbered"/>
        <w:numPr>
          <w:ilvl w:val="0"/>
          <w:numId w:val="0"/>
        </w:numPr>
      </w:pPr>
    </w:p>
    <w:p w14:paraId="0F9DE62F" w14:textId="6B517C3F" w:rsidR="00D1001F" w:rsidRDefault="00D1001F" w:rsidP="00D1001F">
      <w:pPr>
        <w:pStyle w:val="Text1Numbered"/>
      </w:pPr>
      <w:r w:rsidRPr="00102B88">
        <w:t xml:space="preserve">If the discrepancy or concern cannot be rectified or is a breach of this policy the Manager must notify a member of the </w:t>
      </w:r>
      <w:r w:rsidR="00187922">
        <w:t>operational finance</w:t>
      </w:r>
      <w:r w:rsidRPr="00102B88">
        <w:t xml:space="preserve"> team and their line Manager immediately.</w:t>
      </w:r>
    </w:p>
    <w:p w14:paraId="35EDDD4F" w14:textId="32124D3D" w:rsidR="00223C37" w:rsidRDefault="00223C37" w:rsidP="00223C37">
      <w:pPr>
        <w:pStyle w:val="Heading1Numbered"/>
      </w:pPr>
      <w:bookmarkStart w:id="15" w:name="_Toc161653945"/>
      <w:r>
        <w:t>Petty Cash Returns</w:t>
      </w:r>
      <w:bookmarkEnd w:id="15"/>
    </w:p>
    <w:p w14:paraId="58D31558" w14:textId="71258078" w:rsidR="00223C37" w:rsidRPr="00187922" w:rsidRDefault="00223C37" w:rsidP="00223C37">
      <w:pPr>
        <w:pStyle w:val="Text1Numbered"/>
      </w:pPr>
      <w:r w:rsidRPr="00187922">
        <w:t xml:space="preserve">Petty Cash Returns must be forwarded by email to Finance Petty Cash as a minimum once monthly. </w:t>
      </w:r>
    </w:p>
    <w:p w14:paraId="142001FB" w14:textId="18D44089" w:rsidR="00007A39" w:rsidRDefault="00007A39" w:rsidP="00223C37">
      <w:pPr>
        <w:pStyle w:val="Heading1Numbered"/>
      </w:pPr>
      <w:bookmarkStart w:id="16" w:name="_Toc161653946"/>
      <w:r>
        <w:t>Record Keeping</w:t>
      </w:r>
    </w:p>
    <w:p w14:paraId="58BF5B50" w14:textId="19DBF212" w:rsidR="00007A39" w:rsidRPr="00007A39" w:rsidRDefault="00007A39" w:rsidP="00007A39">
      <w:pPr>
        <w:pStyle w:val="Text1Numbered"/>
      </w:pPr>
      <w:r>
        <w:t>Petty cash records and receipts must be retained for 7 years.</w:t>
      </w:r>
    </w:p>
    <w:p w14:paraId="34E1EE3C" w14:textId="18050866" w:rsidR="00223C37" w:rsidRDefault="00223C37" w:rsidP="00223C37">
      <w:pPr>
        <w:pStyle w:val="Heading1Numbered"/>
      </w:pPr>
      <w:r>
        <w:t>Security</w:t>
      </w:r>
      <w:bookmarkEnd w:id="16"/>
    </w:p>
    <w:p w14:paraId="0CFB317E" w14:textId="77777777" w:rsidR="00223C37" w:rsidRPr="00223C37" w:rsidRDefault="00223C37" w:rsidP="00223C37">
      <w:pPr>
        <w:pStyle w:val="Text1Numbered"/>
      </w:pPr>
      <w:r w:rsidRPr="00223C37">
        <w:t>Refer to Security and Key Holding Policy [CP018]</w:t>
      </w:r>
    </w:p>
    <w:p w14:paraId="03524F26" w14:textId="77777777" w:rsidR="00223C37" w:rsidRDefault="00223C37" w:rsidP="00223C37">
      <w:pPr>
        <w:pStyle w:val="Textlistindented-bullet"/>
      </w:pPr>
      <w:r>
        <w:t>Petty Cash and cheque books must be kept locked in a safe at all times other than to process a transaction or to carry out a balance check.</w:t>
      </w:r>
    </w:p>
    <w:p w14:paraId="07B313B7" w14:textId="77777777" w:rsidR="00223C37" w:rsidRDefault="00223C37" w:rsidP="00223C37">
      <w:pPr>
        <w:pStyle w:val="Textlistindented-bullet"/>
      </w:pPr>
      <w:r>
        <w:t>Sign in and out (equals card) – limit who knows the pin, who has access.</w:t>
      </w:r>
    </w:p>
    <w:p w14:paraId="7C07FBB7" w14:textId="77777777" w:rsidR="00223C37" w:rsidRDefault="00223C37" w:rsidP="00223C37">
      <w:pPr>
        <w:pStyle w:val="Textlistindented-bullet"/>
      </w:pPr>
      <w:r>
        <w:t>Keys must be controlled and logged as per CP018, Security and Key Holding</w:t>
      </w:r>
    </w:p>
    <w:p w14:paraId="5950A111" w14:textId="77777777" w:rsidR="00223C37" w:rsidRDefault="00223C37" w:rsidP="00223C37">
      <w:pPr>
        <w:pStyle w:val="Textlistindented-bullet"/>
      </w:pPr>
      <w:r>
        <w:t>Trips to the bank must not be part of a routine or follow a pattern for personal security reasons.</w:t>
      </w:r>
    </w:p>
    <w:p w14:paraId="053FF500" w14:textId="77777777" w:rsidR="00223C37" w:rsidRDefault="00223C37" w:rsidP="00223C37">
      <w:pPr>
        <w:pStyle w:val="Textlistindented-bullet"/>
      </w:pPr>
      <w:r>
        <w:t>Cash carried by an individual at any point in time should not exceed £1,500, if this limit is exceeded another person is required to accompany them for safety.</w:t>
      </w:r>
    </w:p>
    <w:p w14:paraId="2C383926" w14:textId="3EBA43BC" w:rsidR="00223C37" w:rsidRDefault="00223C37" w:rsidP="00223C37">
      <w:pPr>
        <w:pStyle w:val="Textlistindented-bullet"/>
      </w:pPr>
      <w:r>
        <w:t>A mobile phone must be carried at all times when off site and carrying cash in case of an emergency.</w:t>
      </w:r>
    </w:p>
    <w:p w14:paraId="1305418A" w14:textId="77777777" w:rsidR="00A92CD7" w:rsidRPr="004C3545" w:rsidRDefault="009A0ED4" w:rsidP="00914FC1">
      <w:pPr>
        <w:pStyle w:val="Heading1Numbered"/>
      </w:pPr>
      <w:bookmarkStart w:id="17" w:name="_Toc161653947"/>
      <w:r w:rsidRPr="004C3545">
        <w:t xml:space="preserve">Roles </w:t>
      </w:r>
      <w:r w:rsidR="001310BB">
        <w:t>and</w:t>
      </w:r>
      <w:r w:rsidRPr="004C3545">
        <w:t xml:space="preserve"> Responsibilities</w:t>
      </w:r>
      <w:bookmarkEnd w:id="17"/>
    </w:p>
    <w:tbl>
      <w:tblPr>
        <w:tblStyle w:val="MHATable"/>
        <w:tblW w:w="0" w:type="auto"/>
        <w:tblLook w:val="04A0" w:firstRow="1" w:lastRow="0" w:firstColumn="1" w:lastColumn="0" w:noHBand="0" w:noVBand="1"/>
      </w:tblPr>
      <w:tblGrid>
        <w:gridCol w:w="2689"/>
        <w:gridCol w:w="6804"/>
      </w:tblGrid>
      <w:tr w:rsidR="00A92CD7" w:rsidRPr="004C3545" w14:paraId="1AAE23AD" w14:textId="77777777" w:rsidTr="00187922">
        <w:trPr>
          <w:cnfStyle w:val="100000000000" w:firstRow="1" w:lastRow="0" w:firstColumn="0" w:lastColumn="0" w:oddVBand="0" w:evenVBand="0" w:oddHBand="0" w:evenHBand="0" w:firstRowFirstColumn="0" w:firstRowLastColumn="0" w:lastRowFirstColumn="0" w:lastRowLastColumn="0"/>
          <w:tblHeader/>
        </w:trPr>
        <w:tc>
          <w:tcPr>
            <w:tcW w:w="2689" w:type="dxa"/>
          </w:tcPr>
          <w:p w14:paraId="4BB00281" w14:textId="77777777" w:rsidR="00A92CD7" w:rsidRPr="004C3545" w:rsidRDefault="00A92CD7" w:rsidP="002D47FD">
            <w:r w:rsidRPr="004C3545">
              <w:t>Role</w:t>
            </w:r>
          </w:p>
        </w:tc>
        <w:tc>
          <w:tcPr>
            <w:tcW w:w="6804" w:type="dxa"/>
          </w:tcPr>
          <w:p w14:paraId="3A5CF19F" w14:textId="77777777" w:rsidR="00A92CD7" w:rsidRPr="004C3545" w:rsidRDefault="00A92CD7" w:rsidP="002D47FD">
            <w:r w:rsidRPr="004C3545">
              <w:t>Responsibilities</w:t>
            </w:r>
          </w:p>
        </w:tc>
      </w:tr>
      <w:tr w:rsidR="00223C37" w:rsidRPr="004C3545" w14:paraId="0D12D291" w14:textId="77777777" w:rsidTr="00223C37">
        <w:tc>
          <w:tcPr>
            <w:tcW w:w="2689" w:type="dxa"/>
          </w:tcPr>
          <w:p w14:paraId="259B5F31" w14:textId="71338F57" w:rsidR="00223C37" w:rsidRPr="00DB2D24" w:rsidRDefault="00DB2D24" w:rsidP="00223C37">
            <w:pPr>
              <w:rPr>
                <w:rFonts w:cs="Arial"/>
                <w:b/>
                <w:bCs/>
                <w:szCs w:val="22"/>
              </w:rPr>
            </w:pPr>
            <w:r>
              <w:rPr>
                <w:rFonts w:cs="Arial"/>
                <w:b/>
                <w:bCs/>
                <w:szCs w:val="22"/>
              </w:rPr>
              <w:t xml:space="preserve">Care Home Managers and Housing Manager (or </w:t>
            </w:r>
            <w:r w:rsidR="00347752">
              <w:rPr>
                <w:rFonts w:cs="Arial"/>
                <w:b/>
                <w:bCs/>
                <w:szCs w:val="22"/>
              </w:rPr>
              <w:t>another</w:t>
            </w:r>
            <w:r>
              <w:rPr>
                <w:rFonts w:cs="Arial"/>
                <w:b/>
                <w:bCs/>
                <w:szCs w:val="22"/>
              </w:rPr>
              <w:t xml:space="preserve"> delegated colleague) </w:t>
            </w:r>
          </w:p>
        </w:tc>
        <w:tc>
          <w:tcPr>
            <w:tcW w:w="6804" w:type="dxa"/>
          </w:tcPr>
          <w:p w14:paraId="4ECD5C4B" w14:textId="68C75102" w:rsidR="00D1001F" w:rsidRDefault="00D1001F" w:rsidP="00223C37">
            <w:pPr>
              <w:pStyle w:val="Textlist-bullet"/>
            </w:pPr>
            <w:r>
              <w:t>Overall responsibility for their home or schemes petty cash fund.</w:t>
            </w:r>
          </w:p>
          <w:p w14:paraId="3439404F" w14:textId="3F1AB95A" w:rsidR="00407302" w:rsidRDefault="00223C37" w:rsidP="00223C37">
            <w:pPr>
              <w:pStyle w:val="Textlist-bullet"/>
            </w:pPr>
            <w:r>
              <w:t>R</w:t>
            </w:r>
            <w:r w:rsidRPr="00102B88">
              <w:t xml:space="preserve">esponsible for overseeing and checking </w:t>
            </w:r>
            <w:r w:rsidR="00D1001F">
              <w:t>p</w:t>
            </w:r>
            <w:r w:rsidRPr="00102B88">
              <w:t xml:space="preserve">etty cash balances and compliance </w:t>
            </w:r>
            <w:r w:rsidR="00407302">
              <w:t xml:space="preserve">in line </w:t>
            </w:r>
            <w:r w:rsidRPr="00102B88">
              <w:t>with this policy</w:t>
            </w:r>
            <w:r w:rsidR="00407302">
              <w:t>.</w:t>
            </w:r>
          </w:p>
          <w:p w14:paraId="5D4EA77A" w14:textId="22896E83" w:rsidR="00223C37" w:rsidRDefault="00407302" w:rsidP="00223C37">
            <w:pPr>
              <w:pStyle w:val="Textlist-bullet"/>
            </w:pPr>
            <w:r>
              <w:t>R</w:t>
            </w:r>
            <w:r w:rsidR="00223C37" w:rsidRPr="00102B88">
              <w:t>esponsible for ensuring that signatures and bank mandates are kept up to date.</w:t>
            </w:r>
          </w:p>
          <w:p w14:paraId="50A01122" w14:textId="77777777" w:rsidR="00407302" w:rsidRDefault="00407302" w:rsidP="00223C37">
            <w:pPr>
              <w:pStyle w:val="Textlist-bullet"/>
            </w:pPr>
            <w:r>
              <w:t xml:space="preserve">Assigning </w:t>
            </w:r>
            <w:r w:rsidR="00D1001F">
              <w:t>an</w:t>
            </w:r>
            <w:r>
              <w:t xml:space="preserve"> accountable individual</w:t>
            </w:r>
            <w:r w:rsidR="00D1001F">
              <w:t xml:space="preserve"> in their absence</w:t>
            </w:r>
            <w:r w:rsidR="00DB2D24">
              <w:t xml:space="preserve"> to oversee the fund</w:t>
            </w:r>
            <w:r w:rsidR="00D1001F">
              <w:t>.</w:t>
            </w:r>
          </w:p>
          <w:p w14:paraId="549FAF3E" w14:textId="4E3ED9C2" w:rsidR="00187922" w:rsidRPr="004C3545" w:rsidRDefault="00187922" w:rsidP="00223C37">
            <w:pPr>
              <w:pStyle w:val="Textlist-bullet"/>
            </w:pPr>
            <w:r>
              <w:t>Responsible for petty cash reconciliation (Housing Manager ultimately responsible across Retirement Living)</w:t>
            </w:r>
          </w:p>
        </w:tc>
      </w:tr>
      <w:tr w:rsidR="00223C37" w:rsidRPr="004C3545" w14:paraId="61A83205" w14:textId="77777777" w:rsidTr="00223C37">
        <w:tc>
          <w:tcPr>
            <w:tcW w:w="2689" w:type="dxa"/>
          </w:tcPr>
          <w:p w14:paraId="2624AD83" w14:textId="5D76AD32" w:rsidR="00223C37" w:rsidRPr="00223C37" w:rsidRDefault="00223C37" w:rsidP="00223C37">
            <w:pPr>
              <w:rPr>
                <w:b/>
                <w:bCs/>
              </w:rPr>
            </w:pPr>
            <w:r w:rsidRPr="00223C37">
              <w:rPr>
                <w:rFonts w:cs="Arial"/>
                <w:b/>
                <w:bCs/>
                <w:szCs w:val="22"/>
              </w:rPr>
              <w:t>Administration Manager</w:t>
            </w:r>
            <w:r>
              <w:rPr>
                <w:rFonts w:cs="Arial"/>
                <w:b/>
                <w:bCs/>
                <w:szCs w:val="22"/>
              </w:rPr>
              <w:t>s (if applicable)</w:t>
            </w:r>
          </w:p>
        </w:tc>
        <w:tc>
          <w:tcPr>
            <w:tcW w:w="6804" w:type="dxa"/>
          </w:tcPr>
          <w:p w14:paraId="79913D05" w14:textId="77777777" w:rsidR="00223C37" w:rsidRDefault="00223C37" w:rsidP="00223C37">
            <w:pPr>
              <w:pStyle w:val="Textlist-bullet"/>
            </w:pPr>
            <w:r>
              <w:t>A</w:t>
            </w:r>
            <w:r w:rsidRPr="00102B88">
              <w:t>ccountable for the day-to-day management, security, and compliance with this policy.</w:t>
            </w:r>
          </w:p>
          <w:p w14:paraId="68215434" w14:textId="052E7852" w:rsidR="00223C37" w:rsidRPr="004C3545" w:rsidRDefault="00223C37" w:rsidP="00223C37">
            <w:pPr>
              <w:pStyle w:val="Textlist-bullet"/>
            </w:pPr>
            <w:r>
              <w:t>R</w:t>
            </w:r>
            <w:r w:rsidRPr="00102B88">
              <w:t xml:space="preserve">esponsible for retaining a copy of the emailed submission of each Petty Cash Return, signed by their </w:t>
            </w:r>
            <w:r w:rsidR="00DA5912" w:rsidRPr="00102B88">
              <w:t>manager</w:t>
            </w:r>
            <w:r w:rsidRPr="00102B88">
              <w:t xml:space="preserve">, and kept at the Home. </w:t>
            </w:r>
          </w:p>
        </w:tc>
      </w:tr>
      <w:tr w:rsidR="00D1001F" w:rsidRPr="004C3545" w14:paraId="066B99B7" w14:textId="77777777" w:rsidTr="00223C37">
        <w:tc>
          <w:tcPr>
            <w:tcW w:w="2689" w:type="dxa"/>
          </w:tcPr>
          <w:p w14:paraId="626BEE23" w14:textId="77777777" w:rsidR="00D1001F" w:rsidRDefault="00D1001F" w:rsidP="00223C37">
            <w:pPr>
              <w:rPr>
                <w:rFonts w:cs="Arial"/>
                <w:b/>
                <w:bCs/>
                <w:szCs w:val="22"/>
              </w:rPr>
            </w:pPr>
            <w:r>
              <w:rPr>
                <w:rFonts w:cs="Arial"/>
                <w:b/>
                <w:bCs/>
                <w:szCs w:val="22"/>
              </w:rPr>
              <w:t>Accountable Person</w:t>
            </w:r>
          </w:p>
          <w:p w14:paraId="4E75AE11" w14:textId="57D04008" w:rsidR="00D1001F" w:rsidRPr="00DA5912" w:rsidRDefault="00D1001F" w:rsidP="00223C37">
            <w:pPr>
              <w:rPr>
                <w:rFonts w:cs="Arial"/>
                <w:b/>
                <w:bCs/>
                <w:szCs w:val="22"/>
              </w:rPr>
            </w:pPr>
            <w:r>
              <w:rPr>
                <w:rFonts w:cs="Arial"/>
                <w:b/>
                <w:bCs/>
                <w:szCs w:val="22"/>
              </w:rPr>
              <w:t>(Where applicable for Schemes)</w:t>
            </w:r>
          </w:p>
        </w:tc>
        <w:tc>
          <w:tcPr>
            <w:tcW w:w="6804" w:type="dxa"/>
          </w:tcPr>
          <w:p w14:paraId="2B226C58" w14:textId="77777777" w:rsidR="00D1001F" w:rsidRDefault="00D1001F" w:rsidP="00D1001F">
            <w:pPr>
              <w:pStyle w:val="Textlist-bullet"/>
              <w:spacing w:before="0"/>
            </w:pPr>
            <w:r>
              <w:t xml:space="preserve">A designated accountable person must be identified to manage the petty cash, when the Manager or Administration Manager is unavailable – e.g. holidays and other planned absence, Out of Hours, and emergencies / unplanned leave. </w:t>
            </w:r>
          </w:p>
          <w:p w14:paraId="57ACBCEB" w14:textId="135B2836" w:rsidR="00D1001F" w:rsidRDefault="00D1001F" w:rsidP="00D1001F">
            <w:pPr>
              <w:pStyle w:val="Textlist-bullet"/>
            </w:pPr>
            <w:r>
              <w:t>The designated accountable person assumes the same responsibilities as the Administration Manager and is bound by this policy.</w:t>
            </w:r>
          </w:p>
          <w:p w14:paraId="13A39A85" w14:textId="4786147A" w:rsidR="00D1001F" w:rsidRDefault="00D1001F" w:rsidP="00D1001F">
            <w:pPr>
              <w:pStyle w:val="Textlist-bullet"/>
              <w:spacing w:before="0"/>
            </w:pPr>
            <w:r>
              <w:t xml:space="preserve">For instances of planned leave, both the Administration Manager and the designated accountable person must conduct a handover of the petty </w:t>
            </w:r>
            <w:r w:rsidR="00347752">
              <w:t>cash,</w:t>
            </w:r>
            <w:r>
              <w:t xml:space="preserve"> and both need to sign the records to confirm the balance being transferred.</w:t>
            </w:r>
          </w:p>
        </w:tc>
      </w:tr>
      <w:tr w:rsidR="00223C37" w:rsidRPr="004C3545" w14:paraId="5B2E6347" w14:textId="77777777" w:rsidTr="00223C37">
        <w:tc>
          <w:tcPr>
            <w:tcW w:w="2689" w:type="dxa"/>
          </w:tcPr>
          <w:p w14:paraId="7630072E" w14:textId="053C9D39" w:rsidR="00223C37" w:rsidRPr="00DA5912" w:rsidRDefault="008C11D7" w:rsidP="00223C37">
            <w:pPr>
              <w:rPr>
                <w:rFonts w:cs="Arial"/>
                <w:b/>
                <w:bCs/>
                <w:szCs w:val="22"/>
              </w:rPr>
            </w:pPr>
            <w:r w:rsidRPr="00DA5912">
              <w:rPr>
                <w:rFonts w:cs="Arial"/>
                <w:b/>
                <w:bCs/>
                <w:szCs w:val="22"/>
              </w:rPr>
              <w:t>Area Managers</w:t>
            </w:r>
          </w:p>
        </w:tc>
        <w:tc>
          <w:tcPr>
            <w:tcW w:w="6804" w:type="dxa"/>
          </w:tcPr>
          <w:p w14:paraId="2B90558A" w14:textId="4978A28F" w:rsidR="00223C37" w:rsidRPr="00DA5912" w:rsidRDefault="00DA5912" w:rsidP="00223C37">
            <w:pPr>
              <w:pStyle w:val="Textlist-bullet"/>
            </w:pPr>
            <w:r>
              <w:t>Spot check the petty cash and petty cash records and audits, ensure that colleagues in their area are compliant with this policy and understand the operating procedures around petty cash.</w:t>
            </w:r>
          </w:p>
        </w:tc>
      </w:tr>
    </w:tbl>
    <w:p w14:paraId="52FFC243" w14:textId="77777777" w:rsidR="00D1001F" w:rsidRPr="004C3545" w:rsidRDefault="00D1001F" w:rsidP="00903AA2">
      <w:pPr>
        <w:rPr>
          <w:rFonts w:cs="Arial"/>
          <w:spacing w:val="7"/>
        </w:rPr>
      </w:pPr>
    </w:p>
    <w:p w14:paraId="1D8EE125" w14:textId="77777777" w:rsidR="00DF67AA" w:rsidRDefault="009A0ED4" w:rsidP="00D558F5">
      <w:pPr>
        <w:pStyle w:val="Heading1Numbered"/>
      </w:pPr>
      <w:bookmarkStart w:id="18" w:name="_Toc161653948"/>
      <w:r w:rsidRPr="00B2494E">
        <w:t>Training</w:t>
      </w:r>
      <w:r w:rsidR="002B5CDA" w:rsidRPr="00B2494E">
        <w:t xml:space="preserve"> </w:t>
      </w:r>
      <w:r w:rsidR="001310BB" w:rsidRPr="00B2494E">
        <w:t>and</w:t>
      </w:r>
      <w:r w:rsidR="002B5CDA" w:rsidRPr="00B2494E">
        <w:t xml:space="preserve"> Monitoring</w:t>
      </w:r>
      <w:bookmarkEnd w:id="18"/>
    </w:p>
    <w:p w14:paraId="6A8C3E28" w14:textId="77777777" w:rsidR="0010231D" w:rsidRDefault="0010231D" w:rsidP="0010231D">
      <w:pPr>
        <w:pStyle w:val="Text1Numbered"/>
      </w:pPr>
      <w:r>
        <w:t>Audit trail of all transactions.</w:t>
      </w:r>
    </w:p>
    <w:p w14:paraId="701EB93E" w14:textId="77777777" w:rsidR="0010231D" w:rsidRDefault="0010231D" w:rsidP="00EC2425">
      <w:pPr>
        <w:pStyle w:val="Text1Numbered"/>
        <w:numPr>
          <w:ilvl w:val="0"/>
          <w:numId w:val="0"/>
        </w:numPr>
      </w:pPr>
    </w:p>
    <w:p w14:paraId="65B567E6" w14:textId="3DA506E8" w:rsidR="0010231D" w:rsidRDefault="0010231D" w:rsidP="0010231D">
      <w:pPr>
        <w:pStyle w:val="Text1Numbered"/>
      </w:pPr>
      <w:r>
        <w:t>Monthly checks by Manager</w:t>
      </w:r>
      <w:r w:rsidR="00EC2425">
        <w:t xml:space="preserve"> (for Care Homes)</w:t>
      </w:r>
    </w:p>
    <w:p w14:paraId="0A9AF2F2" w14:textId="77777777" w:rsidR="0010231D" w:rsidRDefault="0010231D" w:rsidP="0010231D">
      <w:pPr>
        <w:pStyle w:val="Text1Numbered"/>
        <w:numPr>
          <w:ilvl w:val="0"/>
          <w:numId w:val="0"/>
        </w:numPr>
        <w:ind w:left="1135"/>
      </w:pPr>
    </w:p>
    <w:p w14:paraId="22F37E8E" w14:textId="72358778" w:rsidR="0010231D" w:rsidRDefault="0010231D" w:rsidP="0010231D">
      <w:pPr>
        <w:pStyle w:val="Text1Numbered"/>
      </w:pPr>
      <w:r>
        <w:t xml:space="preserve">Ad hoc checks by Area Managers. </w:t>
      </w:r>
    </w:p>
    <w:p w14:paraId="724AD3A4" w14:textId="77777777" w:rsidR="0010231D" w:rsidRDefault="0010231D" w:rsidP="0010231D">
      <w:pPr>
        <w:pStyle w:val="Text1Numbered"/>
        <w:numPr>
          <w:ilvl w:val="0"/>
          <w:numId w:val="0"/>
        </w:numPr>
        <w:ind w:left="1135"/>
      </w:pPr>
    </w:p>
    <w:p w14:paraId="0D5FF866" w14:textId="4A7324BD" w:rsidR="002E4B12" w:rsidRPr="002E4B12" w:rsidRDefault="00082857" w:rsidP="002E4B12">
      <w:pPr>
        <w:pStyle w:val="Text1Numbered"/>
      </w:pPr>
      <w:r>
        <w:t xml:space="preserve">Compliance is assessed through direct observation, </w:t>
      </w:r>
      <w:r w:rsidR="00306ED7">
        <w:t>monitoring,</w:t>
      </w:r>
      <w:r>
        <w:t xml:space="preserve"> and supervision of our colleagues.</w:t>
      </w:r>
    </w:p>
    <w:p w14:paraId="35C91E1F" w14:textId="77777777" w:rsidR="00DF67AA" w:rsidRDefault="000C7997" w:rsidP="00D558F5">
      <w:pPr>
        <w:pStyle w:val="Heading1Numbered"/>
      </w:pPr>
      <w:bookmarkStart w:id="19" w:name="_Toc161653949"/>
      <w:r w:rsidRPr="000C7997">
        <w:t>Communication and Dissemination</w:t>
      </w:r>
      <w:bookmarkEnd w:id="19"/>
    </w:p>
    <w:p w14:paraId="7F956685" w14:textId="77777777" w:rsidR="00D47ABA" w:rsidRDefault="00D47ABA" w:rsidP="00D47ABA">
      <w:pPr>
        <w:pStyle w:val="Text1Numbered"/>
      </w:pPr>
      <w:r>
        <w:t>This policy is disseminated and implemented within all MHA services through MHA’s channels of communication.</w:t>
      </w:r>
    </w:p>
    <w:p w14:paraId="218B05AA" w14:textId="77777777" w:rsidR="00D47ABA" w:rsidRDefault="00D47ABA" w:rsidP="00082857">
      <w:pPr>
        <w:pStyle w:val="Text1Numbered"/>
        <w:numPr>
          <w:ilvl w:val="0"/>
          <w:numId w:val="0"/>
        </w:numPr>
      </w:pPr>
    </w:p>
    <w:p w14:paraId="6D64FC48" w14:textId="77777777" w:rsidR="00D47ABA" w:rsidRDefault="00D47ABA" w:rsidP="00D47ABA">
      <w:pPr>
        <w:pStyle w:val="Text1Numbered"/>
      </w:pPr>
      <w:r>
        <w:t>Each colleague’s line manager must ensure that all teams are aware of their roles, responsibilities.</w:t>
      </w:r>
    </w:p>
    <w:p w14:paraId="562F58D5" w14:textId="77777777" w:rsidR="00D47ABA" w:rsidRDefault="00D47ABA" w:rsidP="00D47ABA">
      <w:pPr>
        <w:pStyle w:val="Text1Numbered"/>
        <w:numPr>
          <w:ilvl w:val="0"/>
          <w:numId w:val="0"/>
        </w:numPr>
      </w:pPr>
    </w:p>
    <w:p w14:paraId="716FB4D3" w14:textId="77777777" w:rsidR="00D47ABA" w:rsidRDefault="00D47ABA" w:rsidP="00D47ABA">
      <w:pPr>
        <w:pStyle w:val="Text1Numbered"/>
      </w:pPr>
      <w:r>
        <w:t>This policy will be available to the people we support and their representatives in alternate formats, as required.</w:t>
      </w:r>
    </w:p>
    <w:p w14:paraId="6578ED80" w14:textId="77777777" w:rsidR="00D47ABA" w:rsidRDefault="00D47ABA" w:rsidP="00D47ABA">
      <w:pPr>
        <w:pStyle w:val="Text1Numbered"/>
        <w:numPr>
          <w:ilvl w:val="0"/>
          <w:numId w:val="0"/>
        </w:numPr>
      </w:pPr>
    </w:p>
    <w:p w14:paraId="6B3C223C" w14:textId="77777777" w:rsidR="00D47ABA" w:rsidRDefault="00D47ABA" w:rsidP="00D47ABA">
      <w:pPr>
        <w:pStyle w:val="Text1Numbered"/>
      </w:pPr>
      <w:r>
        <w:t>Any review of this policy will include consultation with our colleagues, review of support planning, incident reports, quality audits and feedback from other agencies.</w:t>
      </w:r>
    </w:p>
    <w:p w14:paraId="7CFA56B9" w14:textId="77777777" w:rsidR="00D47ABA" w:rsidRDefault="00D47ABA" w:rsidP="00D47ABA">
      <w:pPr>
        <w:pStyle w:val="Text1Numbered"/>
        <w:numPr>
          <w:ilvl w:val="0"/>
          <w:numId w:val="0"/>
        </w:numPr>
      </w:pPr>
    </w:p>
    <w:p w14:paraId="2ADDEC06" w14:textId="77777777" w:rsidR="00386B5D" w:rsidRPr="00386B5D" w:rsidRDefault="00D47ABA" w:rsidP="0035054F">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1EB45C8D" w14:textId="77777777" w:rsidR="00DF67AA" w:rsidRDefault="00772CA5" w:rsidP="00D558F5">
      <w:pPr>
        <w:pStyle w:val="Heading1Numbered"/>
      </w:pPr>
      <w:bookmarkStart w:id="20" w:name="_Toc161653950"/>
      <w:r>
        <w:t xml:space="preserve">EDI </w:t>
      </w:r>
      <w:r w:rsidR="000C7997">
        <w:t>Impact Assessments</w:t>
      </w:r>
      <w:bookmarkEnd w:id="20"/>
    </w:p>
    <w:p w14:paraId="084F53CF" w14:textId="77777777" w:rsidR="00D47ABA" w:rsidRPr="002E4B12" w:rsidRDefault="00D47ABA" w:rsidP="002E4B12">
      <w:pPr>
        <w:pStyle w:val="Text1Numbered"/>
      </w:pPr>
      <w:r>
        <w:t>Equality, Diversity, and Impact Assessment to be confirmed.</w:t>
      </w:r>
    </w:p>
    <w:p w14:paraId="664EE3B8" w14:textId="77777777" w:rsidR="000C7997" w:rsidRDefault="000C7997" w:rsidP="00D558F5">
      <w:pPr>
        <w:pStyle w:val="Heading1Numbered"/>
      </w:pPr>
      <w:bookmarkStart w:id="21" w:name="_Toc161653951"/>
      <w:r w:rsidRPr="00B2494E">
        <w:t>Resources</w:t>
      </w:r>
      <w:bookmarkEnd w:id="21"/>
      <w:r w:rsidRPr="00B2494E">
        <w:t xml:space="preserve"> </w:t>
      </w:r>
    </w:p>
    <w:p w14:paraId="7B82FA88" w14:textId="5340EA96" w:rsidR="00D40DD9" w:rsidRPr="00C01ABD" w:rsidRDefault="0010231D" w:rsidP="00C01ABD">
      <w:pPr>
        <w:pStyle w:val="Textlistindented-bullet"/>
      </w:pPr>
      <w:bookmarkStart w:id="22" w:name="_Hlk161654123"/>
      <w:r w:rsidRPr="00C01ABD">
        <w:t xml:space="preserve">Residents money and valuables </w:t>
      </w:r>
      <w:r w:rsidR="00C01ABD" w:rsidRPr="00C01ABD">
        <w:t xml:space="preserve">policy </w:t>
      </w:r>
      <w:r w:rsidRPr="00C01ABD">
        <w:t>[FP205]</w:t>
      </w:r>
    </w:p>
    <w:p w14:paraId="1E26AD01" w14:textId="69FF9D0E" w:rsidR="00852000" w:rsidRPr="00C01ABD" w:rsidRDefault="0010231D" w:rsidP="00C01ABD">
      <w:pPr>
        <w:pStyle w:val="Textlistindented-bullet"/>
      </w:pPr>
      <w:r w:rsidRPr="00C01ABD">
        <w:t>Security and Key Holding Policy [CP018]</w:t>
      </w:r>
    </w:p>
    <w:p w14:paraId="47014D7A" w14:textId="180611A5" w:rsidR="0034019C" w:rsidRPr="00C01ABD" w:rsidRDefault="0034019C" w:rsidP="00C01ABD">
      <w:pPr>
        <w:pStyle w:val="Textlistindented-bullet"/>
      </w:pPr>
      <w:r w:rsidRPr="00C01ABD">
        <w:t>Insurance Policy [G800]</w:t>
      </w:r>
    </w:p>
    <w:p w14:paraId="4CC7D3CF" w14:textId="77777777" w:rsidR="00DF67AA" w:rsidRDefault="009A0ED4" w:rsidP="002E4B12">
      <w:pPr>
        <w:pStyle w:val="Heading1Numbered"/>
      </w:pPr>
      <w:bookmarkStart w:id="23" w:name="_Toc161653952"/>
      <w:bookmarkEnd w:id="22"/>
      <w:r w:rsidRPr="00DC7F16">
        <w:t>Version Control</w:t>
      </w:r>
      <w:bookmarkEnd w:id="23"/>
    </w:p>
    <w:tbl>
      <w:tblPr>
        <w:tblStyle w:val="MHATable"/>
        <w:tblW w:w="9549" w:type="dxa"/>
        <w:tblLayout w:type="fixed"/>
        <w:tblLook w:val="04A0" w:firstRow="1" w:lastRow="0" w:firstColumn="1" w:lastColumn="0" w:noHBand="0" w:noVBand="1"/>
      </w:tblPr>
      <w:tblGrid>
        <w:gridCol w:w="1129"/>
        <w:gridCol w:w="1418"/>
        <w:gridCol w:w="3118"/>
        <w:gridCol w:w="2552"/>
        <w:gridCol w:w="1332"/>
      </w:tblGrid>
      <w:tr w:rsidR="00F42A5B" w:rsidRPr="005E08A1" w14:paraId="35FF8197" w14:textId="77777777" w:rsidTr="00223C37">
        <w:trPr>
          <w:cnfStyle w:val="100000000000" w:firstRow="1" w:lastRow="0" w:firstColumn="0" w:lastColumn="0" w:oddVBand="0" w:evenVBand="0" w:oddHBand="0" w:evenHBand="0" w:firstRowFirstColumn="0" w:firstRowLastColumn="0" w:lastRowFirstColumn="0" w:lastRowLastColumn="0"/>
          <w:trHeight w:val="830"/>
        </w:trPr>
        <w:tc>
          <w:tcPr>
            <w:tcW w:w="1129" w:type="dxa"/>
          </w:tcPr>
          <w:p w14:paraId="29157AE0" w14:textId="77777777" w:rsidR="00F30A5F" w:rsidRPr="005E08A1" w:rsidRDefault="00F30A5F" w:rsidP="002D47FD">
            <w:r w:rsidRPr="005E08A1">
              <w:t>Version</w:t>
            </w:r>
          </w:p>
        </w:tc>
        <w:tc>
          <w:tcPr>
            <w:tcW w:w="1418" w:type="dxa"/>
          </w:tcPr>
          <w:p w14:paraId="3817B293" w14:textId="77777777" w:rsidR="00F30A5F" w:rsidRPr="005E08A1" w:rsidRDefault="00F30A5F" w:rsidP="002D47FD">
            <w:r w:rsidRPr="005E08A1">
              <w:t>Version Date</w:t>
            </w:r>
          </w:p>
        </w:tc>
        <w:tc>
          <w:tcPr>
            <w:tcW w:w="3118" w:type="dxa"/>
          </w:tcPr>
          <w:p w14:paraId="002A8B05" w14:textId="77777777" w:rsidR="00F30A5F" w:rsidRPr="005E08A1" w:rsidRDefault="00F30A5F" w:rsidP="002D47FD">
            <w:r w:rsidRPr="005E08A1">
              <w:t xml:space="preserve">Revision Description / Summary of Changes </w:t>
            </w:r>
          </w:p>
        </w:tc>
        <w:tc>
          <w:tcPr>
            <w:tcW w:w="2552" w:type="dxa"/>
          </w:tcPr>
          <w:p w14:paraId="7B23FB94" w14:textId="77777777" w:rsidR="00F30A5F" w:rsidRPr="005E08A1" w:rsidRDefault="00F30A5F" w:rsidP="002D47FD">
            <w:r w:rsidRPr="005E08A1">
              <w:t>Author</w:t>
            </w:r>
          </w:p>
        </w:tc>
        <w:tc>
          <w:tcPr>
            <w:tcW w:w="1332" w:type="dxa"/>
          </w:tcPr>
          <w:p w14:paraId="2E7768E2" w14:textId="77777777" w:rsidR="00F30A5F" w:rsidRPr="005E08A1" w:rsidRDefault="00F30A5F" w:rsidP="002D47FD">
            <w:r w:rsidRPr="005E08A1">
              <w:t>Next Review Date</w:t>
            </w:r>
          </w:p>
        </w:tc>
      </w:tr>
      <w:tr w:rsidR="00F42A5B" w:rsidRPr="004C3545" w14:paraId="23711654" w14:textId="77777777" w:rsidTr="00223C37">
        <w:trPr>
          <w:trHeight w:val="407"/>
        </w:trPr>
        <w:tc>
          <w:tcPr>
            <w:tcW w:w="1129" w:type="dxa"/>
          </w:tcPr>
          <w:p w14:paraId="261B4F61" w14:textId="5E43198F" w:rsidR="00F30A5F" w:rsidRDefault="00223C37" w:rsidP="002D47FD">
            <w:r>
              <w:t>4</w:t>
            </w:r>
          </w:p>
        </w:tc>
        <w:tc>
          <w:tcPr>
            <w:tcW w:w="1418" w:type="dxa"/>
          </w:tcPr>
          <w:p w14:paraId="00C107B2" w14:textId="2D336DF6" w:rsidR="00F30A5F" w:rsidRPr="004C3545" w:rsidRDefault="00591827" w:rsidP="002D47FD">
            <w:r>
              <w:t>March</w:t>
            </w:r>
            <w:r w:rsidR="00187922">
              <w:t xml:space="preserve"> 2024</w:t>
            </w:r>
          </w:p>
        </w:tc>
        <w:tc>
          <w:tcPr>
            <w:tcW w:w="3118" w:type="dxa"/>
          </w:tcPr>
          <w:p w14:paraId="3E9547A0" w14:textId="77777777" w:rsidR="00F42A5B" w:rsidRDefault="00223C37" w:rsidP="00223C37">
            <w:pPr>
              <w:pStyle w:val="Textlist-bullet"/>
            </w:pPr>
            <w:r>
              <w:t>Regular Compliance Review</w:t>
            </w:r>
          </w:p>
          <w:p w14:paraId="69D94250" w14:textId="77777777" w:rsidR="00223C37" w:rsidRDefault="00223C37" w:rsidP="00223C37">
            <w:pPr>
              <w:pStyle w:val="Textlist-bullet"/>
            </w:pPr>
            <w:r>
              <w:t>Operating procedures aligned with MHA services.</w:t>
            </w:r>
          </w:p>
          <w:p w14:paraId="2D1F9923" w14:textId="353FCBBB" w:rsidR="00347752" w:rsidRDefault="00347752" w:rsidP="00223C37">
            <w:pPr>
              <w:pStyle w:val="Textlist-bullet"/>
            </w:pPr>
            <w:r>
              <w:t>MHA Communities and Volunteering content under active review.</w:t>
            </w:r>
          </w:p>
          <w:p w14:paraId="29EB9C08" w14:textId="77777777" w:rsidR="00187922" w:rsidRDefault="00187922" w:rsidP="00223C37">
            <w:pPr>
              <w:pStyle w:val="Textlist-bullet"/>
            </w:pPr>
            <w:r>
              <w:t>Review panel:</w:t>
            </w:r>
          </w:p>
          <w:p w14:paraId="3CDB3A19" w14:textId="77777777" w:rsidR="00187922" w:rsidRDefault="00187922" w:rsidP="00187922">
            <w:pPr>
              <w:pStyle w:val="Textlist-bullet"/>
              <w:numPr>
                <w:ilvl w:val="0"/>
                <w:numId w:val="36"/>
              </w:numPr>
            </w:pPr>
            <w:r>
              <w:t>Service Administration Manager (SAM)</w:t>
            </w:r>
          </w:p>
          <w:p w14:paraId="4150A201" w14:textId="77777777" w:rsidR="00187922" w:rsidRDefault="00187922" w:rsidP="00187922">
            <w:pPr>
              <w:pStyle w:val="Textlist-bullet"/>
              <w:numPr>
                <w:ilvl w:val="0"/>
                <w:numId w:val="36"/>
              </w:numPr>
            </w:pPr>
            <w:r>
              <w:t>Retirement Living Area Managers</w:t>
            </w:r>
          </w:p>
          <w:p w14:paraId="0850E7C6" w14:textId="3647D57A" w:rsidR="00187922" w:rsidRPr="004C3545" w:rsidRDefault="00187922" w:rsidP="00591827">
            <w:pPr>
              <w:pStyle w:val="Textlist-bullet"/>
              <w:numPr>
                <w:ilvl w:val="0"/>
                <w:numId w:val="0"/>
              </w:numPr>
            </w:pPr>
          </w:p>
        </w:tc>
        <w:tc>
          <w:tcPr>
            <w:tcW w:w="2552" w:type="dxa"/>
          </w:tcPr>
          <w:p w14:paraId="16CE4B38" w14:textId="77777777" w:rsidR="00066761" w:rsidRDefault="00223C37" w:rsidP="00223C37">
            <w:pPr>
              <w:pStyle w:val="Textlist-bullet"/>
            </w:pPr>
            <w:r>
              <w:t>Head of Operational Finance</w:t>
            </w:r>
          </w:p>
          <w:p w14:paraId="183F8DFB" w14:textId="77777777" w:rsidR="00223C37" w:rsidRDefault="00223C37" w:rsidP="00223C37">
            <w:pPr>
              <w:pStyle w:val="Textlist-bullet"/>
            </w:pPr>
            <w:r w:rsidRPr="00223C37">
              <w:t>Operational Finance Team Leader</w:t>
            </w:r>
          </w:p>
          <w:p w14:paraId="5267B886" w14:textId="77777777" w:rsidR="00223C37" w:rsidRDefault="00223C37" w:rsidP="00223C37">
            <w:pPr>
              <w:pStyle w:val="Textlist-bullet"/>
            </w:pPr>
            <w:r w:rsidRPr="00223C37">
              <w:t>Operational Finance Administrator</w:t>
            </w:r>
          </w:p>
          <w:p w14:paraId="22D83B93" w14:textId="1355FFEB" w:rsidR="00223C37" w:rsidRPr="004C3545" w:rsidRDefault="00223C37" w:rsidP="00223C37">
            <w:pPr>
              <w:pStyle w:val="Textlist-bullet"/>
            </w:pPr>
            <w:r>
              <w:t>Standards and Policy Manager</w:t>
            </w:r>
          </w:p>
        </w:tc>
        <w:tc>
          <w:tcPr>
            <w:tcW w:w="1332" w:type="dxa"/>
          </w:tcPr>
          <w:p w14:paraId="5C722E8F" w14:textId="3D385CAB" w:rsidR="00F30A5F" w:rsidRPr="004C3545" w:rsidRDefault="00591827" w:rsidP="002D47FD">
            <w:r>
              <w:t>March</w:t>
            </w:r>
            <w:r w:rsidR="00187922">
              <w:t xml:space="preserve"> 2026</w:t>
            </w:r>
          </w:p>
        </w:tc>
      </w:tr>
      <w:tr w:rsidR="00007A39" w:rsidRPr="004C3545" w14:paraId="33A97891" w14:textId="77777777" w:rsidTr="00223C37">
        <w:trPr>
          <w:trHeight w:val="407"/>
        </w:trPr>
        <w:tc>
          <w:tcPr>
            <w:tcW w:w="1129" w:type="dxa"/>
          </w:tcPr>
          <w:p w14:paraId="0CC48937" w14:textId="07831837" w:rsidR="00007A39" w:rsidRDefault="00007A39" w:rsidP="002D47FD">
            <w:r>
              <w:t>5</w:t>
            </w:r>
          </w:p>
        </w:tc>
        <w:tc>
          <w:tcPr>
            <w:tcW w:w="1418" w:type="dxa"/>
          </w:tcPr>
          <w:p w14:paraId="6AD0C1EB" w14:textId="416E6C87" w:rsidR="00007A39" w:rsidRDefault="00007A39" w:rsidP="002D47FD">
            <w:r>
              <w:t>April 2024</w:t>
            </w:r>
          </w:p>
        </w:tc>
        <w:tc>
          <w:tcPr>
            <w:tcW w:w="3118" w:type="dxa"/>
          </w:tcPr>
          <w:p w14:paraId="65AC4463" w14:textId="42C19885" w:rsidR="00007A39" w:rsidRDefault="00007A39" w:rsidP="00223C37">
            <w:pPr>
              <w:pStyle w:val="Textlist-bullet"/>
            </w:pPr>
            <w:r>
              <w:t>Addition of retention schedule for petty cash records and receipts.</w:t>
            </w:r>
          </w:p>
        </w:tc>
        <w:tc>
          <w:tcPr>
            <w:tcW w:w="2552" w:type="dxa"/>
          </w:tcPr>
          <w:p w14:paraId="1CC87916" w14:textId="11B3D9D2" w:rsidR="00007A39" w:rsidRDefault="00007A39" w:rsidP="00223C37">
            <w:pPr>
              <w:pStyle w:val="Textlist-bullet"/>
            </w:pPr>
            <w:r>
              <w:t>Standards and Policy Manager</w:t>
            </w:r>
          </w:p>
        </w:tc>
        <w:tc>
          <w:tcPr>
            <w:tcW w:w="1332" w:type="dxa"/>
          </w:tcPr>
          <w:p w14:paraId="51DA02C7" w14:textId="1F5ACF1D" w:rsidR="00007A39" w:rsidRDefault="00007A39" w:rsidP="002D47FD">
            <w:r>
              <w:t>March 2026</w:t>
            </w:r>
          </w:p>
        </w:tc>
      </w:tr>
    </w:tbl>
    <w:p w14:paraId="447265BD" w14:textId="77777777" w:rsidR="002D47FD" w:rsidRPr="004C3545" w:rsidRDefault="002D47FD" w:rsidP="00265378">
      <w:pPr>
        <w:pStyle w:val="Text"/>
      </w:pPr>
    </w:p>
    <w:sectPr w:rsidR="002D47FD" w:rsidRPr="004C3545" w:rsidSect="002718F0">
      <w:headerReference w:type="default" r:id="rId10"/>
      <w:footerReference w:type="default" r:id="rId1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2E857" w14:textId="77777777" w:rsidR="002718F0" w:rsidRDefault="002718F0" w:rsidP="001876E7">
      <w:pPr>
        <w:spacing w:line="240" w:lineRule="auto"/>
      </w:pPr>
      <w:r>
        <w:separator/>
      </w:r>
    </w:p>
  </w:endnote>
  <w:endnote w:type="continuationSeparator" w:id="0">
    <w:p w14:paraId="48073538" w14:textId="77777777" w:rsidR="002718F0" w:rsidRDefault="002718F0"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12614E9C" w14:textId="77777777" w:rsidR="00764B4C" w:rsidRPr="00764B4C" w:rsidRDefault="00764B4C" w:rsidP="002E4B12">
            <w:pPr>
              <w:pStyle w:val="FooterText"/>
              <w:jc w:val="center"/>
              <w:rPr>
                <w:rFonts w:cs="Arial"/>
                <w:spacing w:val="7"/>
              </w:rPr>
            </w:pPr>
          </w:p>
          <w:p w14:paraId="3A117311" w14:textId="3EF919B1" w:rsidR="003865D9" w:rsidRDefault="00223C37" w:rsidP="00454821">
            <w:pPr>
              <w:pStyle w:val="FooterText"/>
              <w:tabs>
                <w:tab w:val="right" w:pos="9498"/>
              </w:tabs>
              <w:jc w:val="left"/>
            </w:pPr>
            <w:r>
              <w:t xml:space="preserve">FP102 </w:t>
            </w:r>
            <w:r w:rsidRPr="00223C37">
              <w:t>Petty Cash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CC3D" w14:textId="77777777" w:rsidR="002718F0" w:rsidRDefault="002718F0" w:rsidP="001876E7">
      <w:pPr>
        <w:spacing w:line="240" w:lineRule="auto"/>
      </w:pPr>
      <w:r>
        <w:separator/>
      </w:r>
    </w:p>
  </w:footnote>
  <w:footnote w:type="continuationSeparator" w:id="0">
    <w:p w14:paraId="1FA7EECC" w14:textId="77777777" w:rsidR="002718F0" w:rsidRDefault="002718F0"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5DF1"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613D4678" wp14:editId="06C55EB6">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612D5E"/>
    <w:multiLevelType w:val="multilevel"/>
    <w:tmpl w:val="06AE8170"/>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4C0206"/>
    <w:multiLevelType w:val="hybridMultilevel"/>
    <w:tmpl w:val="A8B0F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5F0E6EF6"/>
    <w:multiLevelType w:val="hybridMultilevel"/>
    <w:tmpl w:val="13261FBC"/>
    <w:lvl w:ilvl="0" w:tplc="93A007D0">
      <w:numFmt w:val="bullet"/>
      <w:lvlText w:val="-"/>
      <w:lvlJc w:val="left"/>
      <w:pPr>
        <w:ind w:left="717" w:hanging="360"/>
      </w:pPr>
      <w:rPr>
        <w:rFonts w:ascii="Arial" w:eastAsiaTheme="minorHAnsi"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1"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5"/>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21"/>
  </w:num>
  <w:num w:numId="7" w16cid:durableId="139810974">
    <w:abstractNumId w:val="5"/>
  </w:num>
  <w:num w:numId="8" w16cid:durableId="478111977">
    <w:abstractNumId w:val="16"/>
  </w:num>
  <w:num w:numId="9" w16cid:durableId="672680783">
    <w:abstractNumId w:val="15"/>
  </w:num>
  <w:num w:numId="10" w16cid:durableId="582229400">
    <w:abstractNumId w:val="24"/>
  </w:num>
  <w:num w:numId="11" w16cid:durableId="1068845125">
    <w:abstractNumId w:val="17"/>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3"/>
  </w:num>
  <w:num w:numId="20" w16cid:durableId="1927031610">
    <w:abstractNumId w:val="7"/>
  </w:num>
  <w:num w:numId="21" w16cid:durableId="149368801">
    <w:abstractNumId w:val="9"/>
  </w:num>
  <w:num w:numId="22" w16cid:durableId="537015620">
    <w:abstractNumId w:val="25"/>
  </w:num>
  <w:num w:numId="23" w16cid:durableId="673651929">
    <w:abstractNumId w:val="23"/>
  </w:num>
  <w:num w:numId="24" w16cid:durableId="1700010823">
    <w:abstractNumId w:val="0"/>
  </w:num>
  <w:num w:numId="25" w16cid:durableId="1459950268">
    <w:abstractNumId w:val="26"/>
  </w:num>
  <w:num w:numId="26" w16cid:durableId="2024210744">
    <w:abstractNumId w:val="11"/>
  </w:num>
  <w:num w:numId="27" w16cid:durableId="731196969">
    <w:abstractNumId w:val="6"/>
  </w:num>
  <w:num w:numId="28" w16cid:durableId="1159078511">
    <w:abstractNumId w:val="22"/>
  </w:num>
  <w:num w:numId="29" w16cid:durableId="580483559">
    <w:abstractNumId w:val="19"/>
  </w:num>
  <w:num w:numId="30" w16cid:durableId="1034160516">
    <w:abstractNumId w:val="10"/>
  </w:num>
  <w:num w:numId="31" w16cid:durableId="1233661081">
    <w:abstractNumId w:val="14"/>
  </w:num>
  <w:num w:numId="32" w16cid:durableId="1166898073">
    <w:abstractNumId w:val="4"/>
  </w:num>
  <w:num w:numId="33" w16cid:durableId="191504904">
    <w:abstractNumId w:val="18"/>
  </w:num>
  <w:num w:numId="34" w16cid:durableId="1204631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77557351">
    <w:abstractNumId w:val="12"/>
  </w:num>
  <w:num w:numId="36" w16cid:durableId="2031952065">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proofState w:spelling="clean" w:grammar="clean"/>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37"/>
    <w:rsid w:val="00007A39"/>
    <w:rsid w:val="00010148"/>
    <w:rsid w:val="00011E5A"/>
    <w:rsid w:val="0002533A"/>
    <w:rsid w:val="000553E0"/>
    <w:rsid w:val="000646E5"/>
    <w:rsid w:val="00066761"/>
    <w:rsid w:val="00070650"/>
    <w:rsid w:val="000771AD"/>
    <w:rsid w:val="00082857"/>
    <w:rsid w:val="000C7997"/>
    <w:rsid w:val="000D41D5"/>
    <w:rsid w:val="000F25D4"/>
    <w:rsid w:val="000F64C5"/>
    <w:rsid w:val="0010231D"/>
    <w:rsid w:val="001155F8"/>
    <w:rsid w:val="001248CF"/>
    <w:rsid w:val="001310BB"/>
    <w:rsid w:val="0013340B"/>
    <w:rsid w:val="00140C68"/>
    <w:rsid w:val="00147C3B"/>
    <w:rsid w:val="00182D1B"/>
    <w:rsid w:val="001876E7"/>
    <w:rsid w:val="00187922"/>
    <w:rsid w:val="00194A22"/>
    <w:rsid w:val="001B5C40"/>
    <w:rsid w:val="001C1A88"/>
    <w:rsid w:val="001E4229"/>
    <w:rsid w:val="00223C37"/>
    <w:rsid w:val="00244765"/>
    <w:rsid w:val="00247E69"/>
    <w:rsid w:val="002543A7"/>
    <w:rsid w:val="00261059"/>
    <w:rsid w:val="00263D11"/>
    <w:rsid w:val="00265378"/>
    <w:rsid w:val="002718F0"/>
    <w:rsid w:val="00273C90"/>
    <w:rsid w:val="00276188"/>
    <w:rsid w:val="00276732"/>
    <w:rsid w:val="00283169"/>
    <w:rsid w:val="002A538B"/>
    <w:rsid w:val="002B5CDA"/>
    <w:rsid w:val="002C0EC0"/>
    <w:rsid w:val="002D47FD"/>
    <w:rsid w:val="002E4B12"/>
    <w:rsid w:val="00302641"/>
    <w:rsid w:val="00306ED7"/>
    <w:rsid w:val="00322ED2"/>
    <w:rsid w:val="003256F1"/>
    <w:rsid w:val="003266FD"/>
    <w:rsid w:val="0034019C"/>
    <w:rsid w:val="00345825"/>
    <w:rsid w:val="00347752"/>
    <w:rsid w:val="0035054F"/>
    <w:rsid w:val="003510EE"/>
    <w:rsid w:val="00363149"/>
    <w:rsid w:val="003865D9"/>
    <w:rsid w:val="00386B5D"/>
    <w:rsid w:val="0038720A"/>
    <w:rsid w:val="003B2431"/>
    <w:rsid w:val="003C04D5"/>
    <w:rsid w:val="003C59CC"/>
    <w:rsid w:val="003F52EA"/>
    <w:rsid w:val="00407302"/>
    <w:rsid w:val="004128E7"/>
    <w:rsid w:val="0042795E"/>
    <w:rsid w:val="0043268D"/>
    <w:rsid w:val="004428C9"/>
    <w:rsid w:val="00451A46"/>
    <w:rsid w:val="00454821"/>
    <w:rsid w:val="0045562B"/>
    <w:rsid w:val="00471203"/>
    <w:rsid w:val="004726A7"/>
    <w:rsid w:val="00480B30"/>
    <w:rsid w:val="004924CF"/>
    <w:rsid w:val="004A48AB"/>
    <w:rsid w:val="004A5F05"/>
    <w:rsid w:val="004B36CD"/>
    <w:rsid w:val="004C3545"/>
    <w:rsid w:val="004F5E04"/>
    <w:rsid w:val="00507AF2"/>
    <w:rsid w:val="00512916"/>
    <w:rsid w:val="0051530E"/>
    <w:rsid w:val="0052519E"/>
    <w:rsid w:val="00545C38"/>
    <w:rsid w:val="005518A9"/>
    <w:rsid w:val="00564D73"/>
    <w:rsid w:val="005711B3"/>
    <w:rsid w:val="00572560"/>
    <w:rsid w:val="0057717F"/>
    <w:rsid w:val="00581B7E"/>
    <w:rsid w:val="00591827"/>
    <w:rsid w:val="0059266A"/>
    <w:rsid w:val="00594E14"/>
    <w:rsid w:val="005A508B"/>
    <w:rsid w:val="005D0374"/>
    <w:rsid w:val="005D62C0"/>
    <w:rsid w:val="005E08A1"/>
    <w:rsid w:val="00610B2B"/>
    <w:rsid w:val="0063081A"/>
    <w:rsid w:val="0063326C"/>
    <w:rsid w:val="006423BB"/>
    <w:rsid w:val="0066591C"/>
    <w:rsid w:val="00667C4A"/>
    <w:rsid w:val="00696991"/>
    <w:rsid w:val="006B0609"/>
    <w:rsid w:val="006B41E2"/>
    <w:rsid w:val="00712FA0"/>
    <w:rsid w:val="00717A8D"/>
    <w:rsid w:val="00723627"/>
    <w:rsid w:val="007256EF"/>
    <w:rsid w:val="00730CA5"/>
    <w:rsid w:val="00744A83"/>
    <w:rsid w:val="007539BA"/>
    <w:rsid w:val="00764B4C"/>
    <w:rsid w:val="00772CA5"/>
    <w:rsid w:val="00776701"/>
    <w:rsid w:val="00784932"/>
    <w:rsid w:val="0078642D"/>
    <w:rsid w:val="007B2919"/>
    <w:rsid w:val="007C2DAF"/>
    <w:rsid w:val="007E1123"/>
    <w:rsid w:val="0081228C"/>
    <w:rsid w:val="00831235"/>
    <w:rsid w:val="00832C4B"/>
    <w:rsid w:val="00840AD5"/>
    <w:rsid w:val="0084471B"/>
    <w:rsid w:val="00847753"/>
    <w:rsid w:val="00852000"/>
    <w:rsid w:val="00861EB0"/>
    <w:rsid w:val="0087097E"/>
    <w:rsid w:val="008874B0"/>
    <w:rsid w:val="00893D07"/>
    <w:rsid w:val="008A7363"/>
    <w:rsid w:val="008B0A37"/>
    <w:rsid w:val="008B1D97"/>
    <w:rsid w:val="008C11D7"/>
    <w:rsid w:val="008D1B9A"/>
    <w:rsid w:val="008D3C32"/>
    <w:rsid w:val="008D5DD4"/>
    <w:rsid w:val="008D6213"/>
    <w:rsid w:val="008D791B"/>
    <w:rsid w:val="008F09EB"/>
    <w:rsid w:val="008F41A1"/>
    <w:rsid w:val="00903AA2"/>
    <w:rsid w:val="009050C4"/>
    <w:rsid w:val="00914FC1"/>
    <w:rsid w:val="00921168"/>
    <w:rsid w:val="00922DB3"/>
    <w:rsid w:val="00932409"/>
    <w:rsid w:val="00947D46"/>
    <w:rsid w:val="009655E2"/>
    <w:rsid w:val="00973E48"/>
    <w:rsid w:val="009A0ED4"/>
    <w:rsid w:val="009E3487"/>
    <w:rsid w:val="00A17E0E"/>
    <w:rsid w:val="00A2438D"/>
    <w:rsid w:val="00A24DA1"/>
    <w:rsid w:val="00A34D37"/>
    <w:rsid w:val="00A36714"/>
    <w:rsid w:val="00A43329"/>
    <w:rsid w:val="00A52F66"/>
    <w:rsid w:val="00A61E40"/>
    <w:rsid w:val="00A92CD7"/>
    <w:rsid w:val="00AA0D99"/>
    <w:rsid w:val="00AB4A71"/>
    <w:rsid w:val="00AC3248"/>
    <w:rsid w:val="00AD5FD5"/>
    <w:rsid w:val="00AE5E04"/>
    <w:rsid w:val="00AF1001"/>
    <w:rsid w:val="00B148E6"/>
    <w:rsid w:val="00B148FF"/>
    <w:rsid w:val="00B22399"/>
    <w:rsid w:val="00B2494E"/>
    <w:rsid w:val="00B275B1"/>
    <w:rsid w:val="00B46F84"/>
    <w:rsid w:val="00B56F75"/>
    <w:rsid w:val="00B8132B"/>
    <w:rsid w:val="00BA22C2"/>
    <w:rsid w:val="00C01ABD"/>
    <w:rsid w:val="00C108E0"/>
    <w:rsid w:val="00C114D1"/>
    <w:rsid w:val="00C143CB"/>
    <w:rsid w:val="00C20301"/>
    <w:rsid w:val="00C26C7B"/>
    <w:rsid w:val="00C27093"/>
    <w:rsid w:val="00C41ACB"/>
    <w:rsid w:val="00C44824"/>
    <w:rsid w:val="00C81C94"/>
    <w:rsid w:val="00C83D44"/>
    <w:rsid w:val="00C93C14"/>
    <w:rsid w:val="00CB43C5"/>
    <w:rsid w:val="00CB6415"/>
    <w:rsid w:val="00CD5DBF"/>
    <w:rsid w:val="00CF6C46"/>
    <w:rsid w:val="00CF7537"/>
    <w:rsid w:val="00D1001F"/>
    <w:rsid w:val="00D10E87"/>
    <w:rsid w:val="00D232C1"/>
    <w:rsid w:val="00D4040D"/>
    <w:rsid w:val="00D40DD9"/>
    <w:rsid w:val="00D47ABA"/>
    <w:rsid w:val="00D558F5"/>
    <w:rsid w:val="00D77D91"/>
    <w:rsid w:val="00DA5912"/>
    <w:rsid w:val="00DB2058"/>
    <w:rsid w:val="00DB24AA"/>
    <w:rsid w:val="00DB2D24"/>
    <w:rsid w:val="00DC7F16"/>
    <w:rsid w:val="00DF67AA"/>
    <w:rsid w:val="00E04B72"/>
    <w:rsid w:val="00E06E01"/>
    <w:rsid w:val="00E3506D"/>
    <w:rsid w:val="00E365D6"/>
    <w:rsid w:val="00E40653"/>
    <w:rsid w:val="00E561CE"/>
    <w:rsid w:val="00E601A0"/>
    <w:rsid w:val="00E755AD"/>
    <w:rsid w:val="00E75D27"/>
    <w:rsid w:val="00E86F23"/>
    <w:rsid w:val="00E87F15"/>
    <w:rsid w:val="00EA0249"/>
    <w:rsid w:val="00EA17A7"/>
    <w:rsid w:val="00EB4016"/>
    <w:rsid w:val="00EB5FED"/>
    <w:rsid w:val="00EC2425"/>
    <w:rsid w:val="00EC4F61"/>
    <w:rsid w:val="00ED047B"/>
    <w:rsid w:val="00EE7121"/>
    <w:rsid w:val="00EF3699"/>
    <w:rsid w:val="00EF60A6"/>
    <w:rsid w:val="00F22D39"/>
    <w:rsid w:val="00F30A5F"/>
    <w:rsid w:val="00F42A5B"/>
    <w:rsid w:val="00F9138C"/>
    <w:rsid w:val="00F91DD0"/>
    <w:rsid w:val="00FA116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D96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unhideWhenUsed/>
    <w:rsid w:val="004726A7"/>
    <w:rPr>
      <w:sz w:val="16"/>
      <w:szCs w:val="16"/>
    </w:rPr>
  </w:style>
  <w:style w:type="paragraph" w:styleId="CommentText">
    <w:name w:val="annotation text"/>
    <w:basedOn w:val="Normal"/>
    <w:link w:val="CommentTextChar"/>
    <w:uiPriority w:val="99"/>
    <w:rsid w:val="004726A7"/>
    <w:pPr>
      <w:spacing w:line="240" w:lineRule="auto"/>
    </w:pPr>
    <w:rPr>
      <w:sz w:val="20"/>
      <w:szCs w:val="20"/>
    </w:rPr>
  </w:style>
  <w:style w:type="character" w:customStyle="1" w:styleId="CommentTextChar">
    <w:name w:val="Comment Text Char"/>
    <w:basedOn w:val="DefaultParagraphFont"/>
    <w:link w:val="CommentText"/>
    <w:uiPriority w:val="99"/>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 w:type="paragraph" w:customStyle="1" w:styleId="pf0">
    <w:name w:val="pf0"/>
    <w:basedOn w:val="Normal"/>
    <w:rsid w:val="0034019C"/>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cf01">
    <w:name w:val="cf01"/>
    <w:basedOn w:val="DefaultParagraphFont"/>
    <w:rsid w:val="0034019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9959\Documents\Custom%20Office%20Templates\Non-Clinical%20Policy%20TEMPLATE.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E46F69A8-FFE7-421C-B290-A913F6D72C42}"/>
</file>

<file path=customXml/itemProps3.xml><?xml version="1.0" encoding="utf-8"?>
<ds:datastoreItem xmlns:ds="http://schemas.openxmlformats.org/officeDocument/2006/customXml" ds:itemID="{BCC8C45E-38DD-4FE7-893F-FB8B9A402D6C}"/>
</file>

<file path=customXml/itemProps4.xml><?xml version="1.0" encoding="utf-8"?>
<ds:datastoreItem xmlns:ds="http://schemas.openxmlformats.org/officeDocument/2006/customXml" ds:itemID="{EF2B28B6-B4A8-44CE-9F70-BD1611530AE8}"/>
</file>

<file path=docProps/app.xml><?xml version="1.0" encoding="utf-8"?>
<Properties xmlns="http://schemas.openxmlformats.org/officeDocument/2006/extended-properties" xmlns:vt="http://schemas.openxmlformats.org/officeDocument/2006/docPropsVTypes">
  <Template>Non-Clinical Policy TEMPLATE</Template>
  <TotalTime>0</TotalTime>
  <Pages>1</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2024-03-18T11:33:00Z</dcterms:created>
  <dcterms:modified xsi:type="dcterms:W3CDTF">2024-03-18T11:35:00Z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