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44A7" w14:textId="77777777" w:rsidR="00DF67AA" w:rsidRDefault="00DF67AA" w:rsidP="00903AA2">
      <w:pPr>
        <w:rPr>
          <w:spacing w:val="10"/>
        </w:rPr>
      </w:pPr>
    </w:p>
    <w:p w14:paraId="15E4AA64" w14:textId="77777777" w:rsidR="00DF67AA" w:rsidRDefault="00DF67AA" w:rsidP="00903AA2">
      <w:pPr>
        <w:rPr>
          <w:spacing w:val="10"/>
        </w:rPr>
      </w:pPr>
    </w:p>
    <w:p w14:paraId="00696B24" w14:textId="77777777" w:rsidR="00FA1162" w:rsidRDefault="00FA1162" w:rsidP="00903AA2">
      <w:pPr>
        <w:rPr>
          <w:spacing w:val="10"/>
        </w:rPr>
      </w:pPr>
    </w:p>
    <w:p w14:paraId="673FE904" w14:textId="77777777" w:rsidR="00DF67AA" w:rsidRDefault="00386B5D" w:rsidP="00FA1162">
      <w:pPr>
        <w:rPr>
          <w:spacing w:val="10"/>
        </w:rPr>
      </w:pPr>
      <w:r>
        <w:rPr>
          <w:noProof/>
          <w:spacing w:val="10"/>
        </w:rPr>
        <w:drawing>
          <wp:anchor distT="0" distB="0" distL="114300" distR="114300" simplePos="0" relativeHeight="251658240" behindDoc="0" locked="0" layoutInCell="1" allowOverlap="1" wp14:anchorId="447469B8" wp14:editId="41087E6D">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p w14:paraId="086790F8" w14:textId="6D230874" w:rsidR="00717A8D" w:rsidRPr="002939AF" w:rsidRDefault="00AF1001" w:rsidP="00847753">
      <w:pPr>
        <w:rPr>
          <w:noProof/>
          <w:spacing w:val="10"/>
        </w:rPr>
      </w:pPr>
      <w:r w:rsidRPr="0063326C">
        <w:rPr>
          <w:noProof/>
          <w:spacing w:val="10"/>
        </w:rPr>
        <mc:AlternateContent>
          <mc:Choice Requires="wps">
            <w:drawing>
              <wp:inline distT="0" distB="0" distL="0" distR="0" wp14:anchorId="7DE6F97B" wp14:editId="291F6BC1">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91FBDEE" w14:textId="44609CD1" w:rsidR="00DF67AA" w:rsidRPr="00847753" w:rsidRDefault="00CB339C" w:rsidP="00847753">
                            <w:pPr>
                              <w:pStyle w:val="PolicyTitle"/>
                            </w:pPr>
                            <w:r>
                              <w:t xml:space="preserve">Distress Behaviour </w:t>
                            </w:r>
                            <w:r w:rsidR="002939AF">
                              <w:t>Support Policy</w:t>
                            </w:r>
                          </w:p>
                          <w:p w14:paraId="01C63698" w14:textId="54CBD3E9" w:rsidR="000646E5" w:rsidRPr="00847753" w:rsidRDefault="00A629A0" w:rsidP="00847753">
                            <w:pPr>
                              <w:pStyle w:val="PolicyCode"/>
                            </w:pPr>
                            <w:r>
                              <w:t>HP119</w:t>
                            </w:r>
                            <w:r w:rsidR="00A34D37" w:rsidRPr="00847753">
                              <w:t xml:space="preserve"> </w:t>
                            </w:r>
                            <w:r w:rsidR="00F14FE3">
                              <w:t>Homes Policies</w:t>
                            </w:r>
                          </w:p>
                          <w:p w14:paraId="2C29249C" w14:textId="691CC8B9" w:rsidR="00AB4A71" w:rsidRPr="00847753" w:rsidRDefault="00F14FE3" w:rsidP="00847753">
                            <w:pPr>
                              <w:pStyle w:val="PolicyDate"/>
                            </w:pPr>
                            <w:r>
                              <w:t>September 2024</w:t>
                            </w:r>
                          </w:p>
                        </w:txbxContent>
                      </wps:txbx>
                      <wps:bodyPr rot="0" vert="horz" wrap="square" lIns="91440" tIns="45720" rIns="91440" bIns="45720" anchor="t" anchorCtr="0">
                        <a:spAutoFit/>
                      </wps:bodyPr>
                    </wps:wsp>
                  </a:graphicData>
                </a:graphic>
              </wp:inline>
            </w:drawing>
          </mc:Choice>
          <mc:Fallback>
            <w:pict>
              <v:shapetype w14:anchorId="7DE6F97B"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691FBDEE" w14:textId="44609CD1" w:rsidR="00DF67AA" w:rsidRPr="00847753" w:rsidRDefault="00CB339C" w:rsidP="00847753">
                      <w:pPr>
                        <w:pStyle w:val="PolicyTitle"/>
                      </w:pPr>
                      <w:r>
                        <w:t xml:space="preserve">Distress Behaviour </w:t>
                      </w:r>
                      <w:r w:rsidR="002939AF">
                        <w:t>Support Policy</w:t>
                      </w:r>
                    </w:p>
                    <w:p w14:paraId="01C63698" w14:textId="54CBD3E9" w:rsidR="000646E5" w:rsidRPr="00847753" w:rsidRDefault="00A629A0" w:rsidP="00847753">
                      <w:pPr>
                        <w:pStyle w:val="PolicyCode"/>
                      </w:pPr>
                      <w:r>
                        <w:t>HP119</w:t>
                      </w:r>
                      <w:r w:rsidR="00A34D37" w:rsidRPr="00847753">
                        <w:t xml:space="preserve"> </w:t>
                      </w:r>
                      <w:r w:rsidR="00F14FE3">
                        <w:t>Homes Policies</w:t>
                      </w:r>
                    </w:p>
                    <w:p w14:paraId="2C29249C" w14:textId="691CC8B9" w:rsidR="00AB4A71" w:rsidRPr="00847753" w:rsidRDefault="00F14FE3" w:rsidP="00847753">
                      <w:pPr>
                        <w:pStyle w:val="PolicyDate"/>
                      </w:pPr>
                      <w:r>
                        <w:t>September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8312136" w14:textId="77777777" w:rsidR="00DF67AA" w:rsidRDefault="00471203" w:rsidP="00070650">
          <w:pPr>
            <w:rPr>
              <w:rFonts w:cs="Arial"/>
              <w:b/>
              <w:bCs/>
              <w:sz w:val="28"/>
              <w:szCs w:val="28"/>
            </w:rPr>
          </w:pPr>
          <w:r w:rsidRPr="00070650">
            <w:rPr>
              <w:rFonts w:cs="Arial"/>
              <w:b/>
              <w:bCs/>
              <w:sz w:val="28"/>
              <w:szCs w:val="28"/>
            </w:rPr>
            <w:t>Contents</w:t>
          </w:r>
        </w:p>
        <w:p w14:paraId="6EA4AB4B" w14:textId="51E9A873" w:rsidR="00887ED4"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7130267" w:history="1">
            <w:r w:rsidR="00887ED4" w:rsidRPr="00B44ECF">
              <w:rPr>
                <w:rStyle w:val="Hyperlink"/>
              </w:rPr>
              <w:t>1</w:t>
            </w:r>
            <w:r w:rsidR="00887ED4">
              <w:rPr>
                <w:rFonts w:asciiTheme="minorHAnsi" w:eastAsiaTheme="minorEastAsia" w:hAnsiTheme="minorHAnsi"/>
                <w:kern w:val="2"/>
                <w:lang w:eastAsia="en-GB"/>
                <w14:ligatures w14:val="standardContextual"/>
              </w:rPr>
              <w:tab/>
            </w:r>
            <w:r w:rsidR="00887ED4" w:rsidRPr="00B44ECF">
              <w:rPr>
                <w:rStyle w:val="Hyperlink"/>
              </w:rPr>
              <w:t>Introduction</w:t>
            </w:r>
            <w:r w:rsidR="00887ED4">
              <w:rPr>
                <w:webHidden/>
              </w:rPr>
              <w:tab/>
            </w:r>
            <w:r w:rsidR="00887ED4">
              <w:rPr>
                <w:webHidden/>
              </w:rPr>
              <w:fldChar w:fldCharType="begin"/>
            </w:r>
            <w:r w:rsidR="00887ED4">
              <w:rPr>
                <w:webHidden/>
              </w:rPr>
              <w:instrText xml:space="preserve"> PAGEREF _Toc177130267 \h </w:instrText>
            </w:r>
            <w:r w:rsidR="00887ED4">
              <w:rPr>
                <w:webHidden/>
              </w:rPr>
            </w:r>
            <w:r w:rsidR="00887ED4">
              <w:rPr>
                <w:webHidden/>
              </w:rPr>
              <w:fldChar w:fldCharType="separate"/>
            </w:r>
            <w:r w:rsidR="00887ED4">
              <w:rPr>
                <w:webHidden/>
              </w:rPr>
              <w:t>2</w:t>
            </w:r>
            <w:r w:rsidR="00887ED4">
              <w:rPr>
                <w:webHidden/>
              </w:rPr>
              <w:fldChar w:fldCharType="end"/>
            </w:r>
          </w:hyperlink>
        </w:p>
        <w:p w14:paraId="3E4C42AC" w14:textId="59B57010" w:rsidR="00887ED4" w:rsidRDefault="00887ED4">
          <w:pPr>
            <w:pStyle w:val="TOC1"/>
            <w:rPr>
              <w:rFonts w:asciiTheme="minorHAnsi" w:eastAsiaTheme="minorEastAsia" w:hAnsiTheme="minorHAnsi"/>
              <w:kern w:val="2"/>
              <w:lang w:eastAsia="en-GB"/>
              <w14:ligatures w14:val="standardContextual"/>
            </w:rPr>
          </w:pPr>
          <w:hyperlink w:anchor="_Toc177130268" w:history="1">
            <w:r w:rsidRPr="00B44ECF">
              <w:rPr>
                <w:rStyle w:val="Hyperlink"/>
              </w:rPr>
              <w:t>2</w:t>
            </w:r>
            <w:r>
              <w:rPr>
                <w:rFonts w:asciiTheme="minorHAnsi" w:eastAsiaTheme="minorEastAsia" w:hAnsiTheme="minorHAnsi"/>
                <w:kern w:val="2"/>
                <w:lang w:eastAsia="en-GB"/>
                <w14:ligatures w14:val="standardContextual"/>
              </w:rPr>
              <w:tab/>
            </w:r>
            <w:r w:rsidRPr="00B44ECF">
              <w:rPr>
                <w:rStyle w:val="Hyperlink"/>
              </w:rPr>
              <w:t>Scope and Purpose</w:t>
            </w:r>
            <w:r>
              <w:rPr>
                <w:webHidden/>
              </w:rPr>
              <w:tab/>
            </w:r>
            <w:r>
              <w:rPr>
                <w:webHidden/>
              </w:rPr>
              <w:fldChar w:fldCharType="begin"/>
            </w:r>
            <w:r>
              <w:rPr>
                <w:webHidden/>
              </w:rPr>
              <w:instrText xml:space="preserve"> PAGEREF _Toc177130268 \h </w:instrText>
            </w:r>
            <w:r>
              <w:rPr>
                <w:webHidden/>
              </w:rPr>
            </w:r>
            <w:r>
              <w:rPr>
                <w:webHidden/>
              </w:rPr>
              <w:fldChar w:fldCharType="separate"/>
            </w:r>
            <w:r>
              <w:rPr>
                <w:webHidden/>
              </w:rPr>
              <w:t>2</w:t>
            </w:r>
            <w:r>
              <w:rPr>
                <w:webHidden/>
              </w:rPr>
              <w:fldChar w:fldCharType="end"/>
            </w:r>
          </w:hyperlink>
        </w:p>
        <w:p w14:paraId="0EA6A604" w14:textId="47AB80CC" w:rsidR="00887ED4" w:rsidRDefault="00887ED4">
          <w:pPr>
            <w:pStyle w:val="TOC1"/>
            <w:rPr>
              <w:rFonts w:asciiTheme="minorHAnsi" w:eastAsiaTheme="minorEastAsia" w:hAnsiTheme="minorHAnsi"/>
              <w:kern w:val="2"/>
              <w:lang w:eastAsia="en-GB"/>
              <w14:ligatures w14:val="standardContextual"/>
            </w:rPr>
          </w:pPr>
          <w:hyperlink w:anchor="_Toc177130269" w:history="1">
            <w:r w:rsidRPr="00B44ECF">
              <w:rPr>
                <w:rStyle w:val="Hyperlink"/>
              </w:rPr>
              <w:t>3</w:t>
            </w:r>
            <w:r>
              <w:rPr>
                <w:rFonts w:asciiTheme="minorHAnsi" w:eastAsiaTheme="minorEastAsia" w:hAnsiTheme="minorHAnsi"/>
                <w:kern w:val="2"/>
                <w:lang w:eastAsia="en-GB"/>
                <w14:ligatures w14:val="standardContextual"/>
              </w:rPr>
              <w:tab/>
            </w:r>
            <w:r w:rsidRPr="00B44ECF">
              <w:rPr>
                <w:rStyle w:val="Hyperlink"/>
              </w:rPr>
              <w:t>Definitions</w:t>
            </w:r>
            <w:r>
              <w:rPr>
                <w:webHidden/>
              </w:rPr>
              <w:tab/>
            </w:r>
            <w:r>
              <w:rPr>
                <w:webHidden/>
              </w:rPr>
              <w:fldChar w:fldCharType="begin"/>
            </w:r>
            <w:r>
              <w:rPr>
                <w:webHidden/>
              </w:rPr>
              <w:instrText xml:space="preserve"> PAGEREF _Toc177130269 \h </w:instrText>
            </w:r>
            <w:r>
              <w:rPr>
                <w:webHidden/>
              </w:rPr>
            </w:r>
            <w:r>
              <w:rPr>
                <w:webHidden/>
              </w:rPr>
              <w:fldChar w:fldCharType="separate"/>
            </w:r>
            <w:r>
              <w:rPr>
                <w:webHidden/>
              </w:rPr>
              <w:t>3</w:t>
            </w:r>
            <w:r>
              <w:rPr>
                <w:webHidden/>
              </w:rPr>
              <w:fldChar w:fldCharType="end"/>
            </w:r>
          </w:hyperlink>
        </w:p>
        <w:p w14:paraId="2A3B9FA7" w14:textId="74F8CA9A" w:rsidR="00887ED4" w:rsidRDefault="00887ED4">
          <w:pPr>
            <w:pStyle w:val="TOC1"/>
            <w:rPr>
              <w:rFonts w:asciiTheme="minorHAnsi" w:eastAsiaTheme="minorEastAsia" w:hAnsiTheme="minorHAnsi"/>
              <w:kern w:val="2"/>
              <w:lang w:eastAsia="en-GB"/>
              <w14:ligatures w14:val="standardContextual"/>
            </w:rPr>
          </w:pPr>
          <w:hyperlink w:anchor="_Toc177130270" w:history="1">
            <w:r w:rsidRPr="00B44ECF">
              <w:rPr>
                <w:rStyle w:val="Hyperlink"/>
              </w:rPr>
              <w:t>4</w:t>
            </w:r>
            <w:r>
              <w:rPr>
                <w:rFonts w:asciiTheme="minorHAnsi" w:eastAsiaTheme="minorEastAsia" w:hAnsiTheme="minorHAnsi"/>
                <w:kern w:val="2"/>
                <w:lang w:eastAsia="en-GB"/>
                <w14:ligatures w14:val="standardContextual"/>
              </w:rPr>
              <w:tab/>
            </w:r>
            <w:r w:rsidRPr="00B44ECF">
              <w:rPr>
                <w:rStyle w:val="Hyperlink"/>
              </w:rPr>
              <w:t>Signs of Distress</w:t>
            </w:r>
            <w:r>
              <w:rPr>
                <w:webHidden/>
              </w:rPr>
              <w:tab/>
            </w:r>
            <w:r>
              <w:rPr>
                <w:webHidden/>
              </w:rPr>
              <w:fldChar w:fldCharType="begin"/>
            </w:r>
            <w:r>
              <w:rPr>
                <w:webHidden/>
              </w:rPr>
              <w:instrText xml:space="preserve"> PAGEREF _Toc177130270 \h </w:instrText>
            </w:r>
            <w:r>
              <w:rPr>
                <w:webHidden/>
              </w:rPr>
            </w:r>
            <w:r>
              <w:rPr>
                <w:webHidden/>
              </w:rPr>
              <w:fldChar w:fldCharType="separate"/>
            </w:r>
            <w:r>
              <w:rPr>
                <w:webHidden/>
              </w:rPr>
              <w:t>5</w:t>
            </w:r>
            <w:r>
              <w:rPr>
                <w:webHidden/>
              </w:rPr>
              <w:fldChar w:fldCharType="end"/>
            </w:r>
          </w:hyperlink>
        </w:p>
        <w:p w14:paraId="4C6885FC" w14:textId="3CEE2A5A" w:rsidR="00887ED4" w:rsidRDefault="00887ED4">
          <w:pPr>
            <w:pStyle w:val="TOC1"/>
            <w:rPr>
              <w:rFonts w:asciiTheme="minorHAnsi" w:eastAsiaTheme="minorEastAsia" w:hAnsiTheme="minorHAnsi"/>
              <w:kern w:val="2"/>
              <w:lang w:eastAsia="en-GB"/>
              <w14:ligatures w14:val="standardContextual"/>
            </w:rPr>
          </w:pPr>
          <w:hyperlink w:anchor="_Toc177130271" w:history="1">
            <w:r w:rsidRPr="00B44ECF">
              <w:rPr>
                <w:rStyle w:val="Hyperlink"/>
              </w:rPr>
              <w:t>5</w:t>
            </w:r>
            <w:r>
              <w:rPr>
                <w:rFonts w:asciiTheme="minorHAnsi" w:eastAsiaTheme="minorEastAsia" w:hAnsiTheme="minorHAnsi"/>
                <w:kern w:val="2"/>
                <w:lang w:eastAsia="en-GB"/>
                <w14:ligatures w14:val="standardContextual"/>
              </w:rPr>
              <w:tab/>
            </w:r>
            <w:r w:rsidRPr="00B44ECF">
              <w:rPr>
                <w:rStyle w:val="Hyperlink"/>
              </w:rPr>
              <w:t>Causes of Distress</w:t>
            </w:r>
            <w:r>
              <w:rPr>
                <w:webHidden/>
              </w:rPr>
              <w:tab/>
            </w:r>
            <w:r>
              <w:rPr>
                <w:webHidden/>
              </w:rPr>
              <w:fldChar w:fldCharType="begin"/>
            </w:r>
            <w:r>
              <w:rPr>
                <w:webHidden/>
              </w:rPr>
              <w:instrText xml:space="preserve"> PAGEREF _Toc177130271 \h </w:instrText>
            </w:r>
            <w:r>
              <w:rPr>
                <w:webHidden/>
              </w:rPr>
            </w:r>
            <w:r>
              <w:rPr>
                <w:webHidden/>
              </w:rPr>
              <w:fldChar w:fldCharType="separate"/>
            </w:r>
            <w:r>
              <w:rPr>
                <w:webHidden/>
              </w:rPr>
              <w:t>5</w:t>
            </w:r>
            <w:r>
              <w:rPr>
                <w:webHidden/>
              </w:rPr>
              <w:fldChar w:fldCharType="end"/>
            </w:r>
          </w:hyperlink>
        </w:p>
        <w:p w14:paraId="60E8F6DA" w14:textId="18D05297" w:rsidR="00887ED4" w:rsidRDefault="00887ED4">
          <w:pPr>
            <w:pStyle w:val="TOC1"/>
            <w:rPr>
              <w:rFonts w:asciiTheme="minorHAnsi" w:eastAsiaTheme="minorEastAsia" w:hAnsiTheme="minorHAnsi"/>
              <w:kern w:val="2"/>
              <w:lang w:eastAsia="en-GB"/>
              <w14:ligatures w14:val="standardContextual"/>
            </w:rPr>
          </w:pPr>
          <w:hyperlink w:anchor="_Toc177130272" w:history="1">
            <w:r w:rsidRPr="00B44ECF">
              <w:rPr>
                <w:rStyle w:val="Hyperlink"/>
              </w:rPr>
              <w:t>6</w:t>
            </w:r>
            <w:r>
              <w:rPr>
                <w:rFonts w:asciiTheme="minorHAnsi" w:eastAsiaTheme="minorEastAsia" w:hAnsiTheme="minorHAnsi"/>
                <w:kern w:val="2"/>
                <w:lang w:eastAsia="en-GB"/>
                <w14:ligatures w14:val="standardContextual"/>
              </w:rPr>
              <w:tab/>
            </w:r>
            <w:r w:rsidRPr="00B44ECF">
              <w:rPr>
                <w:rStyle w:val="Hyperlink"/>
              </w:rPr>
              <w:t>Interventions</w:t>
            </w:r>
            <w:r>
              <w:rPr>
                <w:webHidden/>
              </w:rPr>
              <w:tab/>
            </w:r>
            <w:r>
              <w:rPr>
                <w:webHidden/>
              </w:rPr>
              <w:fldChar w:fldCharType="begin"/>
            </w:r>
            <w:r>
              <w:rPr>
                <w:webHidden/>
              </w:rPr>
              <w:instrText xml:space="preserve"> PAGEREF _Toc177130272 \h </w:instrText>
            </w:r>
            <w:r>
              <w:rPr>
                <w:webHidden/>
              </w:rPr>
            </w:r>
            <w:r>
              <w:rPr>
                <w:webHidden/>
              </w:rPr>
              <w:fldChar w:fldCharType="separate"/>
            </w:r>
            <w:r>
              <w:rPr>
                <w:webHidden/>
              </w:rPr>
              <w:t>7</w:t>
            </w:r>
            <w:r>
              <w:rPr>
                <w:webHidden/>
              </w:rPr>
              <w:fldChar w:fldCharType="end"/>
            </w:r>
          </w:hyperlink>
        </w:p>
        <w:p w14:paraId="6452EF05" w14:textId="21EAAB5C" w:rsidR="00887ED4" w:rsidRDefault="00887ED4">
          <w:pPr>
            <w:pStyle w:val="TOC1"/>
            <w:rPr>
              <w:rFonts w:asciiTheme="minorHAnsi" w:eastAsiaTheme="minorEastAsia" w:hAnsiTheme="minorHAnsi"/>
              <w:kern w:val="2"/>
              <w:lang w:eastAsia="en-GB"/>
              <w14:ligatures w14:val="standardContextual"/>
            </w:rPr>
          </w:pPr>
          <w:hyperlink w:anchor="_Toc177130273" w:history="1">
            <w:r w:rsidRPr="00B44ECF">
              <w:rPr>
                <w:rStyle w:val="Hyperlink"/>
              </w:rPr>
              <w:t>7</w:t>
            </w:r>
            <w:r>
              <w:rPr>
                <w:rFonts w:asciiTheme="minorHAnsi" w:eastAsiaTheme="minorEastAsia" w:hAnsiTheme="minorHAnsi"/>
                <w:kern w:val="2"/>
                <w:lang w:eastAsia="en-GB"/>
                <w14:ligatures w14:val="standardContextual"/>
              </w:rPr>
              <w:tab/>
            </w:r>
            <w:r w:rsidRPr="00B44ECF">
              <w:rPr>
                <w:rStyle w:val="Hyperlink"/>
              </w:rPr>
              <w:t>Behaviour Support - Standard Operating Procedures (SOP)</w:t>
            </w:r>
            <w:r>
              <w:rPr>
                <w:webHidden/>
              </w:rPr>
              <w:tab/>
            </w:r>
            <w:r>
              <w:rPr>
                <w:webHidden/>
              </w:rPr>
              <w:fldChar w:fldCharType="begin"/>
            </w:r>
            <w:r>
              <w:rPr>
                <w:webHidden/>
              </w:rPr>
              <w:instrText xml:space="preserve"> PAGEREF _Toc177130273 \h </w:instrText>
            </w:r>
            <w:r>
              <w:rPr>
                <w:webHidden/>
              </w:rPr>
            </w:r>
            <w:r>
              <w:rPr>
                <w:webHidden/>
              </w:rPr>
              <w:fldChar w:fldCharType="separate"/>
            </w:r>
            <w:r>
              <w:rPr>
                <w:webHidden/>
              </w:rPr>
              <w:t>9</w:t>
            </w:r>
            <w:r>
              <w:rPr>
                <w:webHidden/>
              </w:rPr>
              <w:fldChar w:fldCharType="end"/>
            </w:r>
          </w:hyperlink>
        </w:p>
        <w:p w14:paraId="0818A7EB" w14:textId="2C11B794" w:rsidR="00887ED4" w:rsidRDefault="00887ED4">
          <w:pPr>
            <w:pStyle w:val="TOC1"/>
            <w:rPr>
              <w:rFonts w:asciiTheme="minorHAnsi" w:eastAsiaTheme="minorEastAsia" w:hAnsiTheme="minorHAnsi"/>
              <w:kern w:val="2"/>
              <w:lang w:eastAsia="en-GB"/>
              <w14:ligatures w14:val="standardContextual"/>
            </w:rPr>
          </w:pPr>
          <w:hyperlink w:anchor="_Toc177130280" w:history="1">
            <w:r w:rsidRPr="00B44ECF">
              <w:rPr>
                <w:rStyle w:val="Hyperlink"/>
              </w:rPr>
              <w:t>8</w:t>
            </w:r>
            <w:r>
              <w:rPr>
                <w:rFonts w:asciiTheme="minorHAnsi" w:eastAsiaTheme="minorEastAsia" w:hAnsiTheme="minorHAnsi"/>
                <w:kern w:val="2"/>
                <w:lang w:eastAsia="en-GB"/>
                <w14:ligatures w14:val="standardContextual"/>
              </w:rPr>
              <w:tab/>
            </w:r>
            <w:r w:rsidRPr="00B44ECF">
              <w:rPr>
                <w:rStyle w:val="Hyperlink"/>
              </w:rPr>
              <w:t>Roles and Responsibilities</w:t>
            </w:r>
            <w:r>
              <w:rPr>
                <w:webHidden/>
              </w:rPr>
              <w:tab/>
            </w:r>
            <w:r>
              <w:rPr>
                <w:webHidden/>
              </w:rPr>
              <w:fldChar w:fldCharType="begin"/>
            </w:r>
            <w:r>
              <w:rPr>
                <w:webHidden/>
              </w:rPr>
              <w:instrText xml:space="preserve"> PAGEREF _Toc177130280 \h </w:instrText>
            </w:r>
            <w:r>
              <w:rPr>
                <w:webHidden/>
              </w:rPr>
            </w:r>
            <w:r>
              <w:rPr>
                <w:webHidden/>
              </w:rPr>
              <w:fldChar w:fldCharType="separate"/>
            </w:r>
            <w:r>
              <w:rPr>
                <w:webHidden/>
              </w:rPr>
              <w:t>12</w:t>
            </w:r>
            <w:r>
              <w:rPr>
                <w:webHidden/>
              </w:rPr>
              <w:fldChar w:fldCharType="end"/>
            </w:r>
          </w:hyperlink>
        </w:p>
        <w:p w14:paraId="34EEA49C" w14:textId="27DD9DC4" w:rsidR="00887ED4" w:rsidRDefault="00887ED4">
          <w:pPr>
            <w:pStyle w:val="TOC1"/>
            <w:rPr>
              <w:rFonts w:asciiTheme="minorHAnsi" w:eastAsiaTheme="minorEastAsia" w:hAnsiTheme="minorHAnsi"/>
              <w:kern w:val="2"/>
              <w:lang w:eastAsia="en-GB"/>
              <w14:ligatures w14:val="standardContextual"/>
            </w:rPr>
          </w:pPr>
          <w:hyperlink w:anchor="_Toc177130281" w:history="1">
            <w:r w:rsidRPr="00B44ECF">
              <w:rPr>
                <w:rStyle w:val="Hyperlink"/>
              </w:rPr>
              <w:t>9</w:t>
            </w:r>
            <w:r>
              <w:rPr>
                <w:rFonts w:asciiTheme="minorHAnsi" w:eastAsiaTheme="minorEastAsia" w:hAnsiTheme="minorHAnsi"/>
                <w:kern w:val="2"/>
                <w:lang w:eastAsia="en-GB"/>
                <w14:ligatures w14:val="standardContextual"/>
              </w:rPr>
              <w:tab/>
            </w:r>
            <w:r w:rsidRPr="00B44ECF">
              <w:rPr>
                <w:rStyle w:val="Hyperlink"/>
              </w:rPr>
              <w:t>Training and Monitoring</w:t>
            </w:r>
            <w:r>
              <w:rPr>
                <w:webHidden/>
              </w:rPr>
              <w:tab/>
            </w:r>
            <w:r>
              <w:rPr>
                <w:webHidden/>
              </w:rPr>
              <w:fldChar w:fldCharType="begin"/>
            </w:r>
            <w:r>
              <w:rPr>
                <w:webHidden/>
              </w:rPr>
              <w:instrText xml:space="preserve"> PAGEREF _Toc177130281 \h </w:instrText>
            </w:r>
            <w:r>
              <w:rPr>
                <w:webHidden/>
              </w:rPr>
            </w:r>
            <w:r>
              <w:rPr>
                <w:webHidden/>
              </w:rPr>
              <w:fldChar w:fldCharType="separate"/>
            </w:r>
            <w:r>
              <w:rPr>
                <w:webHidden/>
              </w:rPr>
              <w:t>14</w:t>
            </w:r>
            <w:r>
              <w:rPr>
                <w:webHidden/>
              </w:rPr>
              <w:fldChar w:fldCharType="end"/>
            </w:r>
          </w:hyperlink>
        </w:p>
        <w:p w14:paraId="422DBE07" w14:textId="65EC3078" w:rsidR="00887ED4" w:rsidRDefault="00887ED4">
          <w:pPr>
            <w:pStyle w:val="TOC1"/>
            <w:rPr>
              <w:rFonts w:asciiTheme="minorHAnsi" w:eastAsiaTheme="minorEastAsia" w:hAnsiTheme="minorHAnsi"/>
              <w:kern w:val="2"/>
              <w:lang w:eastAsia="en-GB"/>
              <w14:ligatures w14:val="standardContextual"/>
            </w:rPr>
          </w:pPr>
          <w:hyperlink w:anchor="_Toc177130282" w:history="1">
            <w:r w:rsidRPr="00B44ECF">
              <w:rPr>
                <w:rStyle w:val="Hyperlink"/>
              </w:rPr>
              <w:t>10</w:t>
            </w:r>
            <w:r>
              <w:rPr>
                <w:rFonts w:asciiTheme="minorHAnsi" w:eastAsiaTheme="minorEastAsia" w:hAnsiTheme="minorHAnsi"/>
                <w:kern w:val="2"/>
                <w:lang w:eastAsia="en-GB"/>
                <w14:ligatures w14:val="standardContextual"/>
              </w:rPr>
              <w:tab/>
            </w:r>
            <w:r w:rsidRPr="00B44ECF">
              <w:rPr>
                <w:rStyle w:val="Hyperlink"/>
              </w:rPr>
              <w:t>Communication and Dissemination</w:t>
            </w:r>
            <w:r>
              <w:rPr>
                <w:webHidden/>
              </w:rPr>
              <w:tab/>
            </w:r>
            <w:r>
              <w:rPr>
                <w:webHidden/>
              </w:rPr>
              <w:fldChar w:fldCharType="begin"/>
            </w:r>
            <w:r>
              <w:rPr>
                <w:webHidden/>
              </w:rPr>
              <w:instrText xml:space="preserve"> PAGEREF _Toc177130282 \h </w:instrText>
            </w:r>
            <w:r>
              <w:rPr>
                <w:webHidden/>
              </w:rPr>
            </w:r>
            <w:r>
              <w:rPr>
                <w:webHidden/>
              </w:rPr>
              <w:fldChar w:fldCharType="separate"/>
            </w:r>
            <w:r>
              <w:rPr>
                <w:webHidden/>
              </w:rPr>
              <w:t>15</w:t>
            </w:r>
            <w:r>
              <w:rPr>
                <w:webHidden/>
              </w:rPr>
              <w:fldChar w:fldCharType="end"/>
            </w:r>
          </w:hyperlink>
        </w:p>
        <w:p w14:paraId="6FDFE5B6" w14:textId="1D9190D3" w:rsidR="00887ED4" w:rsidRDefault="00887ED4">
          <w:pPr>
            <w:pStyle w:val="TOC1"/>
            <w:rPr>
              <w:rFonts w:asciiTheme="minorHAnsi" w:eastAsiaTheme="minorEastAsia" w:hAnsiTheme="minorHAnsi"/>
              <w:kern w:val="2"/>
              <w:lang w:eastAsia="en-GB"/>
              <w14:ligatures w14:val="standardContextual"/>
            </w:rPr>
          </w:pPr>
          <w:hyperlink w:anchor="_Toc177130283" w:history="1">
            <w:r w:rsidRPr="00B44ECF">
              <w:rPr>
                <w:rStyle w:val="Hyperlink"/>
              </w:rPr>
              <w:t>11</w:t>
            </w:r>
            <w:r>
              <w:rPr>
                <w:rFonts w:asciiTheme="minorHAnsi" w:eastAsiaTheme="minorEastAsia" w:hAnsiTheme="minorHAnsi"/>
                <w:kern w:val="2"/>
                <w:lang w:eastAsia="en-GB"/>
                <w14:ligatures w14:val="standardContextual"/>
              </w:rPr>
              <w:tab/>
            </w:r>
            <w:r w:rsidRPr="00B44ECF">
              <w:rPr>
                <w:rStyle w:val="Hyperlink"/>
              </w:rPr>
              <w:t>Impact Assessments (Inc. EDI)</w:t>
            </w:r>
            <w:r>
              <w:rPr>
                <w:webHidden/>
              </w:rPr>
              <w:tab/>
            </w:r>
            <w:r>
              <w:rPr>
                <w:webHidden/>
              </w:rPr>
              <w:fldChar w:fldCharType="begin"/>
            </w:r>
            <w:r>
              <w:rPr>
                <w:webHidden/>
              </w:rPr>
              <w:instrText xml:space="preserve"> PAGEREF _Toc177130283 \h </w:instrText>
            </w:r>
            <w:r>
              <w:rPr>
                <w:webHidden/>
              </w:rPr>
            </w:r>
            <w:r>
              <w:rPr>
                <w:webHidden/>
              </w:rPr>
              <w:fldChar w:fldCharType="separate"/>
            </w:r>
            <w:r>
              <w:rPr>
                <w:webHidden/>
              </w:rPr>
              <w:t>16</w:t>
            </w:r>
            <w:r>
              <w:rPr>
                <w:webHidden/>
              </w:rPr>
              <w:fldChar w:fldCharType="end"/>
            </w:r>
          </w:hyperlink>
        </w:p>
        <w:p w14:paraId="7B7C68C8" w14:textId="458CA0E3" w:rsidR="00887ED4" w:rsidRDefault="00887ED4">
          <w:pPr>
            <w:pStyle w:val="TOC1"/>
            <w:rPr>
              <w:rFonts w:asciiTheme="minorHAnsi" w:eastAsiaTheme="minorEastAsia" w:hAnsiTheme="minorHAnsi"/>
              <w:kern w:val="2"/>
              <w:lang w:eastAsia="en-GB"/>
              <w14:ligatures w14:val="standardContextual"/>
            </w:rPr>
          </w:pPr>
          <w:hyperlink w:anchor="_Toc177130284" w:history="1">
            <w:r w:rsidRPr="00B44ECF">
              <w:rPr>
                <w:rStyle w:val="Hyperlink"/>
              </w:rPr>
              <w:t>12</w:t>
            </w:r>
            <w:r>
              <w:rPr>
                <w:rFonts w:asciiTheme="minorHAnsi" w:eastAsiaTheme="minorEastAsia" w:hAnsiTheme="minorHAnsi"/>
                <w:kern w:val="2"/>
                <w:lang w:eastAsia="en-GB"/>
                <w14:ligatures w14:val="standardContextual"/>
              </w:rPr>
              <w:tab/>
            </w:r>
            <w:r w:rsidRPr="00B44ECF">
              <w:rPr>
                <w:rStyle w:val="Hyperlink"/>
              </w:rPr>
              <w:t>Resources and References</w:t>
            </w:r>
            <w:r>
              <w:rPr>
                <w:webHidden/>
              </w:rPr>
              <w:tab/>
            </w:r>
            <w:r>
              <w:rPr>
                <w:webHidden/>
              </w:rPr>
              <w:fldChar w:fldCharType="begin"/>
            </w:r>
            <w:r>
              <w:rPr>
                <w:webHidden/>
              </w:rPr>
              <w:instrText xml:space="preserve"> PAGEREF _Toc177130284 \h </w:instrText>
            </w:r>
            <w:r>
              <w:rPr>
                <w:webHidden/>
              </w:rPr>
            </w:r>
            <w:r>
              <w:rPr>
                <w:webHidden/>
              </w:rPr>
              <w:fldChar w:fldCharType="separate"/>
            </w:r>
            <w:r>
              <w:rPr>
                <w:webHidden/>
              </w:rPr>
              <w:t>16</w:t>
            </w:r>
            <w:r>
              <w:rPr>
                <w:webHidden/>
              </w:rPr>
              <w:fldChar w:fldCharType="end"/>
            </w:r>
          </w:hyperlink>
        </w:p>
        <w:p w14:paraId="6ECCAF9F" w14:textId="4885976A" w:rsidR="00887ED4" w:rsidRDefault="00887ED4">
          <w:pPr>
            <w:pStyle w:val="TOC1"/>
            <w:rPr>
              <w:rFonts w:asciiTheme="minorHAnsi" w:eastAsiaTheme="minorEastAsia" w:hAnsiTheme="minorHAnsi"/>
              <w:kern w:val="2"/>
              <w:lang w:eastAsia="en-GB"/>
              <w14:ligatures w14:val="standardContextual"/>
            </w:rPr>
          </w:pPr>
          <w:hyperlink w:anchor="_Toc177130285" w:history="1">
            <w:r w:rsidRPr="00B44ECF">
              <w:rPr>
                <w:rStyle w:val="Hyperlink"/>
              </w:rPr>
              <w:t>13</w:t>
            </w:r>
            <w:r>
              <w:rPr>
                <w:rFonts w:asciiTheme="minorHAnsi" w:eastAsiaTheme="minorEastAsia" w:hAnsiTheme="minorHAnsi"/>
                <w:kern w:val="2"/>
                <w:lang w:eastAsia="en-GB"/>
                <w14:ligatures w14:val="standardContextual"/>
              </w:rPr>
              <w:tab/>
            </w:r>
            <w:r w:rsidRPr="00B44ECF">
              <w:rPr>
                <w:rStyle w:val="Hyperlink"/>
              </w:rPr>
              <w:t>Version Control</w:t>
            </w:r>
            <w:r>
              <w:rPr>
                <w:webHidden/>
              </w:rPr>
              <w:tab/>
            </w:r>
            <w:r>
              <w:rPr>
                <w:webHidden/>
              </w:rPr>
              <w:fldChar w:fldCharType="begin"/>
            </w:r>
            <w:r>
              <w:rPr>
                <w:webHidden/>
              </w:rPr>
              <w:instrText xml:space="preserve"> PAGEREF _Toc177130285 \h </w:instrText>
            </w:r>
            <w:r>
              <w:rPr>
                <w:webHidden/>
              </w:rPr>
            </w:r>
            <w:r>
              <w:rPr>
                <w:webHidden/>
              </w:rPr>
              <w:fldChar w:fldCharType="separate"/>
            </w:r>
            <w:r>
              <w:rPr>
                <w:webHidden/>
              </w:rPr>
              <w:t>16</w:t>
            </w:r>
            <w:r>
              <w:rPr>
                <w:webHidden/>
              </w:rPr>
              <w:fldChar w:fldCharType="end"/>
            </w:r>
          </w:hyperlink>
        </w:p>
        <w:p w14:paraId="7EBEEBC9" w14:textId="3D7A676A" w:rsidR="00DF67AA" w:rsidRPr="002939AF" w:rsidRDefault="00F91DD0" w:rsidP="00685E2F">
          <w:pPr>
            <w:pStyle w:val="TOC1"/>
          </w:pPr>
          <w:r>
            <w:rPr>
              <w:rFonts w:cs="Arial"/>
              <w:spacing w:val="7"/>
            </w:rPr>
            <w:fldChar w:fldCharType="end"/>
          </w:r>
        </w:p>
      </w:sdtContent>
    </w:sdt>
    <w:p w14:paraId="50205CD3" w14:textId="77777777" w:rsidR="00685E2F" w:rsidRDefault="00685E2F" w:rsidP="007902FA">
      <w:pPr>
        <w:pStyle w:val="Heading1Numbered"/>
        <w:numPr>
          <w:ilvl w:val="0"/>
          <w:numId w:val="0"/>
        </w:numPr>
        <w:ind w:left="1134"/>
        <w:outlineLvl w:val="9"/>
      </w:pPr>
    </w:p>
    <w:p w14:paraId="221533AC" w14:textId="77777777" w:rsidR="00685E2F" w:rsidRDefault="00685E2F" w:rsidP="007902FA">
      <w:pPr>
        <w:pStyle w:val="Heading1Numbered"/>
        <w:numPr>
          <w:ilvl w:val="0"/>
          <w:numId w:val="0"/>
        </w:numPr>
        <w:ind w:left="1134"/>
        <w:outlineLvl w:val="9"/>
      </w:pPr>
    </w:p>
    <w:p w14:paraId="19ECCFCA" w14:textId="77777777" w:rsidR="00887ED4" w:rsidRPr="00887ED4" w:rsidRDefault="00887ED4" w:rsidP="00887ED4"/>
    <w:p w14:paraId="6934C04D" w14:textId="77777777" w:rsidR="00685E2F" w:rsidRDefault="00685E2F" w:rsidP="007902FA">
      <w:pPr>
        <w:pStyle w:val="Heading1Numbered"/>
        <w:numPr>
          <w:ilvl w:val="0"/>
          <w:numId w:val="0"/>
        </w:numPr>
        <w:ind w:left="1134"/>
        <w:outlineLvl w:val="9"/>
      </w:pPr>
    </w:p>
    <w:p w14:paraId="7D687AEC" w14:textId="6BF3208D" w:rsidR="009A0ED4" w:rsidRDefault="009A0ED4" w:rsidP="00D558F5">
      <w:pPr>
        <w:pStyle w:val="Heading1Numbered"/>
      </w:pPr>
      <w:bookmarkStart w:id="6" w:name="_Toc177130267"/>
      <w:r w:rsidRPr="00D558F5">
        <w:t>Introduction</w:t>
      </w:r>
      <w:bookmarkEnd w:id="6"/>
    </w:p>
    <w:p w14:paraId="7230BBEF" w14:textId="42AD28EE" w:rsidR="00CB339C" w:rsidRDefault="00CB339C" w:rsidP="00F14FE3">
      <w:pPr>
        <w:pStyle w:val="Text1Numbered"/>
      </w:pPr>
      <w:r>
        <w:t xml:space="preserve">All MHA colleagues and volunteers supporting people to live well in later life have a responsibility to ensure individual health, welfare and safety are supported appropriately along with others who may be affected by any distressed behaviour. </w:t>
      </w:r>
    </w:p>
    <w:p w14:paraId="68E04F58" w14:textId="77777777" w:rsidR="00F14FE3" w:rsidRDefault="00F14FE3" w:rsidP="00F14FE3">
      <w:pPr>
        <w:pStyle w:val="Text1Numbered"/>
        <w:numPr>
          <w:ilvl w:val="0"/>
          <w:numId w:val="0"/>
        </w:numPr>
        <w:ind w:left="1135"/>
      </w:pPr>
    </w:p>
    <w:p w14:paraId="52A6BE4E" w14:textId="77777777" w:rsidR="00CB339C" w:rsidRDefault="00CB339C" w:rsidP="00F14FE3">
      <w:pPr>
        <w:pStyle w:val="Text1Numbered"/>
      </w:pPr>
      <w:r w:rsidRPr="000C6C0F">
        <w:t xml:space="preserve">When behaviours are caused by distress, or suffering, collaborative working needs to occur to implement </w:t>
      </w:r>
      <w:r w:rsidRPr="00887ED4">
        <w:rPr>
          <w:u w:val="single"/>
        </w:rPr>
        <w:t>behaviour support</w:t>
      </w:r>
      <w:r w:rsidRPr="000C6C0F">
        <w:t xml:space="preserve"> for a person, to enable them to live later life well.  </w:t>
      </w:r>
    </w:p>
    <w:p w14:paraId="5D338B28" w14:textId="77777777" w:rsidR="00F14FE3" w:rsidRDefault="00F14FE3" w:rsidP="00F14FE3">
      <w:pPr>
        <w:pStyle w:val="Text1Numbered"/>
        <w:numPr>
          <w:ilvl w:val="0"/>
          <w:numId w:val="0"/>
        </w:numPr>
      </w:pPr>
    </w:p>
    <w:p w14:paraId="426DDF9A" w14:textId="6C985F3D" w:rsidR="00CB339C" w:rsidRPr="00CB339C" w:rsidRDefault="00CB339C" w:rsidP="00F14FE3">
      <w:pPr>
        <w:pStyle w:val="Text1Numbered"/>
      </w:pPr>
      <w:r>
        <w:t xml:space="preserve">This policy and guidance, </w:t>
      </w:r>
      <w:r w:rsidR="00A96980">
        <w:t xml:space="preserve">has </w:t>
      </w:r>
      <w:r>
        <w:t xml:space="preserve">a focus on finding causes and solutions, reducing and preventing distress behaviour and aims to increase colleagues’ skills and confidence when supporting individuals who need </w:t>
      </w:r>
      <w:r w:rsidR="00F14FE3">
        <w:t>support,</w:t>
      </w:r>
      <w:r>
        <w:t xml:space="preserve"> helping them to respond in an appropriate, </w:t>
      </w:r>
      <w:r w:rsidR="00887ED4">
        <w:t>safe,</w:t>
      </w:r>
      <w:r>
        <w:t xml:space="preserve"> and consistent manner ensuring effective and caring support in difficult situations.  </w:t>
      </w:r>
    </w:p>
    <w:p w14:paraId="477F6962" w14:textId="373CFE1D" w:rsidR="00B148E6" w:rsidRDefault="009A0ED4" w:rsidP="00F91DD0">
      <w:pPr>
        <w:pStyle w:val="Heading1Numbered"/>
      </w:pPr>
      <w:bookmarkStart w:id="7" w:name="_Toc177130268"/>
      <w:r w:rsidRPr="00EF3699">
        <w:t xml:space="preserve">Scope </w:t>
      </w:r>
      <w:r w:rsidR="001310BB" w:rsidRPr="00EF3699">
        <w:t>and</w:t>
      </w:r>
      <w:r w:rsidRPr="00EF3699">
        <w:t xml:space="preserve"> </w:t>
      </w:r>
      <w:r w:rsidRPr="00D558F5">
        <w:t>Purpose</w:t>
      </w:r>
      <w:bookmarkEnd w:id="7"/>
    </w:p>
    <w:p w14:paraId="7F9A5B50" w14:textId="5B898023" w:rsidR="00CB339C" w:rsidRDefault="00CB339C" w:rsidP="00F14FE3">
      <w:pPr>
        <w:pStyle w:val="Text1Numbered"/>
      </w:pPr>
      <w:r w:rsidRPr="000C6C0F">
        <w:t xml:space="preserve">MHA recognises and promotes that all the individuals we support have the right to full protection of the law and to be supported, through all practicable means, to exercise their human rights, achieve positive outcomes and live meaningful lives.  At all times and in all circumstances the people we support will be treated with respect, care, </w:t>
      </w:r>
      <w:r w:rsidR="00F14FE3" w:rsidRPr="000C6C0F">
        <w:t>dignity,</w:t>
      </w:r>
      <w:r w:rsidRPr="000C6C0F">
        <w:t xml:space="preserve"> and protection from all forms of abuse or harm.  </w:t>
      </w:r>
    </w:p>
    <w:p w14:paraId="599A2B3F" w14:textId="77777777" w:rsidR="00F14FE3" w:rsidRPr="000C6C0F" w:rsidRDefault="00F14FE3" w:rsidP="00F14FE3">
      <w:pPr>
        <w:pStyle w:val="Text1Numbered"/>
        <w:numPr>
          <w:ilvl w:val="0"/>
          <w:numId w:val="0"/>
        </w:numPr>
        <w:ind w:left="1135"/>
      </w:pPr>
    </w:p>
    <w:p w14:paraId="5FADF6FC" w14:textId="77777777" w:rsidR="00CB339C" w:rsidRPr="000C6C0F" w:rsidRDefault="00CB339C" w:rsidP="00F14FE3">
      <w:pPr>
        <w:pStyle w:val="Text1Numbered"/>
      </w:pPr>
      <w:r w:rsidRPr="000C6C0F">
        <w:t>If individuals distress behaviour poses a serious risk of harm to the individual or others the person’s rights still need to be supported. If any restrictive interventions are used these need to be:</w:t>
      </w:r>
    </w:p>
    <w:p w14:paraId="2FE9032E" w14:textId="77777777" w:rsidR="00CB339C" w:rsidRPr="000C6C0F" w:rsidRDefault="00CB339C" w:rsidP="00F14FE3">
      <w:pPr>
        <w:pStyle w:val="Textlistindented-bullet"/>
      </w:pPr>
      <w:r w:rsidRPr="000C6C0F">
        <w:t xml:space="preserve">legally and ethically justified, </w:t>
      </w:r>
    </w:p>
    <w:p w14:paraId="192BC931" w14:textId="77777777" w:rsidR="00CB339C" w:rsidRPr="000C6C0F" w:rsidRDefault="00CB339C" w:rsidP="00F14FE3">
      <w:pPr>
        <w:pStyle w:val="Textlistindented-bullet"/>
      </w:pPr>
      <w:r w:rsidRPr="000C6C0F">
        <w:t xml:space="preserve">absolutely necessary to prevent serious harm, and </w:t>
      </w:r>
    </w:p>
    <w:p w14:paraId="7B89559D" w14:textId="6398542B" w:rsidR="002939AF" w:rsidRDefault="00CB339C" w:rsidP="00F14FE3">
      <w:pPr>
        <w:pStyle w:val="Textlistindented-bullet"/>
      </w:pPr>
      <w:r w:rsidRPr="000C6C0F">
        <w:t xml:space="preserve">be the least restrictive option.  </w:t>
      </w:r>
    </w:p>
    <w:p w14:paraId="7BDAE702" w14:textId="77777777" w:rsidR="009C240F" w:rsidRDefault="009C240F" w:rsidP="00F14FE3">
      <w:pPr>
        <w:pStyle w:val="ListParagraph"/>
      </w:pPr>
      <w:r>
        <w:t xml:space="preserve">Please refer to </w:t>
      </w:r>
      <w:r w:rsidRPr="00F14FE3">
        <w:rPr>
          <w:u w:val="single"/>
        </w:rPr>
        <w:t>Reducing Restrictive Interventions policy</w:t>
      </w:r>
      <w:r>
        <w:t xml:space="preserve">. </w:t>
      </w:r>
    </w:p>
    <w:p w14:paraId="5E2F0024" w14:textId="77777777" w:rsidR="00F14FE3" w:rsidRDefault="002939AF" w:rsidP="00F14FE3">
      <w:pPr>
        <w:pStyle w:val="Text1Numbered"/>
      </w:pPr>
      <w:r>
        <w:t>The principles of the Mental capacity Act 2005 (England and Wales) and the Adults with Incapacity (Scotland) Act 2000 will be adhered to with regard to all decisions and interventions made on behalf of a person who may lack capacity.</w:t>
      </w:r>
    </w:p>
    <w:p w14:paraId="3086C315" w14:textId="40642D6A" w:rsidR="002939AF" w:rsidRPr="000C6C0F" w:rsidRDefault="002939AF" w:rsidP="00F14FE3">
      <w:pPr>
        <w:pStyle w:val="Text1Numbered"/>
        <w:numPr>
          <w:ilvl w:val="0"/>
          <w:numId w:val="0"/>
        </w:numPr>
        <w:ind w:left="1135"/>
      </w:pPr>
      <w:r>
        <w:t xml:space="preserve"> </w:t>
      </w:r>
    </w:p>
    <w:p w14:paraId="2EBA25E2" w14:textId="6FEF34D5" w:rsidR="00CB339C" w:rsidRDefault="00CB339C" w:rsidP="00F14FE3">
      <w:pPr>
        <w:pStyle w:val="Text1Numbered"/>
      </w:pPr>
      <w:r w:rsidRPr="000C6C0F">
        <w:t xml:space="preserve">This policy document should be read alongside relevant and associated MHA policies including Safeguarding, Mental Capacity, Equality and </w:t>
      </w:r>
      <w:r w:rsidRPr="00CB339C">
        <w:t>Diversity and</w:t>
      </w:r>
      <w:r w:rsidRPr="000C6C0F">
        <w:t xml:space="preserve"> included within any colleague induction and training programme.</w:t>
      </w:r>
    </w:p>
    <w:p w14:paraId="65275E56" w14:textId="77777777" w:rsidR="00F14FE3" w:rsidRDefault="00F14FE3" w:rsidP="00F14FE3">
      <w:pPr>
        <w:pStyle w:val="Text1Numbered"/>
        <w:numPr>
          <w:ilvl w:val="0"/>
          <w:numId w:val="0"/>
        </w:numPr>
      </w:pPr>
    </w:p>
    <w:p w14:paraId="10CC5AF8" w14:textId="1A5401BF" w:rsidR="00B77AE5" w:rsidRPr="00CB339C" w:rsidRDefault="002939AF" w:rsidP="00F14FE3">
      <w:pPr>
        <w:pStyle w:val="Text1Numbered"/>
      </w:pPr>
      <w:r w:rsidRPr="000C6C0F">
        <w:t xml:space="preserve">This policy applies to all MHA colleagues, including volunteers, working in an MHA care home, retirement living scheme or MHA community. </w:t>
      </w:r>
    </w:p>
    <w:p w14:paraId="633C1DE2" w14:textId="24F2BB70" w:rsidR="00A92CD7" w:rsidRPr="004C3545" w:rsidRDefault="009A0ED4" w:rsidP="002D47FD">
      <w:pPr>
        <w:pStyle w:val="Heading1Numbered"/>
      </w:pPr>
      <w:bookmarkStart w:id="8" w:name="_Toc177130269"/>
      <w:r w:rsidRPr="00EF3699">
        <w:t>Definitions</w:t>
      </w:r>
      <w:bookmarkEnd w:id="8"/>
      <w:r w:rsidRPr="00EF3699">
        <w:t xml:space="preserve"> </w:t>
      </w:r>
    </w:p>
    <w:tbl>
      <w:tblPr>
        <w:tblStyle w:val="MHATable"/>
        <w:tblW w:w="0" w:type="auto"/>
        <w:tblLook w:val="0620" w:firstRow="1" w:lastRow="0" w:firstColumn="0" w:lastColumn="0" w:noHBand="1" w:noVBand="1"/>
      </w:tblPr>
      <w:tblGrid>
        <w:gridCol w:w="1555"/>
        <w:gridCol w:w="7461"/>
      </w:tblGrid>
      <w:tr w:rsidR="009050C4" w:rsidRPr="009050C4" w14:paraId="662CC61D" w14:textId="77777777" w:rsidTr="00F14FE3">
        <w:trPr>
          <w:cnfStyle w:val="100000000000" w:firstRow="1" w:lastRow="0" w:firstColumn="0" w:lastColumn="0" w:oddVBand="0" w:evenVBand="0" w:oddHBand="0" w:evenHBand="0" w:firstRowFirstColumn="0" w:firstRowLastColumn="0" w:lastRowFirstColumn="0" w:lastRowLastColumn="0"/>
        </w:trPr>
        <w:tc>
          <w:tcPr>
            <w:tcW w:w="1555" w:type="dxa"/>
            <w:shd w:val="clear" w:color="auto" w:fill="217593"/>
          </w:tcPr>
          <w:p w14:paraId="14536283" w14:textId="77777777" w:rsidR="009A0ED4" w:rsidRPr="009050C4" w:rsidRDefault="009A0ED4" w:rsidP="002D47FD">
            <w:pPr>
              <w:rPr>
                <w:b w:val="0"/>
              </w:rPr>
            </w:pPr>
            <w:r w:rsidRPr="009050C4">
              <w:t>Term</w:t>
            </w:r>
          </w:p>
        </w:tc>
        <w:tc>
          <w:tcPr>
            <w:tcW w:w="7461" w:type="dxa"/>
            <w:shd w:val="clear" w:color="auto" w:fill="217593"/>
          </w:tcPr>
          <w:p w14:paraId="5DF6F548" w14:textId="77777777" w:rsidR="009A0ED4" w:rsidRPr="009050C4" w:rsidRDefault="009A0ED4" w:rsidP="002D47FD">
            <w:pPr>
              <w:rPr>
                <w:b w:val="0"/>
              </w:rPr>
            </w:pPr>
            <w:r w:rsidRPr="009050C4">
              <w:t>Definition</w:t>
            </w:r>
          </w:p>
        </w:tc>
      </w:tr>
      <w:tr w:rsidR="00CB339C" w:rsidRPr="004C3545" w14:paraId="59E32634" w14:textId="77777777" w:rsidTr="002D47FD">
        <w:tc>
          <w:tcPr>
            <w:tcW w:w="1555" w:type="dxa"/>
          </w:tcPr>
          <w:p w14:paraId="5EB92325" w14:textId="6972F410" w:rsidR="00CB339C" w:rsidRPr="00CB339C" w:rsidRDefault="00CB339C" w:rsidP="00CB339C">
            <w:pPr>
              <w:rPr>
                <w:b/>
                <w:bCs/>
              </w:rPr>
            </w:pPr>
            <w:r w:rsidRPr="00CB339C">
              <w:rPr>
                <w:b/>
                <w:bCs/>
              </w:rPr>
              <w:t>Behaviour Support</w:t>
            </w:r>
          </w:p>
        </w:tc>
        <w:tc>
          <w:tcPr>
            <w:tcW w:w="7461" w:type="dxa"/>
          </w:tcPr>
          <w:p w14:paraId="76B2D064" w14:textId="60F37116" w:rsidR="00CB339C" w:rsidRPr="000C6C0F" w:rsidRDefault="00CB339C" w:rsidP="00CB339C">
            <w:r w:rsidRPr="000C6C0F">
              <w:t>A person-centred framework of processes and strategies used to:</w:t>
            </w:r>
          </w:p>
          <w:p w14:paraId="44F182F1" w14:textId="77777777" w:rsidR="00CB339C" w:rsidRPr="000C6C0F" w:rsidRDefault="00CB339C" w:rsidP="00CB339C">
            <w:r w:rsidRPr="000C6C0F">
              <w:t xml:space="preserve">help preventing or reducing causes of distress, </w:t>
            </w:r>
          </w:p>
          <w:p w14:paraId="7F862FC2" w14:textId="00391FB6" w:rsidR="00CB339C" w:rsidRPr="004C3545" w:rsidRDefault="00CB339C" w:rsidP="00CB339C">
            <w:r w:rsidRPr="000C6C0F">
              <w:t xml:space="preserve">proactively respond to and support a person expressing a need through their behaviour. </w:t>
            </w:r>
          </w:p>
        </w:tc>
      </w:tr>
      <w:tr w:rsidR="00CB339C" w:rsidRPr="004C3545" w14:paraId="3719ED5A" w14:textId="77777777" w:rsidTr="002D47FD">
        <w:tc>
          <w:tcPr>
            <w:tcW w:w="1555" w:type="dxa"/>
          </w:tcPr>
          <w:p w14:paraId="7A3D7520" w14:textId="08B57F15" w:rsidR="00CB339C" w:rsidRPr="00CB339C" w:rsidRDefault="00CB339C" w:rsidP="00CB339C">
            <w:pPr>
              <w:rPr>
                <w:b/>
                <w:bCs/>
              </w:rPr>
            </w:pPr>
            <w:r w:rsidRPr="00CB339C">
              <w:rPr>
                <w:b/>
                <w:bCs/>
              </w:rPr>
              <w:t xml:space="preserve">5 step process </w:t>
            </w:r>
          </w:p>
        </w:tc>
        <w:tc>
          <w:tcPr>
            <w:tcW w:w="7461" w:type="dxa"/>
          </w:tcPr>
          <w:p w14:paraId="22C33D78" w14:textId="010077C7" w:rsidR="00CB339C" w:rsidRPr="004C3545" w:rsidRDefault="00CB339C" w:rsidP="00CB339C">
            <w:r w:rsidRPr="000C6C0F">
              <w:t xml:space="preserve">5-steps (identify, assess, </w:t>
            </w:r>
            <w:r w:rsidR="00A96980">
              <w:t xml:space="preserve">analyse, </w:t>
            </w:r>
            <w:r w:rsidR="00F14FE3">
              <w:t>plan,</w:t>
            </w:r>
            <w:r w:rsidRPr="000C6C0F">
              <w:t xml:space="preserve"> and review) which helps implement behaviour support. </w:t>
            </w:r>
          </w:p>
        </w:tc>
      </w:tr>
      <w:tr w:rsidR="00CB339C" w:rsidRPr="004C3545" w14:paraId="65685431" w14:textId="77777777" w:rsidTr="002D47FD">
        <w:tc>
          <w:tcPr>
            <w:tcW w:w="1555" w:type="dxa"/>
          </w:tcPr>
          <w:p w14:paraId="05141EF0" w14:textId="77777777" w:rsidR="00CB339C" w:rsidRPr="00CB339C" w:rsidRDefault="00CB339C" w:rsidP="00CB339C">
            <w:pPr>
              <w:rPr>
                <w:b/>
                <w:bCs/>
              </w:rPr>
            </w:pPr>
            <w:r w:rsidRPr="00CB339C">
              <w:rPr>
                <w:b/>
                <w:bCs/>
              </w:rPr>
              <w:t>Distress Behaviour</w:t>
            </w:r>
          </w:p>
          <w:p w14:paraId="2598138A" w14:textId="77777777" w:rsidR="00CB339C" w:rsidRPr="00CB339C" w:rsidRDefault="00CB339C" w:rsidP="00CB339C">
            <w:pPr>
              <w:rPr>
                <w:b/>
                <w:bCs/>
              </w:rPr>
            </w:pPr>
          </w:p>
        </w:tc>
        <w:tc>
          <w:tcPr>
            <w:tcW w:w="7461" w:type="dxa"/>
          </w:tcPr>
          <w:p w14:paraId="56325EB6" w14:textId="133E5895" w:rsidR="00CB339C" w:rsidRPr="000C6C0F" w:rsidRDefault="00CB339C" w:rsidP="00CB339C">
            <w:r w:rsidRPr="000C6C0F">
              <w:t xml:space="preserve">Any behaviour which is not the person’s usual behaviour, is a sign of distress </w:t>
            </w:r>
            <w:r w:rsidR="00A96980">
              <w:t xml:space="preserve">and / </w:t>
            </w:r>
            <w:r w:rsidRPr="000C6C0F">
              <w:t xml:space="preserve">or causes distress for the person or others. Distress arises from needs not being met such as hunger, pain, anxiety, </w:t>
            </w:r>
            <w:proofErr w:type="gramStart"/>
            <w:r w:rsidRPr="000C6C0F">
              <w:t>loss</w:t>
            </w:r>
            <w:proofErr w:type="gramEnd"/>
            <w:r w:rsidRPr="000C6C0F">
              <w:t xml:space="preserve"> or boredom.  </w:t>
            </w:r>
          </w:p>
        </w:tc>
      </w:tr>
      <w:tr w:rsidR="00CB339C" w:rsidRPr="004C3545" w14:paraId="6B995473" w14:textId="77777777" w:rsidTr="002D47FD">
        <w:tc>
          <w:tcPr>
            <w:tcW w:w="1555" w:type="dxa"/>
          </w:tcPr>
          <w:p w14:paraId="275C3119" w14:textId="63BD52AE" w:rsidR="00CB339C" w:rsidRPr="00CB339C" w:rsidRDefault="00CB339C" w:rsidP="00CB339C">
            <w:pPr>
              <w:rPr>
                <w:b/>
                <w:bCs/>
              </w:rPr>
            </w:pPr>
            <w:r w:rsidRPr="00CB339C">
              <w:rPr>
                <w:b/>
                <w:bCs/>
              </w:rPr>
              <w:t>Usual behaviour</w:t>
            </w:r>
          </w:p>
        </w:tc>
        <w:tc>
          <w:tcPr>
            <w:tcW w:w="7461" w:type="dxa"/>
          </w:tcPr>
          <w:p w14:paraId="16D45A4F" w14:textId="7119CECD" w:rsidR="00CB339C" w:rsidRPr="000C6C0F" w:rsidRDefault="00CB339C" w:rsidP="00CB339C">
            <w:r w:rsidRPr="000C6C0F">
              <w:t xml:space="preserve">This refers to behaviour that is usual for that person, not society or cultural norms. </w:t>
            </w:r>
          </w:p>
        </w:tc>
      </w:tr>
      <w:tr w:rsidR="00CB339C" w:rsidRPr="004C3545" w14:paraId="565B2F38" w14:textId="77777777" w:rsidTr="002D47FD">
        <w:tc>
          <w:tcPr>
            <w:tcW w:w="1555" w:type="dxa"/>
          </w:tcPr>
          <w:p w14:paraId="33E92701" w14:textId="43C27967" w:rsidR="00CB339C" w:rsidRPr="00CB339C" w:rsidRDefault="00CB339C" w:rsidP="00CB339C">
            <w:pPr>
              <w:rPr>
                <w:b/>
                <w:bCs/>
              </w:rPr>
            </w:pPr>
            <w:r w:rsidRPr="00CB339C">
              <w:rPr>
                <w:b/>
                <w:bCs/>
              </w:rPr>
              <w:t>About Me and one page profile</w:t>
            </w:r>
          </w:p>
        </w:tc>
        <w:tc>
          <w:tcPr>
            <w:tcW w:w="7461" w:type="dxa"/>
          </w:tcPr>
          <w:p w14:paraId="128A152E" w14:textId="16B82DED" w:rsidR="00CB339C" w:rsidRPr="000C6C0F" w:rsidRDefault="00CB339C" w:rsidP="00CB339C">
            <w:r w:rsidRPr="000C6C0F">
              <w:t xml:space="preserve">MHA documents that highlight a person’s likes, dislikes, past </w:t>
            </w:r>
            <w:proofErr w:type="gramStart"/>
            <w:r w:rsidRPr="000C6C0F">
              <w:t>experiences</w:t>
            </w:r>
            <w:proofErr w:type="gramEnd"/>
            <w:r w:rsidRPr="000C6C0F">
              <w:t xml:space="preserve"> and routines. All key information in enabling positive behaviour support to occur. </w:t>
            </w:r>
          </w:p>
        </w:tc>
      </w:tr>
      <w:tr w:rsidR="00CB339C" w:rsidRPr="004C3545" w14:paraId="54C3AE91" w14:textId="77777777" w:rsidTr="002D47FD">
        <w:tc>
          <w:tcPr>
            <w:tcW w:w="1555" w:type="dxa"/>
          </w:tcPr>
          <w:p w14:paraId="0494D236" w14:textId="77777777" w:rsidR="00CB339C" w:rsidRPr="00CB339C" w:rsidRDefault="00CB339C" w:rsidP="00CB339C">
            <w:pPr>
              <w:rPr>
                <w:b/>
                <w:bCs/>
              </w:rPr>
            </w:pPr>
            <w:r w:rsidRPr="00CB339C">
              <w:rPr>
                <w:b/>
                <w:bCs/>
              </w:rPr>
              <w:t>ABC chart</w:t>
            </w:r>
          </w:p>
          <w:p w14:paraId="1047EC02" w14:textId="77777777" w:rsidR="00CB339C" w:rsidRPr="00CB339C" w:rsidRDefault="00CB339C" w:rsidP="00CB339C">
            <w:pPr>
              <w:rPr>
                <w:b/>
                <w:bCs/>
              </w:rPr>
            </w:pPr>
          </w:p>
        </w:tc>
        <w:tc>
          <w:tcPr>
            <w:tcW w:w="7461" w:type="dxa"/>
          </w:tcPr>
          <w:p w14:paraId="3235CB44" w14:textId="46843EDB" w:rsidR="003B0196" w:rsidRPr="003B0196" w:rsidRDefault="00CB339C" w:rsidP="00CB339C">
            <w:pPr>
              <w:rPr>
                <w:rFonts w:eastAsia="Calibri"/>
              </w:rPr>
            </w:pPr>
            <w:r w:rsidRPr="000C6C0F">
              <w:rPr>
                <w:rFonts w:eastAsia="Calibri"/>
              </w:rPr>
              <w:t>An</w:t>
            </w:r>
            <w:r w:rsidRPr="000C6C0F">
              <w:rPr>
                <w:rFonts w:eastAsia="Calibri"/>
                <w:spacing w:val="-2"/>
              </w:rPr>
              <w:t xml:space="preserve"> </w:t>
            </w:r>
            <w:r w:rsidRPr="000C6C0F">
              <w:rPr>
                <w:rFonts w:eastAsia="Calibri"/>
                <w:spacing w:val="1"/>
              </w:rPr>
              <w:t>o</w:t>
            </w:r>
            <w:r w:rsidRPr="000C6C0F">
              <w:rPr>
                <w:rFonts w:eastAsia="Calibri"/>
                <w:spacing w:val="-1"/>
              </w:rPr>
              <w:t>b</w:t>
            </w:r>
            <w:r w:rsidRPr="000C6C0F">
              <w:rPr>
                <w:rFonts w:eastAsia="Calibri"/>
              </w:rPr>
              <w:t>se</w:t>
            </w:r>
            <w:r w:rsidRPr="000C6C0F">
              <w:rPr>
                <w:rFonts w:eastAsia="Calibri"/>
                <w:spacing w:val="-2"/>
              </w:rPr>
              <w:t>r</w:t>
            </w:r>
            <w:r w:rsidRPr="000C6C0F">
              <w:rPr>
                <w:rFonts w:eastAsia="Calibri"/>
                <w:spacing w:val="1"/>
              </w:rPr>
              <w:t>v</w:t>
            </w:r>
            <w:r w:rsidRPr="000C6C0F">
              <w:rPr>
                <w:rFonts w:eastAsia="Calibri"/>
                <w:spacing w:val="-3"/>
              </w:rPr>
              <w:t>a</w:t>
            </w:r>
            <w:r w:rsidRPr="000C6C0F">
              <w:rPr>
                <w:rFonts w:eastAsia="Calibri"/>
              </w:rPr>
              <w:t>ti</w:t>
            </w:r>
            <w:r w:rsidRPr="000C6C0F">
              <w:rPr>
                <w:rFonts w:eastAsia="Calibri"/>
                <w:spacing w:val="1"/>
              </w:rPr>
              <w:t>o</w:t>
            </w:r>
            <w:r w:rsidRPr="000C6C0F">
              <w:rPr>
                <w:rFonts w:eastAsia="Calibri"/>
                <w:spacing w:val="-1"/>
              </w:rPr>
              <w:t>n</w:t>
            </w:r>
            <w:r w:rsidRPr="000C6C0F">
              <w:rPr>
                <w:rFonts w:eastAsia="Calibri"/>
              </w:rPr>
              <w:t xml:space="preserve">al </w:t>
            </w:r>
            <w:r w:rsidRPr="000C6C0F">
              <w:rPr>
                <w:rFonts w:eastAsia="Calibri"/>
                <w:spacing w:val="-2"/>
              </w:rPr>
              <w:t>t</w:t>
            </w:r>
            <w:r w:rsidRPr="000C6C0F">
              <w:rPr>
                <w:rFonts w:eastAsia="Calibri"/>
                <w:spacing w:val="-1"/>
              </w:rPr>
              <w:t>o</w:t>
            </w:r>
            <w:r w:rsidRPr="000C6C0F">
              <w:rPr>
                <w:rFonts w:eastAsia="Calibri"/>
                <w:spacing w:val="1"/>
              </w:rPr>
              <w:t>o</w:t>
            </w:r>
            <w:r w:rsidRPr="000C6C0F">
              <w:rPr>
                <w:rFonts w:eastAsia="Calibri"/>
              </w:rPr>
              <w:t>l that</w:t>
            </w:r>
            <w:r w:rsidRPr="000C6C0F">
              <w:rPr>
                <w:rFonts w:eastAsia="Calibri"/>
                <w:spacing w:val="-2"/>
              </w:rPr>
              <w:t xml:space="preserve"> </w:t>
            </w:r>
            <w:r w:rsidRPr="000C6C0F">
              <w:rPr>
                <w:rFonts w:eastAsia="Calibri"/>
              </w:rPr>
              <w:t>all</w:t>
            </w:r>
            <w:r w:rsidRPr="000C6C0F">
              <w:rPr>
                <w:rFonts w:eastAsia="Calibri"/>
                <w:spacing w:val="-1"/>
              </w:rPr>
              <w:t>o</w:t>
            </w:r>
            <w:r w:rsidRPr="000C6C0F">
              <w:rPr>
                <w:rFonts w:eastAsia="Calibri"/>
              </w:rPr>
              <w:t>ws</w:t>
            </w:r>
            <w:r w:rsidRPr="000C6C0F">
              <w:rPr>
                <w:rFonts w:eastAsia="Calibri"/>
                <w:spacing w:val="1"/>
              </w:rPr>
              <w:t xml:space="preserve"> </w:t>
            </w:r>
            <w:r w:rsidRPr="000C6C0F">
              <w:rPr>
                <w:rFonts w:eastAsia="Calibri"/>
              </w:rPr>
              <w:t>in</w:t>
            </w:r>
            <w:r w:rsidRPr="000C6C0F">
              <w:rPr>
                <w:rFonts w:eastAsia="Calibri"/>
                <w:spacing w:val="-1"/>
              </w:rPr>
              <w:t>f</w:t>
            </w:r>
            <w:r w:rsidRPr="000C6C0F">
              <w:rPr>
                <w:rFonts w:eastAsia="Calibri"/>
                <w:spacing w:val="1"/>
              </w:rPr>
              <w:t>o</w:t>
            </w:r>
            <w:r w:rsidRPr="000C6C0F">
              <w:rPr>
                <w:rFonts w:eastAsia="Calibri"/>
                <w:spacing w:val="-3"/>
              </w:rPr>
              <w:t>r</w:t>
            </w:r>
            <w:r w:rsidRPr="000C6C0F">
              <w:rPr>
                <w:rFonts w:eastAsia="Calibri"/>
                <w:spacing w:val="1"/>
              </w:rPr>
              <w:t>m</w:t>
            </w:r>
            <w:r w:rsidRPr="000C6C0F">
              <w:rPr>
                <w:rFonts w:eastAsia="Calibri"/>
              </w:rPr>
              <w:t>at</w:t>
            </w:r>
            <w:r w:rsidRPr="000C6C0F">
              <w:rPr>
                <w:rFonts w:eastAsia="Calibri"/>
                <w:spacing w:val="-2"/>
              </w:rPr>
              <w:t>i</w:t>
            </w:r>
            <w:r w:rsidRPr="000C6C0F">
              <w:rPr>
                <w:rFonts w:eastAsia="Calibri"/>
                <w:spacing w:val="1"/>
              </w:rPr>
              <w:t>o</w:t>
            </w:r>
            <w:r w:rsidRPr="000C6C0F">
              <w:rPr>
                <w:rFonts w:eastAsia="Calibri"/>
              </w:rPr>
              <w:t>n</w:t>
            </w:r>
            <w:r w:rsidRPr="000C6C0F">
              <w:rPr>
                <w:rFonts w:eastAsia="Calibri"/>
                <w:spacing w:val="-1"/>
              </w:rPr>
              <w:t xml:space="preserve"> </w:t>
            </w:r>
            <w:r w:rsidRPr="000C6C0F">
              <w:rPr>
                <w:rFonts w:eastAsia="Calibri"/>
              </w:rPr>
              <w:t>a</w:t>
            </w:r>
            <w:r w:rsidRPr="000C6C0F">
              <w:rPr>
                <w:rFonts w:eastAsia="Calibri"/>
                <w:spacing w:val="-3"/>
              </w:rPr>
              <w:t>b</w:t>
            </w:r>
            <w:r w:rsidRPr="000C6C0F">
              <w:rPr>
                <w:rFonts w:eastAsia="Calibri"/>
                <w:spacing w:val="1"/>
              </w:rPr>
              <w:t>o</w:t>
            </w:r>
            <w:r w:rsidRPr="000C6C0F">
              <w:rPr>
                <w:rFonts w:eastAsia="Calibri"/>
                <w:spacing w:val="-1"/>
              </w:rPr>
              <w:t>u</w:t>
            </w:r>
            <w:r w:rsidRPr="000C6C0F">
              <w:rPr>
                <w:rFonts w:eastAsia="Calibri"/>
              </w:rPr>
              <w:t>t</w:t>
            </w:r>
            <w:r w:rsidRPr="000C6C0F">
              <w:rPr>
                <w:rFonts w:eastAsia="Calibri"/>
                <w:spacing w:val="-1"/>
              </w:rPr>
              <w:t xml:space="preserve"> </w:t>
            </w:r>
            <w:r w:rsidRPr="000C6C0F">
              <w:rPr>
                <w:rFonts w:eastAsia="Calibri"/>
              </w:rPr>
              <w:t>a pa</w:t>
            </w:r>
            <w:r w:rsidRPr="000C6C0F">
              <w:rPr>
                <w:rFonts w:eastAsia="Calibri"/>
                <w:spacing w:val="-1"/>
              </w:rPr>
              <w:t>r</w:t>
            </w:r>
            <w:r w:rsidRPr="000C6C0F">
              <w:rPr>
                <w:rFonts w:eastAsia="Calibri"/>
              </w:rPr>
              <w:t>ticu</w:t>
            </w:r>
            <w:r w:rsidRPr="000C6C0F">
              <w:rPr>
                <w:rFonts w:eastAsia="Calibri"/>
                <w:spacing w:val="-1"/>
              </w:rPr>
              <w:t>l</w:t>
            </w:r>
            <w:r w:rsidRPr="000C6C0F">
              <w:rPr>
                <w:rFonts w:eastAsia="Calibri"/>
              </w:rPr>
              <w:t xml:space="preserve">ar </w:t>
            </w:r>
            <w:r w:rsidRPr="000C6C0F">
              <w:rPr>
                <w:rFonts w:eastAsia="Calibri"/>
                <w:spacing w:val="-1"/>
              </w:rPr>
              <w:t>b</w:t>
            </w:r>
            <w:r w:rsidRPr="000C6C0F">
              <w:rPr>
                <w:rFonts w:eastAsia="Calibri"/>
              </w:rPr>
              <w:t>ehavi</w:t>
            </w:r>
            <w:r w:rsidRPr="000C6C0F">
              <w:rPr>
                <w:rFonts w:eastAsia="Calibri"/>
                <w:spacing w:val="1"/>
              </w:rPr>
              <w:t>o</w:t>
            </w:r>
            <w:r w:rsidRPr="000C6C0F">
              <w:rPr>
                <w:rFonts w:eastAsia="Calibri"/>
                <w:spacing w:val="-1"/>
              </w:rPr>
              <w:t>u</w:t>
            </w:r>
            <w:r w:rsidRPr="000C6C0F">
              <w:rPr>
                <w:rFonts w:eastAsia="Calibri"/>
              </w:rPr>
              <w:t>r to be recorded.</w:t>
            </w:r>
            <w:r w:rsidRPr="000C6C0F">
              <w:rPr>
                <w:rFonts w:eastAsia="Calibri"/>
                <w:spacing w:val="-2"/>
              </w:rPr>
              <w:t xml:space="preserve"> </w:t>
            </w:r>
            <w:r w:rsidRPr="000C6C0F">
              <w:rPr>
                <w:rFonts w:eastAsia="Calibri"/>
              </w:rPr>
              <w:t>The</w:t>
            </w:r>
            <w:r w:rsidRPr="000C6C0F">
              <w:rPr>
                <w:rFonts w:eastAsia="Calibri"/>
                <w:spacing w:val="1"/>
              </w:rPr>
              <w:t xml:space="preserve"> </w:t>
            </w:r>
            <w:r w:rsidRPr="000C6C0F">
              <w:rPr>
                <w:rFonts w:eastAsia="Calibri"/>
              </w:rPr>
              <w:t>a</w:t>
            </w:r>
            <w:r w:rsidRPr="000C6C0F">
              <w:rPr>
                <w:rFonts w:eastAsia="Calibri"/>
                <w:spacing w:val="-3"/>
              </w:rPr>
              <w:t>i</w:t>
            </w:r>
            <w:r w:rsidRPr="000C6C0F">
              <w:rPr>
                <w:rFonts w:eastAsia="Calibri"/>
              </w:rPr>
              <w:t>m</w:t>
            </w:r>
            <w:r w:rsidRPr="000C6C0F">
              <w:rPr>
                <w:rFonts w:eastAsia="Calibri"/>
                <w:spacing w:val="-1"/>
              </w:rPr>
              <w:t xml:space="preserve"> </w:t>
            </w:r>
            <w:r w:rsidRPr="000C6C0F">
              <w:rPr>
                <w:rFonts w:eastAsia="Calibri"/>
                <w:spacing w:val="1"/>
              </w:rPr>
              <w:t>o</w:t>
            </w:r>
            <w:r w:rsidRPr="000C6C0F">
              <w:rPr>
                <w:rFonts w:eastAsia="Calibri"/>
              </w:rPr>
              <w:t>f us</w:t>
            </w:r>
            <w:r w:rsidRPr="000C6C0F">
              <w:rPr>
                <w:rFonts w:eastAsia="Calibri"/>
                <w:spacing w:val="-1"/>
              </w:rPr>
              <w:t>i</w:t>
            </w:r>
            <w:r w:rsidRPr="000C6C0F">
              <w:rPr>
                <w:rFonts w:eastAsia="Calibri"/>
                <w:spacing w:val="-3"/>
              </w:rPr>
              <w:t>n</w:t>
            </w:r>
            <w:r w:rsidRPr="000C6C0F">
              <w:rPr>
                <w:rFonts w:eastAsia="Calibri"/>
              </w:rPr>
              <w:t>g</w:t>
            </w:r>
            <w:r w:rsidRPr="000C6C0F">
              <w:rPr>
                <w:rFonts w:eastAsia="Calibri"/>
                <w:spacing w:val="-1"/>
              </w:rPr>
              <w:t xml:space="preserve"> </w:t>
            </w:r>
            <w:r w:rsidRPr="000C6C0F">
              <w:rPr>
                <w:rFonts w:eastAsia="Calibri"/>
              </w:rPr>
              <w:t>an ABC c</w:t>
            </w:r>
            <w:r w:rsidRPr="000C6C0F">
              <w:rPr>
                <w:rFonts w:eastAsia="Calibri"/>
                <w:spacing w:val="-1"/>
              </w:rPr>
              <w:t>h</w:t>
            </w:r>
            <w:r w:rsidRPr="000C6C0F">
              <w:rPr>
                <w:rFonts w:eastAsia="Calibri"/>
              </w:rPr>
              <w:t>art</w:t>
            </w:r>
            <w:r w:rsidRPr="000C6C0F">
              <w:rPr>
                <w:rFonts w:eastAsia="Calibri"/>
                <w:spacing w:val="-2"/>
              </w:rPr>
              <w:t xml:space="preserve"> </w:t>
            </w:r>
            <w:r w:rsidRPr="000C6C0F">
              <w:rPr>
                <w:rFonts w:eastAsia="Calibri"/>
              </w:rPr>
              <w:t>is</w:t>
            </w:r>
            <w:r w:rsidRPr="000C6C0F">
              <w:rPr>
                <w:rFonts w:eastAsia="Calibri"/>
                <w:spacing w:val="1"/>
              </w:rPr>
              <w:t xml:space="preserve"> </w:t>
            </w:r>
            <w:r w:rsidRPr="000C6C0F">
              <w:rPr>
                <w:rFonts w:eastAsia="Calibri"/>
                <w:spacing w:val="-2"/>
              </w:rPr>
              <w:t>t</w:t>
            </w:r>
            <w:r w:rsidRPr="000C6C0F">
              <w:rPr>
                <w:rFonts w:eastAsia="Calibri"/>
              </w:rPr>
              <w:t>o</w:t>
            </w:r>
            <w:r w:rsidRPr="000C6C0F">
              <w:rPr>
                <w:rFonts w:eastAsia="Calibri"/>
                <w:spacing w:val="1"/>
              </w:rPr>
              <w:t xml:space="preserve"> </w:t>
            </w:r>
            <w:r w:rsidRPr="000C6C0F">
              <w:rPr>
                <w:rFonts w:eastAsia="Calibri"/>
              </w:rPr>
              <w:t>b</w:t>
            </w:r>
            <w:r w:rsidRPr="000C6C0F">
              <w:rPr>
                <w:rFonts w:eastAsia="Calibri"/>
                <w:spacing w:val="-2"/>
              </w:rPr>
              <w:t>e</w:t>
            </w:r>
            <w:r w:rsidRPr="000C6C0F">
              <w:rPr>
                <w:rFonts w:eastAsia="Calibri"/>
              </w:rPr>
              <w:t>t</w:t>
            </w:r>
            <w:r w:rsidRPr="000C6C0F">
              <w:rPr>
                <w:rFonts w:eastAsia="Calibri"/>
                <w:spacing w:val="1"/>
              </w:rPr>
              <w:t>t</w:t>
            </w:r>
            <w:r w:rsidRPr="000C6C0F">
              <w:rPr>
                <w:rFonts w:eastAsia="Calibri"/>
              </w:rPr>
              <w:t>er</w:t>
            </w:r>
            <w:r w:rsidRPr="000C6C0F">
              <w:rPr>
                <w:rFonts w:eastAsia="Calibri"/>
                <w:spacing w:val="-4"/>
              </w:rPr>
              <w:t xml:space="preserve"> </w:t>
            </w:r>
            <w:r w:rsidRPr="000C6C0F">
              <w:rPr>
                <w:rFonts w:eastAsia="Calibri"/>
                <w:spacing w:val="-1"/>
              </w:rPr>
              <w:t>und</w:t>
            </w:r>
            <w:r w:rsidRPr="000C6C0F">
              <w:rPr>
                <w:rFonts w:eastAsia="Calibri"/>
              </w:rPr>
              <w:t>ers</w:t>
            </w:r>
            <w:r w:rsidRPr="000C6C0F">
              <w:rPr>
                <w:rFonts w:eastAsia="Calibri"/>
                <w:spacing w:val="1"/>
              </w:rPr>
              <w:t>t</w:t>
            </w:r>
            <w:r w:rsidRPr="000C6C0F">
              <w:rPr>
                <w:rFonts w:eastAsia="Calibri"/>
              </w:rPr>
              <w:t>a</w:t>
            </w:r>
            <w:r w:rsidRPr="000C6C0F">
              <w:rPr>
                <w:rFonts w:eastAsia="Calibri"/>
                <w:spacing w:val="-1"/>
              </w:rPr>
              <w:t>n</w:t>
            </w:r>
            <w:r w:rsidRPr="000C6C0F">
              <w:rPr>
                <w:rFonts w:eastAsia="Calibri"/>
              </w:rPr>
              <w:t>d</w:t>
            </w:r>
            <w:r w:rsidRPr="000C6C0F">
              <w:rPr>
                <w:rFonts w:eastAsia="Calibri"/>
                <w:spacing w:val="-1"/>
              </w:rPr>
              <w:t xml:space="preserve"> </w:t>
            </w:r>
            <w:r w:rsidRPr="000C6C0F">
              <w:rPr>
                <w:rFonts w:eastAsia="Calibri"/>
                <w:spacing w:val="1"/>
              </w:rPr>
              <w:t>w</w:t>
            </w:r>
            <w:r w:rsidRPr="000C6C0F">
              <w:rPr>
                <w:rFonts w:eastAsia="Calibri"/>
                <w:spacing w:val="-1"/>
              </w:rPr>
              <w:t>h</w:t>
            </w:r>
            <w:r w:rsidRPr="000C6C0F">
              <w:rPr>
                <w:rFonts w:eastAsia="Calibri"/>
              </w:rPr>
              <w:t>at</w:t>
            </w:r>
            <w:r w:rsidRPr="000C6C0F">
              <w:rPr>
                <w:rFonts w:eastAsia="Calibri"/>
                <w:spacing w:val="-1"/>
              </w:rPr>
              <w:t xml:space="preserve"> </w:t>
            </w:r>
            <w:r w:rsidRPr="000C6C0F">
              <w:rPr>
                <w:rFonts w:eastAsia="Calibri"/>
              </w:rPr>
              <w:t>the beh</w:t>
            </w:r>
            <w:r w:rsidRPr="000C6C0F">
              <w:rPr>
                <w:rFonts w:eastAsia="Calibri"/>
                <w:spacing w:val="-3"/>
              </w:rPr>
              <w:t>a</w:t>
            </w:r>
            <w:r w:rsidRPr="000C6C0F">
              <w:rPr>
                <w:rFonts w:eastAsia="Calibri"/>
                <w:spacing w:val="1"/>
              </w:rPr>
              <w:t>v</w:t>
            </w:r>
            <w:r w:rsidRPr="000C6C0F">
              <w:rPr>
                <w:rFonts w:eastAsia="Calibri"/>
              </w:rPr>
              <w:t>i</w:t>
            </w:r>
            <w:r w:rsidRPr="000C6C0F">
              <w:rPr>
                <w:rFonts w:eastAsia="Calibri"/>
                <w:spacing w:val="1"/>
              </w:rPr>
              <w:t>o</w:t>
            </w:r>
            <w:r w:rsidRPr="000C6C0F">
              <w:rPr>
                <w:rFonts w:eastAsia="Calibri"/>
                <w:spacing w:val="-1"/>
              </w:rPr>
              <w:t>u</w:t>
            </w:r>
            <w:r w:rsidRPr="000C6C0F">
              <w:rPr>
                <w:rFonts w:eastAsia="Calibri"/>
              </w:rPr>
              <w:t>r is c</w:t>
            </w:r>
            <w:r w:rsidRPr="000C6C0F">
              <w:rPr>
                <w:rFonts w:eastAsia="Calibri"/>
                <w:spacing w:val="-1"/>
              </w:rPr>
              <w:t>o</w:t>
            </w:r>
            <w:r w:rsidRPr="000C6C0F">
              <w:rPr>
                <w:rFonts w:eastAsia="Calibri"/>
                <w:spacing w:val="1"/>
              </w:rPr>
              <w:t>mm</w:t>
            </w:r>
            <w:r w:rsidRPr="000C6C0F">
              <w:rPr>
                <w:rFonts w:eastAsia="Calibri"/>
                <w:spacing w:val="-1"/>
              </w:rPr>
              <w:t>un</w:t>
            </w:r>
            <w:r w:rsidRPr="000C6C0F">
              <w:rPr>
                <w:rFonts w:eastAsia="Calibri"/>
              </w:rPr>
              <w:t>ic</w:t>
            </w:r>
            <w:r w:rsidRPr="000C6C0F">
              <w:rPr>
                <w:rFonts w:eastAsia="Calibri"/>
                <w:spacing w:val="-3"/>
              </w:rPr>
              <w:t>a</w:t>
            </w:r>
            <w:r w:rsidRPr="000C6C0F">
              <w:rPr>
                <w:rFonts w:eastAsia="Calibri"/>
              </w:rPr>
              <w:t>ti</w:t>
            </w:r>
            <w:r w:rsidRPr="000C6C0F">
              <w:rPr>
                <w:rFonts w:eastAsia="Calibri"/>
                <w:spacing w:val="-1"/>
              </w:rPr>
              <w:t>ng</w:t>
            </w:r>
            <w:r w:rsidRPr="000C6C0F">
              <w:rPr>
                <w:rFonts w:eastAsia="Calibri"/>
              </w:rPr>
              <w:t xml:space="preserve">. </w:t>
            </w:r>
            <w:r w:rsidRPr="000C6C0F">
              <w:rPr>
                <w:rFonts w:eastAsia="Calibri"/>
                <w:b/>
                <w:bCs/>
              </w:rPr>
              <w:t xml:space="preserve">Please note: </w:t>
            </w:r>
            <w:r w:rsidRPr="000C6C0F">
              <w:rPr>
                <w:rFonts w:eastAsia="Calibri"/>
              </w:rPr>
              <w:t>If your home uses RADAR the ABC charts are now covered by the</w:t>
            </w:r>
            <w:r w:rsidR="00800F6D">
              <w:rPr>
                <w:rFonts w:eastAsia="Calibri"/>
              </w:rPr>
              <w:t xml:space="preserve"> </w:t>
            </w:r>
            <w:r w:rsidR="00800F6D" w:rsidRPr="000C6C0F">
              <w:t>‘Behavioural Incident (Service User)’ record</w:t>
            </w:r>
            <w:r w:rsidR="00800F6D">
              <w:t>.</w:t>
            </w:r>
          </w:p>
        </w:tc>
      </w:tr>
      <w:tr w:rsidR="00CB339C" w:rsidRPr="004C3545" w14:paraId="360C3202" w14:textId="77777777" w:rsidTr="002D47FD">
        <w:tc>
          <w:tcPr>
            <w:tcW w:w="1555" w:type="dxa"/>
          </w:tcPr>
          <w:p w14:paraId="375FC979" w14:textId="16634B2E" w:rsidR="00CB339C" w:rsidRPr="00CB339C" w:rsidRDefault="00CB339C" w:rsidP="00CB339C">
            <w:pPr>
              <w:rPr>
                <w:b/>
                <w:bCs/>
              </w:rPr>
            </w:pPr>
            <w:proofErr w:type="spellStart"/>
            <w:r w:rsidRPr="00CB339C">
              <w:rPr>
                <w:b/>
                <w:bCs/>
              </w:rPr>
              <w:t>DisDAT</w:t>
            </w:r>
            <w:proofErr w:type="spellEnd"/>
          </w:p>
        </w:tc>
        <w:tc>
          <w:tcPr>
            <w:tcW w:w="7461" w:type="dxa"/>
          </w:tcPr>
          <w:p w14:paraId="70C0F88D" w14:textId="7A47E498" w:rsidR="00CB339C" w:rsidRPr="000C6C0F" w:rsidRDefault="00CB339C" w:rsidP="00CB339C">
            <w:pPr>
              <w:rPr>
                <w:rFonts w:eastAsia="Calibri"/>
              </w:rPr>
            </w:pPr>
            <w:r w:rsidRPr="000C6C0F">
              <w:rPr>
                <w:rFonts w:eastAsia="Calibri"/>
              </w:rPr>
              <w:t xml:space="preserve">Disability Distress Assessment tool is used to help identify signs of distress in people who have limited communication. This can be a useful tool to use prior to the person coming into the home or scheme. </w:t>
            </w:r>
          </w:p>
        </w:tc>
      </w:tr>
      <w:tr w:rsidR="00CB339C" w:rsidRPr="004C3545" w14:paraId="40ADDC98" w14:textId="77777777" w:rsidTr="002D47FD">
        <w:tc>
          <w:tcPr>
            <w:tcW w:w="1555" w:type="dxa"/>
          </w:tcPr>
          <w:p w14:paraId="69B3F3E7" w14:textId="77777777" w:rsidR="00CB339C" w:rsidRPr="00CB339C" w:rsidRDefault="00CB339C" w:rsidP="00CB339C">
            <w:pPr>
              <w:rPr>
                <w:b/>
                <w:bCs/>
              </w:rPr>
            </w:pPr>
            <w:r w:rsidRPr="00CB339C">
              <w:rPr>
                <w:b/>
                <w:bCs/>
              </w:rPr>
              <w:t>Behaviour Support Plan</w:t>
            </w:r>
          </w:p>
          <w:p w14:paraId="022BC1DC" w14:textId="77777777" w:rsidR="00CB339C" w:rsidRPr="00CB339C" w:rsidRDefault="00CB339C" w:rsidP="00CB339C">
            <w:pPr>
              <w:rPr>
                <w:b/>
                <w:bCs/>
              </w:rPr>
            </w:pPr>
          </w:p>
        </w:tc>
        <w:tc>
          <w:tcPr>
            <w:tcW w:w="7461" w:type="dxa"/>
          </w:tcPr>
          <w:p w14:paraId="00F29EA9" w14:textId="2B40CB73" w:rsidR="003B0196" w:rsidRDefault="00CB339C" w:rsidP="00CB339C">
            <w:pPr>
              <w:rPr>
                <w:bCs/>
              </w:rPr>
            </w:pPr>
            <w:r w:rsidRPr="000C6C0F">
              <w:rPr>
                <w:bCs/>
              </w:rPr>
              <w:t>Includes information about how a person behave</w:t>
            </w:r>
            <w:r w:rsidR="00E81048">
              <w:rPr>
                <w:bCs/>
              </w:rPr>
              <w:t>s</w:t>
            </w:r>
            <w:r w:rsidRPr="000C6C0F">
              <w:rPr>
                <w:bCs/>
              </w:rPr>
              <w:t xml:space="preserve"> when they are content, their usual behaviour, strategies to help a person feel content and prevent distress, and how to respond if a person shows severe distress. It is based on a traffic light system –</w:t>
            </w:r>
          </w:p>
          <w:p w14:paraId="37A0C7C0" w14:textId="55B7C8F1" w:rsidR="00CB339C" w:rsidRPr="000C6C0F" w:rsidRDefault="00F14FE3" w:rsidP="00CB339C">
            <w:pPr>
              <w:rPr>
                <w:bCs/>
              </w:rPr>
            </w:pPr>
            <w:r w:rsidRPr="000C6C0F">
              <w:rPr>
                <w:bCs/>
                <w:color w:val="00B050"/>
              </w:rPr>
              <w:t>GREEN, AMBER</w:t>
            </w:r>
            <w:r w:rsidR="00CB339C" w:rsidRPr="000C6C0F">
              <w:rPr>
                <w:bCs/>
                <w:color w:val="FFC000"/>
              </w:rPr>
              <w:t xml:space="preserve"> </w:t>
            </w:r>
            <w:r w:rsidR="00CB339C" w:rsidRPr="000C6C0F">
              <w:rPr>
                <w:bCs/>
                <w:color w:val="FF0000"/>
              </w:rPr>
              <w:t>RED</w:t>
            </w:r>
            <w:r w:rsidR="00CB339C" w:rsidRPr="000C6C0F">
              <w:rPr>
                <w:bCs/>
              </w:rPr>
              <w:t xml:space="preserve"> </w:t>
            </w:r>
          </w:p>
          <w:p w14:paraId="63B8B969" w14:textId="2E1BDAA1" w:rsidR="00CB339C" w:rsidRPr="000C6C0F" w:rsidRDefault="00CB339C" w:rsidP="00CB339C">
            <w:pPr>
              <w:rPr>
                <w:rFonts w:eastAsia="Calibri"/>
              </w:rPr>
            </w:pPr>
            <w:r w:rsidRPr="000C6C0F">
              <w:rPr>
                <w:bCs/>
              </w:rPr>
              <w:t xml:space="preserve">This is because distress behaviour doesn’t usually come out of nowhere. There is usually a build up between when a person is not distressed (green), beginning to feel distressed (amber) to very distressed (red). </w:t>
            </w:r>
          </w:p>
        </w:tc>
      </w:tr>
    </w:tbl>
    <w:p w14:paraId="78B3577B" w14:textId="2756C018" w:rsidR="008D6213" w:rsidRDefault="008D6213" w:rsidP="00903AA2">
      <w:pPr>
        <w:rPr>
          <w:rFonts w:cs="Arial"/>
          <w:spacing w:val="7"/>
        </w:rPr>
      </w:pPr>
    </w:p>
    <w:p w14:paraId="559B0AB4" w14:textId="77777777" w:rsidR="00CB339C" w:rsidRPr="00CB339C" w:rsidRDefault="00CB339C" w:rsidP="00CB339C">
      <w:pPr>
        <w:pStyle w:val="Text"/>
        <w:spacing w:after="0"/>
        <w:rPr>
          <w:b/>
          <w:bCs/>
        </w:rPr>
      </w:pPr>
      <w:r w:rsidRPr="00CB339C">
        <w:rPr>
          <w:b/>
          <w:bCs/>
        </w:rPr>
        <w:t xml:space="preserve">Difference between a person’s ‘usual’ behaviour and distress behaviour. </w:t>
      </w:r>
    </w:p>
    <w:p w14:paraId="32F07852" w14:textId="2FE07E77" w:rsidR="00685E2F" w:rsidRDefault="00CB339C" w:rsidP="00CB339C">
      <w:pPr>
        <w:pStyle w:val="Text"/>
      </w:pPr>
      <w:r w:rsidRPr="000C6C0F">
        <w:t>What constitutes as distress behaviour compared to normal behaviour for a person will require a good understanding of each individual. Tools such as the</w:t>
      </w:r>
      <w:r w:rsidRPr="00F14FE3">
        <w:rPr>
          <w:u w:val="single"/>
        </w:rPr>
        <w:t xml:space="preserve"> </w:t>
      </w:r>
      <w:proofErr w:type="spellStart"/>
      <w:r w:rsidRPr="00F14FE3">
        <w:rPr>
          <w:u w:val="single"/>
        </w:rPr>
        <w:t>DisDAT</w:t>
      </w:r>
      <w:proofErr w:type="spellEnd"/>
      <w:r w:rsidR="00E81048">
        <w:t xml:space="preserve"> and the About Me document</w:t>
      </w:r>
      <w:r w:rsidRPr="000C6C0F">
        <w:t xml:space="preserve"> will assist with identifying if a person’s behaviour is a sign of distress. </w:t>
      </w:r>
    </w:p>
    <w:p w14:paraId="5C108CD2" w14:textId="77777777" w:rsidR="00E812FA" w:rsidRDefault="00E812FA" w:rsidP="00CB339C">
      <w:pPr>
        <w:pStyle w:val="Text"/>
      </w:pPr>
    </w:p>
    <w:p w14:paraId="67F350FA" w14:textId="77777777" w:rsidR="00E812FA" w:rsidRDefault="00E812FA" w:rsidP="00CB339C">
      <w:pPr>
        <w:pStyle w:val="Text"/>
      </w:pPr>
    </w:p>
    <w:p w14:paraId="1810031D" w14:textId="77777777" w:rsidR="00E812FA" w:rsidRDefault="00E812FA" w:rsidP="00CB339C">
      <w:pPr>
        <w:pStyle w:val="Text"/>
      </w:pPr>
    </w:p>
    <w:p w14:paraId="2B94C05C" w14:textId="77777777" w:rsidR="00E812FA" w:rsidRDefault="00E812FA" w:rsidP="00CB339C">
      <w:pPr>
        <w:pStyle w:val="Text"/>
      </w:pPr>
    </w:p>
    <w:p w14:paraId="5485A585" w14:textId="77777777" w:rsidR="00E812FA" w:rsidRPr="000C6C0F" w:rsidRDefault="00E812FA" w:rsidP="00CB339C">
      <w:pPr>
        <w:pStyle w:val="Text"/>
      </w:pPr>
    </w:p>
    <w:p w14:paraId="4614242C" w14:textId="51E6AE08" w:rsidR="00CB339C" w:rsidRDefault="00CB339C" w:rsidP="00CB339C">
      <w:pPr>
        <w:pStyle w:val="Heading1Numbered"/>
      </w:pPr>
      <w:bookmarkStart w:id="9" w:name="_Toc177130270"/>
      <w:r>
        <w:t>Signs of Distress</w:t>
      </w:r>
      <w:bookmarkEnd w:id="9"/>
      <w:r>
        <w:t xml:space="preserve"> </w:t>
      </w:r>
    </w:p>
    <w:p w14:paraId="1AEA557A" w14:textId="142C14E8" w:rsidR="00CB339C" w:rsidRPr="000C6C0F" w:rsidRDefault="00CB339C" w:rsidP="00F14FE3">
      <w:pPr>
        <w:pStyle w:val="Text1Numbered"/>
        <w:rPr>
          <w:lang w:val="en"/>
        </w:rPr>
      </w:pPr>
      <w:r w:rsidRPr="000C6C0F">
        <w:rPr>
          <w:lang w:val="en"/>
        </w:rPr>
        <w:t xml:space="preserve">If the signs of distress are known and </w:t>
      </w:r>
      <w:r w:rsidR="00685E2F" w:rsidRPr="000C6C0F">
        <w:rPr>
          <w:lang w:val="en"/>
        </w:rPr>
        <w:t>recogni</w:t>
      </w:r>
      <w:r w:rsidR="00685E2F">
        <w:rPr>
          <w:lang w:val="en"/>
        </w:rPr>
        <w:t>s</w:t>
      </w:r>
      <w:r w:rsidR="00685E2F" w:rsidRPr="000C6C0F">
        <w:rPr>
          <w:lang w:val="en"/>
        </w:rPr>
        <w:t>ed,</w:t>
      </w:r>
      <w:r w:rsidRPr="000C6C0F">
        <w:rPr>
          <w:lang w:val="en"/>
        </w:rPr>
        <w:t xml:space="preserve"> then it is easier to identify and reduce or remove the causes of distress.  </w:t>
      </w:r>
    </w:p>
    <w:tbl>
      <w:tblPr>
        <w:tblStyle w:val="TableGrid"/>
        <w:tblW w:w="9352" w:type="dxa"/>
        <w:tblLayout w:type="fixed"/>
        <w:tblLook w:val="04A0" w:firstRow="1" w:lastRow="0" w:firstColumn="1" w:lastColumn="0" w:noHBand="0" w:noVBand="1"/>
      </w:tblPr>
      <w:tblGrid>
        <w:gridCol w:w="1696"/>
        <w:gridCol w:w="7656"/>
      </w:tblGrid>
      <w:tr w:rsidR="00CB339C" w:rsidRPr="000C6C0F" w14:paraId="152A2F10" w14:textId="77777777" w:rsidTr="00F14FE3">
        <w:trPr>
          <w:trHeight w:val="464"/>
        </w:trPr>
        <w:tc>
          <w:tcPr>
            <w:tcW w:w="1696" w:type="dxa"/>
            <w:shd w:val="clear" w:color="auto" w:fill="217593"/>
          </w:tcPr>
          <w:p w14:paraId="3CA93442" w14:textId="77777777" w:rsidR="00CB339C" w:rsidRPr="000C6C0F" w:rsidRDefault="00CB339C" w:rsidP="007D7E50">
            <w:pPr>
              <w:rPr>
                <w:b/>
                <w:bCs/>
                <w:color w:val="FFFFFF" w:themeColor="background1"/>
              </w:rPr>
            </w:pPr>
            <w:r w:rsidRPr="000C6C0F">
              <w:rPr>
                <w:b/>
                <w:bCs/>
                <w:color w:val="FFFFFF" w:themeColor="background1"/>
              </w:rPr>
              <w:t xml:space="preserve">Signs </w:t>
            </w:r>
          </w:p>
        </w:tc>
        <w:tc>
          <w:tcPr>
            <w:tcW w:w="7656" w:type="dxa"/>
            <w:shd w:val="clear" w:color="auto" w:fill="217593"/>
          </w:tcPr>
          <w:p w14:paraId="68CCD592" w14:textId="3F37754B" w:rsidR="00CB339C" w:rsidRPr="000C6C0F" w:rsidRDefault="00CB339C" w:rsidP="007D7E50">
            <w:pPr>
              <w:rPr>
                <w:b/>
                <w:bCs/>
                <w:color w:val="FFFFFF" w:themeColor="background1"/>
              </w:rPr>
            </w:pPr>
            <w:r w:rsidRPr="000C6C0F">
              <w:rPr>
                <w:b/>
                <w:bCs/>
                <w:color w:val="FFFFFF" w:themeColor="background1"/>
              </w:rPr>
              <w:t>Examples</w:t>
            </w:r>
          </w:p>
        </w:tc>
      </w:tr>
      <w:tr w:rsidR="00CB339C" w:rsidRPr="000C6C0F" w14:paraId="53AE3121" w14:textId="77777777" w:rsidTr="00CB339C">
        <w:tc>
          <w:tcPr>
            <w:tcW w:w="1696" w:type="dxa"/>
            <w:shd w:val="clear" w:color="auto" w:fill="auto"/>
          </w:tcPr>
          <w:p w14:paraId="0E5C374E" w14:textId="77777777" w:rsidR="00CB339C" w:rsidRPr="00CB339C" w:rsidRDefault="00CB339C" w:rsidP="007D7E50">
            <w:pPr>
              <w:rPr>
                <w:b/>
                <w:bCs/>
              </w:rPr>
            </w:pPr>
          </w:p>
          <w:p w14:paraId="02C2718C" w14:textId="77777777" w:rsidR="00CB339C" w:rsidRPr="00CB339C" w:rsidRDefault="00CB339C" w:rsidP="007D7E50">
            <w:pPr>
              <w:rPr>
                <w:b/>
                <w:bCs/>
              </w:rPr>
            </w:pPr>
            <w:r w:rsidRPr="00CB339C">
              <w:rPr>
                <w:b/>
                <w:bCs/>
              </w:rPr>
              <w:t xml:space="preserve">Verbal </w:t>
            </w:r>
          </w:p>
        </w:tc>
        <w:tc>
          <w:tcPr>
            <w:tcW w:w="7656" w:type="dxa"/>
          </w:tcPr>
          <w:p w14:paraId="7E63F6DA" w14:textId="7A2ABDDA" w:rsidR="00CB339C" w:rsidRPr="000C6C0F" w:rsidRDefault="00CB339C" w:rsidP="007D7E50">
            <w:r w:rsidRPr="000C6C0F">
              <w:t xml:space="preserve">Shouting or screaming, </w:t>
            </w:r>
            <w:r w:rsidR="00685E2F" w:rsidRPr="000C6C0F">
              <w:t>swearing,</w:t>
            </w:r>
            <w:r w:rsidRPr="000C6C0F">
              <w:t xml:space="preserve"> or making comments which others may find inappropriate or offensive</w:t>
            </w:r>
          </w:p>
          <w:p w14:paraId="5C01FF5B" w14:textId="0A8E8E92" w:rsidR="00CB339C" w:rsidRPr="000C6C0F" w:rsidRDefault="00CB339C" w:rsidP="007D7E50">
            <w:r w:rsidRPr="000C6C0F">
              <w:t xml:space="preserve">Repeating words or phrases for example, asking to see a deceased </w:t>
            </w:r>
            <w:r w:rsidR="007902FA" w:rsidRPr="000C6C0F">
              <w:t>relative,</w:t>
            </w:r>
            <w:r w:rsidRPr="000C6C0F">
              <w:t xml:space="preserve"> or asking </w:t>
            </w:r>
            <w:r w:rsidR="00685E2F">
              <w:t xml:space="preserve">to </w:t>
            </w:r>
            <w:r w:rsidRPr="000C6C0F">
              <w:t>go home or to a place where they would have visited</w:t>
            </w:r>
            <w:r w:rsidR="00E81048">
              <w:t xml:space="preserve"> or lived</w:t>
            </w:r>
            <w:r w:rsidRPr="000C6C0F">
              <w:t xml:space="preserve"> in the past</w:t>
            </w:r>
          </w:p>
        </w:tc>
      </w:tr>
      <w:tr w:rsidR="00CB339C" w:rsidRPr="000C6C0F" w14:paraId="32C481BC" w14:textId="77777777" w:rsidTr="00CB339C">
        <w:tc>
          <w:tcPr>
            <w:tcW w:w="1696" w:type="dxa"/>
            <w:shd w:val="clear" w:color="auto" w:fill="auto"/>
          </w:tcPr>
          <w:p w14:paraId="5C9FAE7B" w14:textId="77777777" w:rsidR="00CB339C" w:rsidRPr="00CB339C" w:rsidRDefault="00CB339C" w:rsidP="007D7E50">
            <w:pPr>
              <w:rPr>
                <w:b/>
                <w:bCs/>
              </w:rPr>
            </w:pPr>
          </w:p>
          <w:p w14:paraId="74F5894F" w14:textId="77777777" w:rsidR="00CB339C" w:rsidRPr="00CB339C" w:rsidRDefault="00CB339C" w:rsidP="007D7E50">
            <w:pPr>
              <w:rPr>
                <w:b/>
                <w:bCs/>
              </w:rPr>
            </w:pPr>
            <w:r w:rsidRPr="00CB339C">
              <w:rPr>
                <w:b/>
                <w:bCs/>
              </w:rPr>
              <w:t xml:space="preserve">Emotional </w:t>
            </w:r>
          </w:p>
        </w:tc>
        <w:tc>
          <w:tcPr>
            <w:tcW w:w="7656" w:type="dxa"/>
          </w:tcPr>
          <w:p w14:paraId="0AA199BB" w14:textId="77777777" w:rsidR="00CB339C" w:rsidRPr="000C6C0F" w:rsidRDefault="00CB339C" w:rsidP="007D7E50">
            <w:r w:rsidRPr="000C6C0F">
              <w:t xml:space="preserve">Following another person or colleague due to anxiety </w:t>
            </w:r>
          </w:p>
          <w:p w14:paraId="7493627D" w14:textId="77777777" w:rsidR="00CB339C" w:rsidRPr="000C6C0F" w:rsidRDefault="00CB339C" w:rsidP="007D7E50">
            <w:r w:rsidRPr="000C6C0F">
              <w:t>Crying, being angry or anxious</w:t>
            </w:r>
          </w:p>
          <w:p w14:paraId="55364128" w14:textId="54C24F87" w:rsidR="00CB339C" w:rsidRPr="000C6C0F" w:rsidRDefault="00CB339C" w:rsidP="007D7E50">
            <w:r w:rsidRPr="000C6C0F">
              <w:t xml:space="preserve">Becoming </w:t>
            </w:r>
            <w:r w:rsidR="00E81048" w:rsidRPr="000C6C0F">
              <w:t>withdrawn</w:t>
            </w:r>
          </w:p>
          <w:p w14:paraId="1D6E7D2A" w14:textId="3EB98421" w:rsidR="00CB339C" w:rsidRPr="000C6C0F" w:rsidRDefault="00CB339C" w:rsidP="007D7E50">
            <w:r w:rsidRPr="000C6C0F">
              <w:t>Paranoia</w:t>
            </w:r>
            <w:r w:rsidR="00E81048">
              <w:t>: For example</w:t>
            </w:r>
            <w:r w:rsidR="00685E2F">
              <w:t>,</w:t>
            </w:r>
            <w:r w:rsidR="00E81048">
              <w:t xml:space="preserve"> believing </w:t>
            </w:r>
            <w:r w:rsidR="00685E2F">
              <w:t>that their</w:t>
            </w:r>
            <w:r w:rsidRPr="000C6C0F">
              <w:t xml:space="preserve"> items have been stolen</w:t>
            </w:r>
          </w:p>
        </w:tc>
      </w:tr>
      <w:tr w:rsidR="00CB339C" w:rsidRPr="000C6C0F" w14:paraId="6D5E1D81" w14:textId="77777777" w:rsidTr="00CB339C">
        <w:tc>
          <w:tcPr>
            <w:tcW w:w="1696" w:type="dxa"/>
            <w:shd w:val="clear" w:color="auto" w:fill="auto"/>
          </w:tcPr>
          <w:p w14:paraId="37B1DC18" w14:textId="77777777" w:rsidR="00CB339C" w:rsidRPr="00CB339C" w:rsidRDefault="00CB339C" w:rsidP="007D7E50">
            <w:pPr>
              <w:rPr>
                <w:b/>
                <w:bCs/>
              </w:rPr>
            </w:pPr>
          </w:p>
          <w:p w14:paraId="3D55538B" w14:textId="77777777" w:rsidR="00CB339C" w:rsidRPr="00CB339C" w:rsidRDefault="00CB339C" w:rsidP="007D7E50">
            <w:pPr>
              <w:rPr>
                <w:b/>
                <w:bCs/>
              </w:rPr>
            </w:pPr>
            <w:r w:rsidRPr="00CB339C">
              <w:rPr>
                <w:b/>
                <w:bCs/>
              </w:rPr>
              <w:t xml:space="preserve">Physical </w:t>
            </w:r>
          </w:p>
        </w:tc>
        <w:tc>
          <w:tcPr>
            <w:tcW w:w="7656" w:type="dxa"/>
          </w:tcPr>
          <w:p w14:paraId="0D72D8A3" w14:textId="77777777" w:rsidR="00CB339C" w:rsidRPr="000C6C0F" w:rsidRDefault="00CB339C" w:rsidP="007D7E50">
            <w:r w:rsidRPr="000C6C0F">
              <w:t>Declining to eat or drink</w:t>
            </w:r>
          </w:p>
          <w:p w14:paraId="09ED903A" w14:textId="77777777" w:rsidR="00CB339C" w:rsidRPr="000C6C0F" w:rsidRDefault="00CB339C" w:rsidP="007D7E50">
            <w:r w:rsidRPr="000C6C0F">
              <w:t xml:space="preserve">Harming themselves or trying to harm others </w:t>
            </w:r>
          </w:p>
          <w:p w14:paraId="79C2BE95" w14:textId="77777777" w:rsidR="00CB339C" w:rsidRPr="000C6C0F" w:rsidRDefault="00CB339C" w:rsidP="007D7E50">
            <w:r w:rsidRPr="000C6C0F">
              <w:t xml:space="preserve">Throwing objects </w:t>
            </w:r>
          </w:p>
          <w:p w14:paraId="3F165F34" w14:textId="77777777" w:rsidR="00CB339C" w:rsidRPr="000C6C0F" w:rsidRDefault="00CB339C" w:rsidP="007D7E50">
            <w:r w:rsidRPr="000C6C0F">
              <w:t>Repeated rocking motions or teeth grinding</w:t>
            </w:r>
          </w:p>
          <w:p w14:paraId="584F1825" w14:textId="77777777" w:rsidR="00CB339C" w:rsidRPr="000C6C0F" w:rsidRDefault="00CB339C" w:rsidP="007D7E50">
            <w:r w:rsidRPr="000C6C0F">
              <w:t xml:space="preserve">Collecting items – may be due to feelings of loss or insecurity </w:t>
            </w:r>
          </w:p>
        </w:tc>
      </w:tr>
    </w:tbl>
    <w:p w14:paraId="547C8276" w14:textId="47A5BBAA" w:rsidR="00CB339C" w:rsidRDefault="00CB339C" w:rsidP="00CB339C"/>
    <w:p w14:paraId="13E56726" w14:textId="773ED1F9" w:rsidR="00CB339C" w:rsidRDefault="00CB339C" w:rsidP="00CB339C">
      <w:pPr>
        <w:pStyle w:val="Heading1Numbered"/>
      </w:pPr>
      <w:bookmarkStart w:id="10" w:name="_Toc177130271"/>
      <w:r>
        <w:t>Causes of Distress</w:t>
      </w:r>
      <w:bookmarkEnd w:id="10"/>
      <w:r>
        <w:t xml:space="preserve"> </w:t>
      </w:r>
    </w:p>
    <w:p w14:paraId="400A25D5" w14:textId="071677E8" w:rsidR="00CB339C" w:rsidRDefault="00CB339C" w:rsidP="00F14FE3">
      <w:pPr>
        <w:pStyle w:val="Text1Numbered"/>
      </w:pPr>
      <w:r w:rsidRPr="000C6C0F">
        <w:t xml:space="preserve">There is always a reason for a person’s behaviour, it might be the only way a person can communicate, it can arise for different reasons which can be different for </w:t>
      </w:r>
      <w:r w:rsidR="00E81048">
        <w:t xml:space="preserve">each individual. </w:t>
      </w:r>
      <w:r w:rsidRPr="000C6C0F">
        <w:t xml:space="preserve"> </w:t>
      </w:r>
    </w:p>
    <w:p w14:paraId="3957009C" w14:textId="77777777" w:rsidR="00E812FA" w:rsidRDefault="00E812FA" w:rsidP="00CB339C">
      <w:pPr>
        <w:pStyle w:val="Text"/>
      </w:pPr>
    </w:p>
    <w:p w14:paraId="796DB532" w14:textId="77777777" w:rsidR="00E812FA" w:rsidRDefault="00E812FA" w:rsidP="00CB339C">
      <w:pPr>
        <w:pStyle w:val="Text"/>
      </w:pPr>
    </w:p>
    <w:p w14:paraId="2CA32B48" w14:textId="77777777" w:rsidR="00E812FA" w:rsidRDefault="00E812FA" w:rsidP="00CB339C">
      <w:pPr>
        <w:pStyle w:val="Text"/>
      </w:pPr>
    </w:p>
    <w:p w14:paraId="208CD66D" w14:textId="77777777" w:rsidR="00E812FA" w:rsidRDefault="00E812FA" w:rsidP="00F14FE3">
      <w:pPr>
        <w:pStyle w:val="Text"/>
        <w:shd w:val="clear" w:color="auto" w:fill="217593"/>
      </w:pPr>
    </w:p>
    <w:tbl>
      <w:tblPr>
        <w:tblStyle w:val="TableGrid"/>
        <w:tblW w:w="9352" w:type="dxa"/>
        <w:tblLayout w:type="fixed"/>
        <w:tblLook w:val="04A0" w:firstRow="1" w:lastRow="0" w:firstColumn="1" w:lastColumn="0" w:noHBand="0" w:noVBand="1"/>
      </w:tblPr>
      <w:tblGrid>
        <w:gridCol w:w="1696"/>
        <w:gridCol w:w="7656"/>
      </w:tblGrid>
      <w:tr w:rsidR="00CB339C" w:rsidRPr="000C6C0F" w14:paraId="3E6406BE" w14:textId="77777777" w:rsidTr="007D7E50">
        <w:tc>
          <w:tcPr>
            <w:tcW w:w="1696" w:type="dxa"/>
            <w:shd w:val="clear" w:color="auto" w:fill="3D868A"/>
          </w:tcPr>
          <w:p w14:paraId="1D55E1CD" w14:textId="77777777" w:rsidR="00CB339C" w:rsidRPr="000C6C0F" w:rsidRDefault="00CB339C" w:rsidP="00F14FE3">
            <w:pPr>
              <w:shd w:val="clear" w:color="auto" w:fill="217593"/>
              <w:rPr>
                <w:b/>
                <w:bCs/>
                <w:color w:val="FFFFFF" w:themeColor="background1"/>
              </w:rPr>
            </w:pPr>
            <w:r w:rsidRPr="000C6C0F">
              <w:rPr>
                <w:b/>
                <w:bCs/>
                <w:color w:val="FFFFFF" w:themeColor="background1"/>
              </w:rPr>
              <w:t xml:space="preserve">Possible Cause </w:t>
            </w:r>
          </w:p>
        </w:tc>
        <w:tc>
          <w:tcPr>
            <w:tcW w:w="7656" w:type="dxa"/>
            <w:shd w:val="clear" w:color="auto" w:fill="3D868A"/>
          </w:tcPr>
          <w:p w14:paraId="3A5B2456" w14:textId="77777777" w:rsidR="00CB339C" w:rsidRPr="000C6C0F" w:rsidRDefault="00CB339C" w:rsidP="00F14FE3">
            <w:pPr>
              <w:shd w:val="clear" w:color="auto" w:fill="217593"/>
              <w:rPr>
                <w:b/>
                <w:bCs/>
                <w:color w:val="FFFFFF" w:themeColor="background1"/>
              </w:rPr>
            </w:pPr>
            <w:r w:rsidRPr="000C6C0F">
              <w:rPr>
                <w:b/>
                <w:bCs/>
                <w:color w:val="FFFFFF" w:themeColor="background1"/>
              </w:rPr>
              <w:t xml:space="preserve">Examples </w:t>
            </w:r>
          </w:p>
          <w:p w14:paraId="558DDCFF" w14:textId="77777777" w:rsidR="00CB339C" w:rsidRPr="000C6C0F" w:rsidRDefault="00CB339C" w:rsidP="00F14FE3">
            <w:pPr>
              <w:shd w:val="clear" w:color="auto" w:fill="217593"/>
              <w:rPr>
                <w:b/>
                <w:bCs/>
                <w:color w:val="FFFFFF" w:themeColor="background1"/>
              </w:rPr>
            </w:pPr>
          </w:p>
        </w:tc>
      </w:tr>
      <w:tr w:rsidR="00CB339C" w:rsidRPr="000C6C0F" w14:paraId="457113E1" w14:textId="77777777" w:rsidTr="00CB339C">
        <w:trPr>
          <w:trHeight w:val="3424"/>
        </w:trPr>
        <w:tc>
          <w:tcPr>
            <w:tcW w:w="1696" w:type="dxa"/>
            <w:shd w:val="clear" w:color="auto" w:fill="auto"/>
          </w:tcPr>
          <w:p w14:paraId="1E637447" w14:textId="77777777" w:rsidR="00CB339C" w:rsidRPr="00CB339C" w:rsidRDefault="00CB339C" w:rsidP="007D7E50">
            <w:pPr>
              <w:rPr>
                <w:b/>
                <w:bCs/>
              </w:rPr>
            </w:pPr>
          </w:p>
          <w:p w14:paraId="687085AE" w14:textId="77777777" w:rsidR="00CB339C" w:rsidRPr="00CB339C" w:rsidRDefault="00CB339C" w:rsidP="007D7E50">
            <w:pPr>
              <w:rPr>
                <w:b/>
                <w:bCs/>
              </w:rPr>
            </w:pPr>
            <w:r w:rsidRPr="00CB339C">
              <w:rPr>
                <w:b/>
                <w:bCs/>
              </w:rPr>
              <w:t xml:space="preserve">Health Condition </w:t>
            </w:r>
          </w:p>
        </w:tc>
        <w:tc>
          <w:tcPr>
            <w:tcW w:w="7656" w:type="dxa"/>
          </w:tcPr>
          <w:p w14:paraId="3FC565C3" w14:textId="3D71C748" w:rsidR="00CB339C" w:rsidRPr="000C6C0F" w:rsidRDefault="00CB339C" w:rsidP="007902FA">
            <w:pPr>
              <w:pStyle w:val="Textlist-bullet"/>
              <w:spacing w:line="276" w:lineRule="auto"/>
              <w:rPr>
                <w:lang w:val="en"/>
              </w:rPr>
            </w:pPr>
            <w:r w:rsidRPr="000C6C0F">
              <w:rPr>
                <w:lang w:val="en"/>
              </w:rPr>
              <w:t xml:space="preserve">Chronic or acute health condition such as pain, the influence of medication, UTIs, constipation, arthritis, </w:t>
            </w:r>
            <w:r w:rsidR="00E81048" w:rsidRPr="000C6C0F">
              <w:rPr>
                <w:lang w:val="en"/>
              </w:rPr>
              <w:t>depression,</w:t>
            </w:r>
            <w:r w:rsidRPr="000C6C0F">
              <w:rPr>
                <w:lang w:val="en"/>
              </w:rPr>
              <w:t xml:space="preserve"> and delirium. </w:t>
            </w:r>
          </w:p>
          <w:p w14:paraId="12DDC5DB" w14:textId="3976B66A" w:rsidR="00CB339C" w:rsidRPr="000C6C0F" w:rsidRDefault="00CB339C" w:rsidP="007902FA">
            <w:pPr>
              <w:pStyle w:val="Textlist-bullet"/>
              <w:spacing w:line="276" w:lineRule="auto"/>
              <w:rPr>
                <w:lang w:val="en"/>
              </w:rPr>
            </w:pPr>
            <w:r w:rsidRPr="000C6C0F">
              <w:rPr>
                <w:lang w:val="en"/>
              </w:rPr>
              <w:t xml:space="preserve"> Other health issues may increase distress such as dehydration, toothache or headaches </w:t>
            </w:r>
          </w:p>
          <w:p w14:paraId="60FC1821" w14:textId="77777777" w:rsidR="00CB339C" w:rsidRPr="000C6C0F" w:rsidRDefault="00CB339C" w:rsidP="007902FA">
            <w:pPr>
              <w:pStyle w:val="Textlist-bullet"/>
              <w:spacing w:line="276" w:lineRule="auto"/>
              <w:rPr>
                <w:lang w:val="en"/>
              </w:rPr>
            </w:pPr>
            <w:r w:rsidRPr="000C6C0F">
              <w:rPr>
                <w:lang w:val="en"/>
              </w:rPr>
              <w:t>Dementia itself could be the cause of a person’s distress, short term memory, perceptions of the environment and changes to their personality.</w:t>
            </w:r>
          </w:p>
          <w:p w14:paraId="4236A552" w14:textId="77777777" w:rsidR="00CB339C" w:rsidRPr="000C6C0F" w:rsidRDefault="00CB339C" w:rsidP="007902FA">
            <w:pPr>
              <w:pStyle w:val="Textlist-bullet"/>
              <w:spacing w:line="276" w:lineRule="auto"/>
              <w:rPr>
                <w:lang w:val="en"/>
              </w:rPr>
            </w:pPr>
            <w:r w:rsidRPr="000C6C0F">
              <w:rPr>
                <w:lang w:val="en"/>
              </w:rPr>
              <w:t xml:space="preserve">Certain conditions can result in psychotic symptoms including hallucinations and delusions. </w:t>
            </w:r>
          </w:p>
        </w:tc>
      </w:tr>
      <w:tr w:rsidR="00CB339C" w:rsidRPr="000C6C0F" w14:paraId="09793A4C" w14:textId="77777777" w:rsidTr="00CB339C">
        <w:tc>
          <w:tcPr>
            <w:tcW w:w="1696" w:type="dxa"/>
            <w:shd w:val="clear" w:color="auto" w:fill="auto"/>
          </w:tcPr>
          <w:p w14:paraId="1E147775" w14:textId="77777777" w:rsidR="00CB339C" w:rsidRPr="00CB339C" w:rsidRDefault="00CB339C" w:rsidP="007D7E50">
            <w:pPr>
              <w:rPr>
                <w:b/>
                <w:bCs/>
              </w:rPr>
            </w:pPr>
          </w:p>
          <w:p w14:paraId="12377961" w14:textId="77777777" w:rsidR="00CB339C" w:rsidRPr="00CB339C" w:rsidRDefault="00CB339C" w:rsidP="007D7E50">
            <w:pPr>
              <w:rPr>
                <w:b/>
                <w:bCs/>
              </w:rPr>
            </w:pPr>
            <w:r w:rsidRPr="00CB339C">
              <w:rPr>
                <w:b/>
                <w:bCs/>
              </w:rPr>
              <w:t xml:space="preserve">Environment </w:t>
            </w:r>
          </w:p>
        </w:tc>
        <w:tc>
          <w:tcPr>
            <w:tcW w:w="7656" w:type="dxa"/>
          </w:tcPr>
          <w:p w14:paraId="0B4A8374" w14:textId="09ADD73C" w:rsidR="00CB339C" w:rsidRPr="000C6C0F" w:rsidRDefault="00CB339C" w:rsidP="007902FA">
            <w:pPr>
              <w:pStyle w:val="Textlist-bullet"/>
              <w:spacing w:line="276" w:lineRule="auto"/>
              <w:rPr>
                <w:lang w:val="en"/>
              </w:rPr>
            </w:pPr>
            <w:r w:rsidRPr="000C6C0F">
              <w:rPr>
                <w:lang w:val="en"/>
              </w:rPr>
              <w:t xml:space="preserve">The layout of a service may cause confusion especially if an individual has moved from their own home or a different environment.  </w:t>
            </w:r>
          </w:p>
          <w:p w14:paraId="44A1AD11" w14:textId="77777777" w:rsidR="00CB339C" w:rsidRPr="000C6C0F" w:rsidRDefault="00CB339C" w:rsidP="007902FA">
            <w:pPr>
              <w:pStyle w:val="Textlist-bullet"/>
              <w:spacing w:line="276" w:lineRule="auto"/>
              <w:rPr>
                <w:lang w:val="en"/>
              </w:rPr>
            </w:pPr>
            <w:r w:rsidRPr="000C6C0F">
              <w:rPr>
                <w:lang w:val="en"/>
              </w:rPr>
              <w:t>Physical aspects of the environment such as noise, lighting, large spaces, too hot or too cold</w:t>
            </w:r>
          </w:p>
        </w:tc>
      </w:tr>
      <w:tr w:rsidR="00CB339C" w:rsidRPr="000C6C0F" w14:paraId="45965CB7" w14:textId="77777777" w:rsidTr="00CB339C">
        <w:tc>
          <w:tcPr>
            <w:tcW w:w="1696" w:type="dxa"/>
            <w:shd w:val="clear" w:color="auto" w:fill="auto"/>
          </w:tcPr>
          <w:p w14:paraId="3E34EBE7" w14:textId="77777777" w:rsidR="00CB339C" w:rsidRPr="00CB339C" w:rsidRDefault="00CB339C" w:rsidP="007D7E50">
            <w:pPr>
              <w:rPr>
                <w:b/>
                <w:bCs/>
              </w:rPr>
            </w:pPr>
            <w:r w:rsidRPr="00CB339C">
              <w:rPr>
                <w:b/>
                <w:bCs/>
              </w:rPr>
              <w:t xml:space="preserve">Other people </w:t>
            </w:r>
          </w:p>
        </w:tc>
        <w:tc>
          <w:tcPr>
            <w:tcW w:w="7656" w:type="dxa"/>
          </w:tcPr>
          <w:p w14:paraId="0F4AD9E8" w14:textId="77777777" w:rsidR="00CB339C" w:rsidRPr="000C6C0F" w:rsidRDefault="00CB339C" w:rsidP="007902FA">
            <w:pPr>
              <w:pStyle w:val="Textlist-bullet"/>
              <w:numPr>
                <w:ilvl w:val="0"/>
                <w:numId w:val="0"/>
              </w:numPr>
              <w:spacing w:line="276" w:lineRule="auto"/>
              <w:ind w:left="357"/>
            </w:pPr>
            <w:r w:rsidRPr="000C6C0F">
              <w:t xml:space="preserve">Many instances of distressed behaviour will be linked to interactions with other people. </w:t>
            </w:r>
          </w:p>
        </w:tc>
      </w:tr>
      <w:tr w:rsidR="00CB339C" w:rsidRPr="000C6C0F" w14:paraId="15FE38AE" w14:textId="77777777" w:rsidTr="00CB339C">
        <w:tc>
          <w:tcPr>
            <w:tcW w:w="1696" w:type="dxa"/>
            <w:shd w:val="clear" w:color="auto" w:fill="auto"/>
          </w:tcPr>
          <w:p w14:paraId="346FC49A" w14:textId="77777777" w:rsidR="00CB339C" w:rsidRPr="000C6C0F" w:rsidRDefault="00CB339C" w:rsidP="007D7E50"/>
          <w:p w14:paraId="3ED625E8" w14:textId="77777777" w:rsidR="00CB339C" w:rsidRPr="00CB339C" w:rsidRDefault="00CB339C" w:rsidP="007D7E50">
            <w:pPr>
              <w:rPr>
                <w:b/>
                <w:bCs/>
              </w:rPr>
            </w:pPr>
            <w:r w:rsidRPr="00CB339C">
              <w:rPr>
                <w:b/>
                <w:bCs/>
              </w:rPr>
              <w:t xml:space="preserve">Life story </w:t>
            </w:r>
          </w:p>
        </w:tc>
        <w:tc>
          <w:tcPr>
            <w:tcW w:w="7656" w:type="dxa"/>
          </w:tcPr>
          <w:p w14:paraId="38790694" w14:textId="77777777" w:rsidR="00CB339C" w:rsidRPr="000C6C0F" w:rsidRDefault="00CB339C" w:rsidP="007902FA">
            <w:pPr>
              <w:pStyle w:val="Textlist-bullet"/>
              <w:numPr>
                <w:ilvl w:val="0"/>
                <w:numId w:val="0"/>
              </w:numPr>
              <w:spacing w:line="276" w:lineRule="auto"/>
              <w:ind w:left="357"/>
              <w:rPr>
                <w:lang w:val="en"/>
              </w:rPr>
            </w:pPr>
            <w:r w:rsidRPr="000C6C0F">
              <w:rPr>
                <w:lang w:val="en"/>
              </w:rPr>
              <w:t>Events in the present can trigger memories to resurface and affect current behaviour. For example, receiving personal care could trigger memories about potential past abuse.</w:t>
            </w:r>
          </w:p>
        </w:tc>
      </w:tr>
      <w:tr w:rsidR="00CB339C" w:rsidRPr="000C6C0F" w14:paraId="57FF37F1" w14:textId="77777777" w:rsidTr="00DD7DA1">
        <w:trPr>
          <w:trHeight w:val="1732"/>
        </w:trPr>
        <w:tc>
          <w:tcPr>
            <w:tcW w:w="1696" w:type="dxa"/>
            <w:shd w:val="clear" w:color="auto" w:fill="auto"/>
          </w:tcPr>
          <w:p w14:paraId="54D127AD" w14:textId="77777777" w:rsidR="00CB339C" w:rsidRPr="00CB339C" w:rsidRDefault="00CB339C" w:rsidP="007D7E50">
            <w:pPr>
              <w:rPr>
                <w:b/>
                <w:bCs/>
              </w:rPr>
            </w:pPr>
            <w:r w:rsidRPr="00CB339C">
              <w:rPr>
                <w:b/>
                <w:bCs/>
              </w:rPr>
              <w:t xml:space="preserve">Boredom and lack of appropriate stimulation </w:t>
            </w:r>
          </w:p>
        </w:tc>
        <w:tc>
          <w:tcPr>
            <w:tcW w:w="7656" w:type="dxa"/>
          </w:tcPr>
          <w:p w14:paraId="76EC0816" w14:textId="77777777" w:rsidR="00CB339C" w:rsidRPr="000C6C0F" w:rsidRDefault="00CB339C" w:rsidP="007902FA">
            <w:pPr>
              <w:pStyle w:val="Textlist-bullet"/>
              <w:numPr>
                <w:ilvl w:val="0"/>
                <w:numId w:val="0"/>
              </w:numPr>
              <w:spacing w:after="0" w:line="276" w:lineRule="auto"/>
              <w:ind w:left="357"/>
              <w:rPr>
                <w:lang w:val="en"/>
              </w:rPr>
            </w:pPr>
            <w:r w:rsidRPr="000C6C0F">
              <w:rPr>
                <w:lang w:val="en"/>
              </w:rPr>
              <w:t xml:space="preserve">Behaviour can be a way of expressing that people are bored and need something to do.  As a person’s condition progresses, they may find it harder to take part in opportunities or find ways of occupying themselves </w:t>
            </w:r>
          </w:p>
        </w:tc>
      </w:tr>
    </w:tbl>
    <w:p w14:paraId="410FAB8A" w14:textId="2B9D2008" w:rsidR="00CB339C" w:rsidRDefault="00CB339C" w:rsidP="00DD7DA1">
      <w:pPr>
        <w:pStyle w:val="Text"/>
        <w:ind w:firstLine="720"/>
      </w:pPr>
    </w:p>
    <w:p w14:paraId="2B77F16C" w14:textId="77777777" w:rsidR="00E812FA" w:rsidRDefault="00E812FA" w:rsidP="00DD7DA1">
      <w:pPr>
        <w:pStyle w:val="Text"/>
        <w:ind w:firstLine="720"/>
      </w:pPr>
    </w:p>
    <w:p w14:paraId="3ADDF1B9" w14:textId="77777777" w:rsidR="00E812FA" w:rsidRDefault="00E812FA" w:rsidP="00DD7DA1">
      <w:pPr>
        <w:pStyle w:val="Text"/>
        <w:ind w:firstLine="720"/>
      </w:pPr>
    </w:p>
    <w:p w14:paraId="01F7EFF3" w14:textId="77777777" w:rsidR="007902FA" w:rsidRDefault="007902FA" w:rsidP="00DD7DA1">
      <w:pPr>
        <w:pStyle w:val="Text"/>
        <w:ind w:firstLine="720"/>
      </w:pPr>
    </w:p>
    <w:p w14:paraId="2BEECA80" w14:textId="77777777" w:rsidR="007902FA" w:rsidRDefault="007902FA" w:rsidP="00DD7DA1">
      <w:pPr>
        <w:pStyle w:val="Text"/>
        <w:ind w:firstLine="720"/>
      </w:pPr>
    </w:p>
    <w:p w14:paraId="1C70CF0D" w14:textId="77777777" w:rsidR="007902FA" w:rsidRDefault="007902FA" w:rsidP="00DD7DA1">
      <w:pPr>
        <w:pStyle w:val="Text"/>
        <w:ind w:firstLine="720"/>
      </w:pPr>
    </w:p>
    <w:p w14:paraId="45E2A1F5" w14:textId="1AC349A3" w:rsidR="00CB339C" w:rsidRDefault="00CB339C" w:rsidP="00CB339C">
      <w:pPr>
        <w:pStyle w:val="Heading1Numbered"/>
      </w:pPr>
      <w:bookmarkStart w:id="11" w:name="_Toc177130272"/>
      <w:r>
        <w:t>Interventions</w:t>
      </w:r>
      <w:bookmarkEnd w:id="11"/>
      <w:r>
        <w:t xml:space="preserve"> </w:t>
      </w:r>
    </w:p>
    <w:tbl>
      <w:tblPr>
        <w:tblStyle w:val="MHATable"/>
        <w:tblW w:w="0" w:type="auto"/>
        <w:tblLook w:val="0620" w:firstRow="1" w:lastRow="0" w:firstColumn="0" w:lastColumn="0" w:noHBand="1" w:noVBand="1"/>
      </w:tblPr>
      <w:tblGrid>
        <w:gridCol w:w="1750"/>
        <w:gridCol w:w="7461"/>
      </w:tblGrid>
      <w:tr w:rsidR="00CB339C" w:rsidRPr="009050C4" w14:paraId="012644D5" w14:textId="77777777" w:rsidTr="00F14FE3">
        <w:trPr>
          <w:cnfStyle w:val="100000000000" w:firstRow="1" w:lastRow="0" w:firstColumn="0" w:lastColumn="0" w:oddVBand="0" w:evenVBand="0" w:oddHBand="0" w:evenHBand="0" w:firstRowFirstColumn="0" w:firstRowLastColumn="0" w:lastRowFirstColumn="0" w:lastRowLastColumn="0"/>
          <w:tblHeader/>
        </w:trPr>
        <w:tc>
          <w:tcPr>
            <w:tcW w:w="1750" w:type="dxa"/>
            <w:shd w:val="clear" w:color="auto" w:fill="217593"/>
          </w:tcPr>
          <w:p w14:paraId="78A7FC6A" w14:textId="3C999ABC" w:rsidR="00CB339C" w:rsidRPr="009050C4" w:rsidRDefault="00CB339C" w:rsidP="007D7E50">
            <w:pPr>
              <w:rPr>
                <w:b w:val="0"/>
              </w:rPr>
            </w:pPr>
            <w:r>
              <w:t>Intervention</w:t>
            </w:r>
          </w:p>
        </w:tc>
        <w:tc>
          <w:tcPr>
            <w:tcW w:w="7461" w:type="dxa"/>
            <w:shd w:val="clear" w:color="auto" w:fill="217593"/>
          </w:tcPr>
          <w:p w14:paraId="5F8B6172" w14:textId="77777777" w:rsidR="00CB339C" w:rsidRPr="009050C4" w:rsidRDefault="00CB339C" w:rsidP="007D7E50">
            <w:pPr>
              <w:rPr>
                <w:b w:val="0"/>
              </w:rPr>
            </w:pPr>
            <w:r w:rsidRPr="009050C4">
              <w:t>Definition</w:t>
            </w:r>
          </w:p>
        </w:tc>
      </w:tr>
      <w:tr w:rsidR="00CB339C" w:rsidRPr="004C3545" w14:paraId="6DA050B8" w14:textId="77777777" w:rsidTr="00F14FE3">
        <w:tc>
          <w:tcPr>
            <w:tcW w:w="1750" w:type="dxa"/>
          </w:tcPr>
          <w:p w14:paraId="342B60DE" w14:textId="4082E946" w:rsidR="00CB339C" w:rsidRPr="00CB339C" w:rsidRDefault="00CB339C" w:rsidP="00CB339C">
            <w:pPr>
              <w:rPr>
                <w:b/>
                <w:bCs/>
              </w:rPr>
            </w:pPr>
            <w:r w:rsidRPr="00CB339C">
              <w:rPr>
                <w:b/>
                <w:bCs/>
                <w:color w:val="000000"/>
              </w:rPr>
              <w:t>Music Therapy</w:t>
            </w:r>
          </w:p>
        </w:tc>
        <w:tc>
          <w:tcPr>
            <w:tcW w:w="7461" w:type="dxa"/>
          </w:tcPr>
          <w:p w14:paraId="7734BE2A" w14:textId="77777777" w:rsidR="00CB339C" w:rsidRDefault="00CB339C" w:rsidP="007902FA">
            <w:pPr>
              <w:spacing w:line="276" w:lineRule="auto"/>
              <w:rPr>
                <w:color w:val="000000"/>
              </w:rPr>
            </w:pPr>
            <w:r w:rsidRPr="000C6C0F">
              <w:rPr>
                <w:color w:val="000000"/>
              </w:rPr>
              <w:t xml:space="preserve">MHA’s Music Therapists are specially trained professionals who can provide therapeutic interventions to help alleviate distress behaviour. </w:t>
            </w:r>
            <w:r w:rsidR="00E81048">
              <w:rPr>
                <w:color w:val="000000"/>
              </w:rPr>
              <w:t xml:space="preserve">It is important to seek their advice and input when trying to understand a person’s distress behaviour. </w:t>
            </w:r>
          </w:p>
          <w:p w14:paraId="2CB9C3FB" w14:textId="660F6223" w:rsidR="007902FA" w:rsidRPr="004C3545" w:rsidRDefault="007902FA" w:rsidP="007902FA">
            <w:pPr>
              <w:spacing w:line="276" w:lineRule="auto"/>
            </w:pPr>
          </w:p>
        </w:tc>
      </w:tr>
      <w:tr w:rsidR="00CB339C" w:rsidRPr="004C3545" w14:paraId="571EA198" w14:textId="77777777" w:rsidTr="00F14FE3">
        <w:tc>
          <w:tcPr>
            <w:tcW w:w="1750" w:type="dxa"/>
          </w:tcPr>
          <w:p w14:paraId="44F678C2" w14:textId="0EAE24B5" w:rsidR="00CB339C" w:rsidRPr="00CB339C" w:rsidRDefault="00CB339C" w:rsidP="00CB339C">
            <w:pPr>
              <w:rPr>
                <w:b/>
                <w:bCs/>
              </w:rPr>
            </w:pPr>
            <w:r w:rsidRPr="00CB339C">
              <w:rPr>
                <w:b/>
                <w:bCs/>
                <w:color w:val="000000"/>
              </w:rPr>
              <w:t>Medication</w:t>
            </w:r>
          </w:p>
        </w:tc>
        <w:tc>
          <w:tcPr>
            <w:tcW w:w="7461" w:type="dxa"/>
          </w:tcPr>
          <w:p w14:paraId="534AA9D5" w14:textId="5B4E80F6" w:rsidR="00CB339C" w:rsidRPr="003B0196" w:rsidRDefault="00CB339C" w:rsidP="007902FA">
            <w:pPr>
              <w:spacing w:line="276" w:lineRule="auto"/>
            </w:pPr>
            <w:r w:rsidRPr="000C6C0F">
              <w:t xml:space="preserve">Certain medication can have a key role in treating some of the underlying causes of distress such as infection, </w:t>
            </w:r>
            <w:proofErr w:type="gramStart"/>
            <w:r w:rsidRPr="000C6C0F">
              <w:t>delirium</w:t>
            </w:r>
            <w:proofErr w:type="gramEnd"/>
            <w:r w:rsidRPr="000C6C0F">
              <w:t xml:space="preserve"> and pain. Physical discomfort can be the main cause for distress and should be assessed as a potential cause.  If an individual is not prescribed pain relief medication their GP or clinical practitioner must be contacted for a medication review.</w:t>
            </w:r>
          </w:p>
          <w:p w14:paraId="564419B1" w14:textId="77777777" w:rsidR="00CB339C" w:rsidRDefault="00CB339C" w:rsidP="007902FA">
            <w:pPr>
              <w:spacing w:line="276" w:lineRule="auto"/>
            </w:pPr>
            <w:r w:rsidRPr="000C6C0F">
              <w:t>The use of antipsychotic medication to manage distress has received significant attention because of concerns relating to adverse side effects, particularly in people living with dementia. Guidance (NICE 2018) recommends that antipsychotic medication should only be used for people with dementia who are either:</w:t>
            </w:r>
          </w:p>
          <w:p w14:paraId="189BB17F" w14:textId="77777777" w:rsidR="007902FA" w:rsidRPr="007902FA" w:rsidRDefault="007902FA" w:rsidP="007902FA">
            <w:pPr>
              <w:spacing w:line="276" w:lineRule="auto"/>
              <w:rPr>
                <w:sz w:val="8"/>
                <w:szCs w:val="8"/>
              </w:rPr>
            </w:pPr>
          </w:p>
          <w:p w14:paraId="3B2E35B0" w14:textId="70ED2F7F" w:rsidR="00CB339C" w:rsidRPr="000C6C0F" w:rsidRDefault="00CB339C" w:rsidP="007902FA">
            <w:pPr>
              <w:pStyle w:val="Textlist-letters"/>
              <w:spacing w:line="276" w:lineRule="auto"/>
            </w:pPr>
            <w:r w:rsidRPr="000C6C0F">
              <w:t xml:space="preserve">at risk of harming themselves or others or </w:t>
            </w:r>
          </w:p>
          <w:p w14:paraId="6A997257" w14:textId="197F90E2" w:rsidR="00CB339C" w:rsidRPr="000C6C0F" w:rsidRDefault="00CB339C" w:rsidP="007902FA">
            <w:pPr>
              <w:pStyle w:val="Textlist-letters"/>
              <w:spacing w:line="276" w:lineRule="auto"/>
            </w:pPr>
            <w:r w:rsidRPr="000C6C0F">
              <w:t xml:space="preserve"> experiencing agitation, hallucinations or delusions that are causing them </w:t>
            </w:r>
            <w:r w:rsidRPr="000C6C0F">
              <w:rPr>
                <w:b/>
                <w:bCs/>
              </w:rPr>
              <w:t>severe distress.</w:t>
            </w:r>
            <w:r w:rsidRPr="000C6C0F">
              <w:t xml:space="preserve"> It is also important that all other strategies have been explored.</w:t>
            </w:r>
          </w:p>
          <w:p w14:paraId="3E8388A9" w14:textId="6E41BA1A" w:rsidR="00CB339C" w:rsidRPr="000C6C0F" w:rsidRDefault="00CB339C" w:rsidP="007902FA">
            <w:pPr>
              <w:spacing w:line="276" w:lineRule="auto"/>
            </w:pPr>
            <w:r w:rsidRPr="00CB339C">
              <w:t>Antipsychotics should be kept under regular review and reduced and stopped where possible</w:t>
            </w:r>
            <w:r>
              <w:t xml:space="preserve"> following advice from a medical professional </w:t>
            </w:r>
          </w:p>
        </w:tc>
      </w:tr>
      <w:tr w:rsidR="00CB339C" w:rsidRPr="004C3545" w14:paraId="4EF54D1D" w14:textId="77777777" w:rsidTr="00F14FE3">
        <w:tc>
          <w:tcPr>
            <w:tcW w:w="1750" w:type="dxa"/>
          </w:tcPr>
          <w:p w14:paraId="5F00B73A" w14:textId="2BAC6B32" w:rsidR="00CB339C" w:rsidRPr="00CB339C" w:rsidRDefault="00CB339C" w:rsidP="00CB339C">
            <w:pPr>
              <w:rPr>
                <w:b/>
                <w:bCs/>
              </w:rPr>
            </w:pPr>
            <w:r w:rsidRPr="00CB339C">
              <w:rPr>
                <w:b/>
                <w:bCs/>
                <w:color w:val="000000"/>
              </w:rPr>
              <w:t>Environment modification</w:t>
            </w:r>
          </w:p>
        </w:tc>
        <w:tc>
          <w:tcPr>
            <w:tcW w:w="7461" w:type="dxa"/>
          </w:tcPr>
          <w:p w14:paraId="019A4176" w14:textId="77777777" w:rsidR="00CB339C" w:rsidRDefault="00CB339C" w:rsidP="00E812FA">
            <w:pPr>
              <w:spacing w:line="276" w:lineRule="auto"/>
              <w:rPr>
                <w:color w:val="000000"/>
              </w:rPr>
            </w:pPr>
            <w:r w:rsidRPr="000C6C0F">
              <w:rPr>
                <w:color w:val="000000"/>
              </w:rPr>
              <w:t xml:space="preserve">Creating or adapting an environment to compensate for a person’s difficulties can reduce a feeling of distress. </w:t>
            </w:r>
            <w:r w:rsidR="00E81048">
              <w:rPr>
                <w:color w:val="000000"/>
              </w:rPr>
              <w:t xml:space="preserve">For example, suitable signage can help with wayfinding. </w:t>
            </w:r>
          </w:p>
          <w:p w14:paraId="39821891" w14:textId="4E50820E" w:rsidR="00E812FA" w:rsidRPr="000C6C0F" w:rsidRDefault="00E812FA" w:rsidP="007902FA">
            <w:pPr>
              <w:spacing w:line="276" w:lineRule="auto"/>
            </w:pPr>
          </w:p>
        </w:tc>
      </w:tr>
      <w:tr w:rsidR="00CB339C" w:rsidRPr="004C3545" w14:paraId="638ED275" w14:textId="77777777" w:rsidTr="00F14FE3">
        <w:tc>
          <w:tcPr>
            <w:tcW w:w="1750" w:type="dxa"/>
          </w:tcPr>
          <w:p w14:paraId="5FED5BCC" w14:textId="6AB9A026" w:rsidR="00CB339C" w:rsidRPr="00CB339C" w:rsidRDefault="00CB339C" w:rsidP="00CB339C">
            <w:pPr>
              <w:rPr>
                <w:b/>
                <w:bCs/>
              </w:rPr>
            </w:pPr>
            <w:r>
              <w:rPr>
                <w:b/>
                <w:bCs/>
              </w:rPr>
              <w:t xml:space="preserve">Green care </w:t>
            </w:r>
          </w:p>
        </w:tc>
        <w:tc>
          <w:tcPr>
            <w:tcW w:w="7461" w:type="dxa"/>
          </w:tcPr>
          <w:p w14:paraId="686ABCB0" w14:textId="77777777" w:rsidR="00CB339C" w:rsidRDefault="00CB339C" w:rsidP="00E812FA">
            <w:pPr>
              <w:pStyle w:val="Text"/>
              <w:spacing w:line="240" w:lineRule="auto"/>
            </w:pPr>
            <w:r>
              <w:t xml:space="preserve">Engaging with nature can have a range of mental and emotional benefits for people offering a feeling of normality, </w:t>
            </w:r>
            <w:proofErr w:type="gramStart"/>
            <w:r>
              <w:t>peace</w:t>
            </w:r>
            <w:proofErr w:type="gramEnd"/>
            <w:r>
              <w:t xml:space="preserve"> and wellbeing with an increased sense of freedom and a change of environment.</w:t>
            </w:r>
          </w:p>
          <w:p w14:paraId="2FE79D6B" w14:textId="6B2E406E" w:rsidR="00E812FA" w:rsidRPr="000C6C0F" w:rsidRDefault="00E812FA" w:rsidP="007902FA">
            <w:pPr>
              <w:pStyle w:val="Text"/>
              <w:spacing w:line="240" w:lineRule="auto"/>
            </w:pPr>
          </w:p>
        </w:tc>
      </w:tr>
    </w:tbl>
    <w:p w14:paraId="74C167ED" w14:textId="77777777" w:rsidR="00E812FA" w:rsidRDefault="00E812FA"/>
    <w:tbl>
      <w:tblPr>
        <w:tblStyle w:val="MHATable"/>
        <w:tblW w:w="0" w:type="auto"/>
        <w:tblLook w:val="0620" w:firstRow="1" w:lastRow="0" w:firstColumn="0" w:lastColumn="0" w:noHBand="1" w:noVBand="1"/>
      </w:tblPr>
      <w:tblGrid>
        <w:gridCol w:w="1834"/>
        <w:gridCol w:w="7461"/>
      </w:tblGrid>
      <w:tr w:rsidR="00E812FA" w:rsidRPr="00E812FA" w14:paraId="1DA657B7" w14:textId="77777777" w:rsidTr="00E812FA">
        <w:trPr>
          <w:cnfStyle w:val="100000000000" w:firstRow="1" w:lastRow="0" w:firstColumn="0" w:lastColumn="0" w:oddVBand="0" w:evenVBand="0" w:oddHBand="0" w:evenHBand="0" w:firstRowFirstColumn="0" w:firstRowLastColumn="0" w:lastRowFirstColumn="0" w:lastRowLastColumn="0"/>
        </w:trPr>
        <w:tc>
          <w:tcPr>
            <w:tcW w:w="1750" w:type="dxa"/>
            <w:shd w:val="clear" w:color="auto" w:fill="auto"/>
          </w:tcPr>
          <w:p w14:paraId="76B6C4AD" w14:textId="3C7EF80F" w:rsidR="00DD7DA1" w:rsidRPr="007902FA" w:rsidRDefault="00DD7DA1" w:rsidP="007902FA">
            <w:pPr>
              <w:pStyle w:val="Text"/>
              <w:rPr>
                <w:color w:val="auto"/>
              </w:rPr>
            </w:pPr>
            <w:r w:rsidRPr="007902FA">
              <w:rPr>
                <w:color w:val="auto"/>
              </w:rPr>
              <w:t>Enhanced Observations (1:1)</w:t>
            </w:r>
          </w:p>
        </w:tc>
        <w:tc>
          <w:tcPr>
            <w:tcW w:w="7461" w:type="dxa"/>
            <w:shd w:val="clear" w:color="auto" w:fill="auto"/>
          </w:tcPr>
          <w:p w14:paraId="440ECDEE" w14:textId="06FF0A7E" w:rsidR="00DD7DA1" w:rsidRPr="007902FA" w:rsidRDefault="00DD7DA1" w:rsidP="007902FA">
            <w:pPr>
              <w:pStyle w:val="Text"/>
              <w:spacing w:line="276" w:lineRule="auto"/>
              <w:rPr>
                <w:b w:val="0"/>
                <w:bCs/>
                <w:color w:val="auto"/>
              </w:rPr>
            </w:pPr>
            <w:r w:rsidRPr="007902FA">
              <w:rPr>
                <w:b w:val="0"/>
                <w:bCs/>
                <w:color w:val="auto"/>
              </w:rPr>
              <w:t>Support plans for any enhanced observations or 1:1 support should be recorded separately using an appropriate support plan relevant to the risk assessment and identified needs.</w:t>
            </w:r>
          </w:p>
          <w:p w14:paraId="48E21016" w14:textId="284FC86F" w:rsidR="00DD7DA1" w:rsidRPr="007902FA" w:rsidRDefault="00DD7DA1" w:rsidP="007902FA">
            <w:pPr>
              <w:pStyle w:val="Text"/>
              <w:spacing w:line="276" w:lineRule="auto"/>
              <w:rPr>
                <w:b w:val="0"/>
                <w:bCs/>
                <w:color w:val="auto"/>
              </w:rPr>
            </w:pPr>
            <w:r w:rsidRPr="007902FA">
              <w:rPr>
                <w:b w:val="0"/>
                <w:bCs/>
                <w:color w:val="auto"/>
              </w:rPr>
              <w:t>The support plan should include:</w:t>
            </w:r>
          </w:p>
          <w:p w14:paraId="238FEC18" w14:textId="77777777" w:rsidR="00DD7DA1" w:rsidRPr="007902FA" w:rsidRDefault="00DD7DA1" w:rsidP="007902FA">
            <w:pPr>
              <w:pStyle w:val="Text"/>
              <w:numPr>
                <w:ilvl w:val="0"/>
                <w:numId w:val="39"/>
              </w:numPr>
              <w:spacing w:before="0" w:after="0" w:line="276" w:lineRule="auto"/>
              <w:rPr>
                <w:b w:val="0"/>
                <w:bCs/>
                <w:color w:val="auto"/>
              </w:rPr>
            </w:pPr>
            <w:r w:rsidRPr="007902FA">
              <w:rPr>
                <w:b w:val="0"/>
                <w:bCs/>
                <w:color w:val="auto"/>
              </w:rPr>
              <w:t>The reason(s) for commencing an enhanced level of observation</w:t>
            </w:r>
          </w:p>
          <w:p w14:paraId="63610EDC" w14:textId="77777777" w:rsidR="00DD7DA1" w:rsidRPr="007902FA" w:rsidRDefault="00DD7DA1" w:rsidP="007902FA">
            <w:pPr>
              <w:pStyle w:val="Text"/>
              <w:numPr>
                <w:ilvl w:val="0"/>
                <w:numId w:val="39"/>
              </w:numPr>
              <w:spacing w:before="0" w:after="0" w:line="276" w:lineRule="auto"/>
              <w:rPr>
                <w:b w:val="0"/>
                <w:bCs/>
                <w:color w:val="auto"/>
              </w:rPr>
            </w:pPr>
            <w:r w:rsidRPr="007902FA">
              <w:rPr>
                <w:b w:val="0"/>
                <w:bCs/>
                <w:color w:val="auto"/>
              </w:rPr>
              <w:t xml:space="preserve">The level of observation required </w:t>
            </w:r>
          </w:p>
          <w:p w14:paraId="1D840C54" w14:textId="77777777" w:rsidR="00DD7DA1" w:rsidRPr="007902FA" w:rsidRDefault="00DD7DA1" w:rsidP="007902FA">
            <w:pPr>
              <w:pStyle w:val="Text"/>
              <w:numPr>
                <w:ilvl w:val="0"/>
                <w:numId w:val="39"/>
              </w:numPr>
              <w:spacing w:before="0" w:after="0" w:line="276" w:lineRule="auto"/>
              <w:rPr>
                <w:b w:val="0"/>
                <w:bCs/>
                <w:color w:val="auto"/>
              </w:rPr>
            </w:pPr>
            <w:r w:rsidRPr="007902FA">
              <w:rPr>
                <w:b w:val="0"/>
                <w:bCs/>
                <w:color w:val="auto"/>
              </w:rPr>
              <w:t xml:space="preserve">The goal or expected outcome of the observations – clear and specific instructions </w:t>
            </w:r>
          </w:p>
          <w:p w14:paraId="6DD9B666" w14:textId="77777777" w:rsidR="00DD7DA1" w:rsidRPr="007902FA" w:rsidRDefault="00DD7DA1" w:rsidP="007902FA">
            <w:pPr>
              <w:pStyle w:val="Text"/>
              <w:numPr>
                <w:ilvl w:val="0"/>
                <w:numId w:val="39"/>
              </w:numPr>
              <w:spacing w:before="0" w:after="0" w:line="276" w:lineRule="auto"/>
              <w:rPr>
                <w:b w:val="0"/>
                <w:bCs/>
                <w:color w:val="auto"/>
              </w:rPr>
            </w:pPr>
            <w:r w:rsidRPr="007902FA">
              <w:rPr>
                <w:b w:val="0"/>
                <w:bCs/>
                <w:color w:val="auto"/>
              </w:rPr>
              <w:t>Activities to provide engagement and stimulation according to the individual’s preferences considering any potential risks</w:t>
            </w:r>
          </w:p>
          <w:p w14:paraId="5437569F" w14:textId="77777777" w:rsidR="00DD7DA1" w:rsidRPr="007902FA" w:rsidRDefault="00DD7DA1" w:rsidP="007902FA">
            <w:pPr>
              <w:pStyle w:val="Text"/>
              <w:numPr>
                <w:ilvl w:val="0"/>
                <w:numId w:val="39"/>
              </w:numPr>
              <w:spacing w:before="0" w:after="0" w:line="276" w:lineRule="auto"/>
              <w:rPr>
                <w:b w:val="0"/>
                <w:bCs/>
                <w:color w:val="auto"/>
              </w:rPr>
            </w:pPr>
            <w:r w:rsidRPr="007902FA">
              <w:rPr>
                <w:b w:val="0"/>
                <w:bCs/>
                <w:color w:val="auto"/>
              </w:rPr>
              <w:t xml:space="preserve">Delegated responsibility to change observation levels and under what circumstances </w:t>
            </w:r>
          </w:p>
          <w:p w14:paraId="6A02FD6E" w14:textId="694DC573" w:rsidR="00DD7DA1" w:rsidRPr="007902FA" w:rsidRDefault="00DD7DA1" w:rsidP="007902FA">
            <w:pPr>
              <w:pStyle w:val="Text"/>
              <w:spacing w:line="276" w:lineRule="auto"/>
              <w:rPr>
                <w:b w:val="0"/>
                <w:bCs/>
                <w:color w:val="auto"/>
              </w:rPr>
            </w:pPr>
            <w:r w:rsidRPr="007902FA">
              <w:rPr>
                <w:b w:val="0"/>
                <w:bCs/>
                <w:color w:val="auto"/>
              </w:rPr>
              <w:t xml:space="preserve">Which team members should support the observation based on skills, </w:t>
            </w:r>
            <w:r w:rsidR="003B0196" w:rsidRPr="007902FA">
              <w:rPr>
                <w:b w:val="0"/>
                <w:bCs/>
                <w:color w:val="auto"/>
              </w:rPr>
              <w:t>competency,</w:t>
            </w:r>
            <w:r w:rsidRPr="007902FA">
              <w:rPr>
                <w:b w:val="0"/>
                <w:bCs/>
                <w:color w:val="auto"/>
              </w:rPr>
              <w:t xml:space="preserve"> and gender preferences of the individual </w:t>
            </w:r>
          </w:p>
          <w:p w14:paraId="5CA41429" w14:textId="639A8388" w:rsidR="00DD7DA1" w:rsidRPr="007902FA" w:rsidRDefault="00DD7DA1" w:rsidP="007902FA">
            <w:pPr>
              <w:pStyle w:val="Text"/>
              <w:spacing w:line="276" w:lineRule="auto"/>
              <w:rPr>
                <w:b w:val="0"/>
                <w:bCs/>
                <w:color w:val="auto"/>
              </w:rPr>
            </w:pPr>
            <w:r w:rsidRPr="007902FA">
              <w:rPr>
                <w:b w:val="0"/>
                <w:bCs/>
                <w:color w:val="auto"/>
              </w:rPr>
              <w:t xml:space="preserve">Frequency of review i.e., every 24hrs and by whom </w:t>
            </w:r>
          </w:p>
        </w:tc>
      </w:tr>
    </w:tbl>
    <w:p w14:paraId="015E7F29" w14:textId="77777777" w:rsidR="00641DEE" w:rsidRPr="00CB339C" w:rsidRDefault="00641DEE" w:rsidP="00CB339C"/>
    <w:p w14:paraId="29A5955B" w14:textId="77777777" w:rsidR="00DE0123" w:rsidRDefault="00DE0123" w:rsidP="00DE0123">
      <w:pPr>
        <w:pStyle w:val="Heading1Numbered"/>
      </w:pPr>
      <w:bookmarkStart w:id="12" w:name="_Toc177130273"/>
      <w:r>
        <w:t xml:space="preserve">Behaviour Support - </w:t>
      </w:r>
      <w:r w:rsidR="000C7997" w:rsidRPr="000C7997">
        <w:t>Sta</w:t>
      </w:r>
      <w:r w:rsidR="000C7997" w:rsidRPr="00DC7F16">
        <w:t>ndard Operating Procedures (SOP)</w:t>
      </w:r>
      <w:bookmarkEnd w:id="12"/>
      <w:r w:rsidR="000C7997">
        <w:t xml:space="preserve"> </w:t>
      </w:r>
    </w:p>
    <w:p w14:paraId="03EABFEE" w14:textId="46042FAB" w:rsidR="00A629A0" w:rsidRDefault="00A629A0" w:rsidP="00DE0123">
      <w:pPr>
        <w:pStyle w:val="Text"/>
      </w:pPr>
      <w:r w:rsidRPr="000C6C0F">
        <w:t>The following shows what information should be gathered in relation to behaviour before the person moves into an MHA care home or scheme and the ongoing monitoring and support required once the individual is in the home or scheme.</w:t>
      </w:r>
    </w:p>
    <w:p w14:paraId="49D20287" w14:textId="6763359E" w:rsidR="00A629A0" w:rsidRDefault="00A629A0" w:rsidP="00ED1C9E">
      <w:pPr>
        <w:pStyle w:val="Text1Numbered"/>
        <w:outlineLvl w:val="1"/>
      </w:pPr>
      <w:r>
        <w:t>Before a person moves to an MHA service or Scheme</w:t>
      </w:r>
    </w:p>
    <w:tbl>
      <w:tblPr>
        <w:tblStyle w:val="TableGrid"/>
        <w:tblW w:w="9498" w:type="dxa"/>
        <w:tblInd w:w="-5" w:type="dxa"/>
        <w:tblLook w:val="04A0" w:firstRow="1" w:lastRow="0" w:firstColumn="1" w:lastColumn="0" w:noHBand="0" w:noVBand="1"/>
      </w:tblPr>
      <w:tblGrid>
        <w:gridCol w:w="9498"/>
      </w:tblGrid>
      <w:tr w:rsidR="00A629A0" w:rsidRPr="00A629A0" w14:paraId="7142C59B" w14:textId="77777777" w:rsidTr="00F14FE3">
        <w:trPr>
          <w:trHeight w:val="416"/>
        </w:trPr>
        <w:tc>
          <w:tcPr>
            <w:tcW w:w="9498" w:type="dxa"/>
            <w:shd w:val="clear" w:color="auto" w:fill="217593"/>
          </w:tcPr>
          <w:p w14:paraId="11D9F2C2" w14:textId="3DE25719" w:rsidR="00A629A0" w:rsidRPr="00A629A0" w:rsidRDefault="00A629A0" w:rsidP="007D7E50">
            <w:pPr>
              <w:rPr>
                <w:b/>
                <w:bCs/>
                <w:color w:val="FFFFFF" w:themeColor="background1"/>
              </w:rPr>
            </w:pPr>
            <w:bookmarkStart w:id="13" w:name="_Toc129617489"/>
            <w:r w:rsidRPr="00A629A0">
              <w:rPr>
                <w:b/>
                <w:bCs/>
                <w:color w:val="FFFFFF" w:themeColor="background1"/>
              </w:rPr>
              <w:t xml:space="preserve">Before a person moves into an MHA scheme or </w:t>
            </w:r>
            <w:r>
              <w:rPr>
                <w:b/>
                <w:bCs/>
                <w:color w:val="FFFFFF" w:themeColor="background1"/>
              </w:rPr>
              <w:t>C</w:t>
            </w:r>
            <w:r w:rsidRPr="00A629A0">
              <w:rPr>
                <w:b/>
                <w:bCs/>
                <w:color w:val="FFFFFF" w:themeColor="background1"/>
              </w:rPr>
              <w:t xml:space="preserve">are </w:t>
            </w:r>
            <w:r>
              <w:rPr>
                <w:b/>
                <w:bCs/>
                <w:color w:val="FFFFFF" w:themeColor="background1"/>
              </w:rPr>
              <w:t>H</w:t>
            </w:r>
            <w:r w:rsidRPr="00A629A0">
              <w:rPr>
                <w:b/>
                <w:bCs/>
                <w:color w:val="FFFFFF" w:themeColor="background1"/>
              </w:rPr>
              <w:t>ome</w:t>
            </w:r>
            <w:bookmarkEnd w:id="13"/>
          </w:p>
        </w:tc>
      </w:tr>
      <w:tr w:rsidR="00A629A0" w:rsidRPr="000C6C0F" w14:paraId="4BCD622E" w14:textId="77777777" w:rsidTr="00A629A0">
        <w:tc>
          <w:tcPr>
            <w:tcW w:w="9498" w:type="dxa"/>
          </w:tcPr>
          <w:p w14:paraId="7F45E716" w14:textId="77777777" w:rsidR="00A629A0" w:rsidRDefault="00A629A0" w:rsidP="007902FA">
            <w:pPr>
              <w:spacing w:line="276" w:lineRule="auto"/>
            </w:pPr>
            <w:r w:rsidRPr="000C6C0F">
              <w:rPr>
                <w:b/>
                <w:bCs/>
              </w:rPr>
              <w:t>Initial assessment.</w:t>
            </w:r>
            <w:r w:rsidRPr="000C6C0F">
              <w:t xml:space="preserve"> </w:t>
            </w:r>
          </w:p>
          <w:p w14:paraId="29A3AFF0" w14:textId="2F342A42" w:rsidR="00A629A0" w:rsidRPr="007902FA" w:rsidRDefault="00A629A0" w:rsidP="007902FA">
            <w:pPr>
              <w:spacing w:line="276" w:lineRule="auto"/>
              <w:rPr>
                <w:sz w:val="22"/>
                <w:szCs w:val="22"/>
              </w:rPr>
            </w:pPr>
            <w:r w:rsidRPr="007902FA">
              <w:rPr>
                <w:sz w:val="22"/>
                <w:szCs w:val="22"/>
              </w:rPr>
              <w:t xml:space="preserve">Consult with person and significant others to identify the person’s usual behaviour. Identify how a person might behave if they become distressed. </w:t>
            </w:r>
          </w:p>
          <w:p w14:paraId="07A161EF" w14:textId="674A1FC4" w:rsidR="00A629A0" w:rsidRPr="007902FA" w:rsidRDefault="00A629A0" w:rsidP="007902FA">
            <w:pPr>
              <w:spacing w:line="276" w:lineRule="auto"/>
              <w:rPr>
                <w:sz w:val="22"/>
                <w:szCs w:val="22"/>
              </w:rPr>
            </w:pPr>
            <w:r w:rsidRPr="007902FA">
              <w:rPr>
                <w:sz w:val="22"/>
                <w:szCs w:val="22"/>
              </w:rPr>
              <w:t xml:space="preserve">If the person has limited verbal communication, consider using the </w:t>
            </w:r>
            <w:proofErr w:type="spellStart"/>
            <w:r w:rsidRPr="007902FA">
              <w:rPr>
                <w:sz w:val="22"/>
                <w:szCs w:val="22"/>
              </w:rPr>
              <w:t>DisDAT</w:t>
            </w:r>
            <w:proofErr w:type="spellEnd"/>
            <w:r w:rsidRPr="007902FA">
              <w:rPr>
                <w:sz w:val="22"/>
                <w:szCs w:val="22"/>
              </w:rPr>
              <w:t xml:space="preserve"> tool to help identify how a person show signs of distress. </w:t>
            </w:r>
          </w:p>
          <w:p w14:paraId="5536B5D6" w14:textId="77777777" w:rsidR="00A629A0" w:rsidRPr="007902FA" w:rsidRDefault="00A629A0" w:rsidP="007902FA">
            <w:pPr>
              <w:spacing w:line="276" w:lineRule="auto"/>
              <w:rPr>
                <w:sz w:val="22"/>
                <w:szCs w:val="22"/>
              </w:rPr>
            </w:pPr>
            <w:r w:rsidRPr="007902FA">
              <w:rPr>
                <w:sz w:val="22"/>
                <w:szCs w:val="22"/>
              </w:rPr>
              <w:t xml:space="preserve">Are there any known causes of behaviour? </w:t>
            </w:r>
          </w:p>
          <w:p w14:paraId="2EEAAC6F" w14:textId="77777777" w:rsidR="00A629A0" w:rsidRPr="007902FA" w:rsidRDefault="00A629A0" w:rsidP="007902FA">
            <w:pPr>
              <w:spacing w:line="276" w:lineRule="auto"/>
              <w:rPr>
                <w:sz w:val="22"/>
                <w:szCs w:val="22"/>
              </w:rPr>
            </w:pPr>
            <w:r w:rsidRPr="007902FA">
              <w:rPr>
                <w:sz w:val="22"/>
                <w:szCs w:val="22"/>
              </w:rPr>
              <w:t>Are there any strategies that the family / friends use to reduce or remove the triggers?</w:t>
            </w:r>
          </w:p>
          <w:p w14:paraId="3643065E" w14:textId="77777777" w:rsidR="00A629A0" w:rsidRPr="007902FA" w:rsidRDefault="00A629A0" w:rsidP="007902FA">
            <w:pPr>
              <w:spacing w:line="276" w:lineRule="auto"/>
              <w:rPr>
                <w:sz w:val="22"/>
                <w:szCs w:val="22"/>
              </w:rPr>
            </w:pPr>
            <w:r w:rsidRPr="007902FA">
              <w:rPr>
                <w:b/>
                <w:bCs/>
                <w:sz w:val="22"/>
                <w:szCs w:val="22"/>
              </w:rPr>
              <w:t>About Me:</w:t>
            </w:r>
            <w:r w:rsidRPr="007902FA">
              <w:rPr>
                <w:sz w:val="22"/>
                <w:szCs w:val="22"/>
              </w:rPr>
              <w:t xml:space="preserve"> </w:t>
            </w:r>
          </w:p>
          <w:p w14:paraId="7BE5E20E" w14:textId="77777777" w:rsidR="00A629A0" w:rsidRPr="007902FA" w:rsidRDefault="00A629A0" w:rsidP="007902FA">
            <w:pPr>
              <w:spacing w:line="276" w:lineRule="auto"/>
              <w:rPr>
                <w:sz w:val="22"/>
                <w:szCs w:val="22"/>
              </w:rPr>
            </w:pPr>
            <w:r w:rsidRPr="007902FA">
              <w:rPr>
                <w:sz w:val="22"/>
                <w:szCs w:val="22"/>
              </w:rPr>
              <w:t xml:space="preserve">Seek out any other information that may help to understand behaviours and build a relationship with the person and their families / friends. </w:t>
            </w:r>
          </w:p>
          <w:p w14:paraId="3D1E3B15" w14:textId="77777777" w:rsidR="00A629A0" w:rsidRPr="000C6C0F" w:rsidRDefault="00A629A0" w:rsidP="007902FA">
            <w:pPr>
              <w:spacing w:line="276" w:lineRule="auto"/>
            </w:pPr>
            <w:r w:rsidRPr="007902FA">
              <w:rPr>
                <w:b/>
                <w:bCs/>
                <w:sz w:val="22"/>
                <w:szCs w:val="22"/>
              </w:rPr>
              <w:t>Decide.</w:t>
            </w:r>
            <w:r w:rsidRPr="007902FA">
              <w:rPr>
                <w:sz w:val="22"/>
                <w:szCs w:val="22"/>
              </w:rPr>
              <w:t xml:space="preserve"> Can MHA meet the person’s needs? </w:t>
            </w:r>
          </w:p>
        </w:tc>
      </w:tr>
    </w:tbl>
    <w:p w14:paraId="504E3F78" w14:textId="77777777" w:rsidR="00685E2F" w:rsidRDefault="00685E2F" w:rsidP="007902FA">
      <w:pPr>
        <w:pStyle w:val="Text"/>
        <w:spacing w:after="0"/>
      </w:pPr>
    </w:p>
    <w:p w14:paraId="5E1947E7" w14:textId="56E0D620" w:rsidR="00A629A0" w:rsidRDefault="00ED1C9E" w:rsidP="00ED1C9E">
      <w:pPr>
        <w:pStyle w:val="Text1Numbered"/>
        <w:outlineLvl w:val="1"/>
      </w:pPr>
      <w:r>
        <w:t xml:space="preserve">Shortly after a person has moved in </w:t>
      </w:r>
    </w:p>
    <w:tbl>
      <w:tblPr>
        <w:tblStyle w:val="TableGrid"/>
        <w:tblW w:w="9498" w:type="dxa"/>
        <w:tblInd w:w="-5" w:type="dxa"/>
        <w:tblLook w:val="04A0" w:firstRow="1" w:lastRow="0" w:firstColumn="1" w:lastColumn="0" w:noHBand="0" w:noVBand="1"/>
      </w:tblPr>
      <w:tblGrid>
        <w:gridCol w:w="9498"/>
      </w:tblGrid>
      <w:tr w:rsidR="00ED1C9E" w:rsidRPr="000C6C0F" w14:paraId="7C45DFA8" w14:textId="77777777" w:rsidTr="00F14FE3">
        <w:trPr>
          <w:trHeight w:val="416"/>
        </w:trPr>
        <w:tc>
          <w:tcPr>
            <w:tcW w:w="9498" w:type="dxa"/>
            <w:shd w:val="clear" w:color="auto" w:fill="217593"/>
          </w:tcPr>
          <w:p w14:paraId="707CBC04" w14:textId="0136A63B" w:rsidR="00ED1C9E" w:rsidRPr="00ED1C9E" w:rsidRDefault="00ED1C9E" w:rsidP="007D7E50">
            <w:pPr>
              <w:rPr>
                <w:b/>
                <w:bCs/>
                <w:color w:val="FFFFFF" w:themeColor="background1"/>
              </w:rPr>
            </w:pPr>
            <w:bookmarkStart w:id="14" w:name="_Toc129617490"/>
            <w:r w:rsidRPr="00ED1C9E">
              <w:rPr>
                <w:b/>
                <w:bCs/>
                <w:color w:val="FFFFFF" w:themeColor="background1"/>
              </w:rPr>
              <w:t>Shortly after a person has moved into a</w:t>
            </w:r>
            <w:r>
              <w:rPr>
                <w:b/>
                <w:bCs/>
                <w:color w:val="FFFFFF" w:themeColor="background1"/>
              </w:rPr>
              <w:t>n MHA</w:t>
            </w:r>
            <w:r w:rsidRPr="00ED1C9E">
              <w:rPr>
                <w:b/>
                <w:bCs/>
                <w:color w:val="FFFFFF" w:themeColor="background1"/>
              </w:rPr>
              <w:t xml:space="preserve"> </w:t>
            </w:r>
            <w:r>
              <w:rPr>
                <w:b/>
                <w:bCs/>
                <w:color w:val="FFFFFF" w:themeColor="background1"/>
              </w:rPr>
              <w:t>H</w:t>
            </w:r>
            <w:r w:rsidRPr="00ED1C9E">
              <w:rPr>
                <w:b/>
                <w:bCs/>
                <w:color w:val="FFFFFF" w:themeColor="background1"/>
              </w:rPr>
              <w:t xml:space="preserve">ome or </w:t>
            </w:r>
            <w:r>
              <w:rPr>
                <w:b/>
                <w:bCs/>
                <w:color w:val="FFFFFF" w:themeColor="background1"/>
              </w:rPr>
              <w:t>S</w:t>
            </w:r>
            <w:r w:rsidRPr="00ED1C9E">
              <w:rPr>
                <w:b/>
                <w:bCs/>
                <w:color w:val="FFFFFF" w:themeColor="background1"/>
              </w:rPr>
              <w:t>cheme.</w:t>
            </w:r>
            <w:bookmarkEnd w:id="14"/>
            <w:r w:rsidRPr="00ED1C9E">
              <w:rPr>
                <w:b/>
                <w:bCs/>
                <w:color w:val="FFFFFF" w:themeColor="background1"/>
              </w:rPr>
              <w:t xml:space="preserve"> </w:t>
            </w:r>
          </w:p>
        </w:tc>
      </w:tr>
      <w:tr w:rsidR="00ED1C9E" w:rsidRPr="000C6C0F" w14:paraId="16663F4B" w14:textId="77777777" w:rsidTr="00ED1C9E">
        <w:tc>
          <w:tcPr>
            <w:tcW w:w="9498" w:type="dxa"/>
          </w:tcPr>
          <w:p w14:paraId="1FA23A20" w14:textId="77777777" w:rsidR="00ED1C9E" w:rsidRPr="000C6C0F" w:rsidRDefault="00ED1C9E" w:rsidP="007D7E50">
            <w:r w:rsidRPr="000C6C0F">
              <w:t>Has the person’s behaviour changed since moving in?</w:t>
            </w:r>
          </w:p>
          <w:p w14:paraId="2D9CAE79" w14:textId="77777777" w:rsidR="00ED1C9E" w:rsidRPr="000C6C0F" w:rsidRDefault="00ED1C9E" w:rsidP="007D7E50">
            <w:r w:rsidRPr="000C6C0F">
              <w:t>Consider if the person is showing signs of distress?</w:t>
            </w:r>
          </w:p>
          <w:p w14:paraId="6EDE316B" w14:textId="77777777" w:rsidR="00ED1C9E" w:rsidRPr="000C6C0F" w:rsidRDefault="00ED1C9E" w:rsidP="007D7E50">
            <w:r w:rsidRPr="000C6C0F">
              <w:t xml:space="preserve">Are these related to the move? </w:t>
            </w:r>
          </w:p>
          <w:p w14:paraId="5D1AD16D" w14:textId="77777777" w:rsidR="00ED1C9E" w:rsidRPr="000C6C0F" w:rsidRDefault="00ED1C9E" w:rsidP="007D7E50">
            <w:r w:rsidRPr="000C6C0F">
              <w:t xml:space="preserve">Continue to gather information about the person to inform support. </w:t>
            </w:r>
          </w:p>
          <w:p w14:paraId="68E130AA" w14:textId="77777777" w:rsidR="00ED1C9E" w:rsidRPr="000C6C0F" w:rsidRDefault="00ED1C9E" w:rsidP="007D7E50">
            <w:r w:rsidRPr="000C6C0F">
              <w:t xml:space="preserve">Examine what tools / assessments are available to help identify causes of distress? </w:t>
            </w:r>
          </w:p>
          <w:p w14:paraId="2214E372" w14:textId="77777777" w:rsidR="00ED1C9E" w:rsidRPr="000C6C0F" w:rsidRDefault="00ED1C9E" w:rsidP="007D7E50">
            <w:r w:rsidRPr="000C6C0F">
              <w:t xml:space="preserve">Identify if the positive behaviour support process needs to be put in place. </w:t>
            </w:r>
          </w:p>
        </w:tc>
      </w:tr>
    </w:tbl>
    <w:p w14:paraId="3AC4CFA0" w14:textId="77777777" w:rsidR="00DE0123" w:rsidRPr="000C6C0F" w:rsidRDefault="00DE0123" w:rsidP="00ED1C9E">
      <w:pPr>
        <w:pStyle w:val="Text1Numbered"/>
        <w:numPr>
          <w:ilvl w:val="0"/>
          <w:numId w:val="0"/>
        </w:numPr>
        <w:ind w:left="1135"/>
      </w:pPr>
    </w:p>
    <w:p w14:paraId="6EC5107D" w14:textId="4B2943CA" w:rsidR="00DE0123" w:rsidRDefault="00DE0123" w:rsidP="00F14FE3">
      <w:pPr>
        <w:pStyle w:val="Heading2Numbered"/>
      </w:pPr>
      <w:bookmarkStart w:id="15" w:name="_Toc177130274"/>
      <w:r>
        <w:t>Five Key Steps to Behaviour Support</w:t>
      </w:r>
      <w:bookmarkEnd w:id="15"/>
      <w:r>
        <w:t xml:space="preserve"> </w:t>
      </w:r>
    </w:p>
    <w:p w14:paraId="594E4DA3" w14:textId="0B237FF6" w:rsidR="00ED1C9E" w:rsidRPr="00ED1C9E" w:rsidRDefault="00ED1C9E" w:rsidP="00ED1C9E">
      <w:pPr>
        <w:rPr>
          <w:lang w:val="en"/>
        </w:rPr>
      </w:pPr>
      <w:r w:rsidRPr="000C6C0F">
        <w:t xml:space="preserve">Five key steps can be followed to provide behaviour support. These steps are shown in the diagram below.  </w:t>
      </w:r>
      <w:r w:rsidRPr="000C6C0F">
        <w:rPr>
          <w:lang w:val="en"/>
        </w:rPr>
        <w:t xml:space="preserve">The </w:t>
      </w:r>
      <w:r w:rsidR="00DE0123">
        <w:rPr>
          <w:lang w:val="en"/>
        </w:rPr>
        <w:t xml:space="preserve">Five </w:t>
      </w:r>
      <w:r w:rsidRPr="000C6C0F">
        <w:rPr>
          <w:lang w:val="en"/>
        </w:rPr>
        <w:t xml:space="preserve">Steps are referenced in more detail in the following sections. </w:t>
      </w:r>
    </w:p>
    <w:p w14:paraId="3E331C50" w14:textId="286A3ABD" w:rsidR="00A629A0" w:rsidRDefault="00ED1C9E" w:rsidP="00A629A0">
      <w:r w:rsidRPr="000C6C0F">
        <w:rPr>
          <w:noProof/>
          <w:lang w:val="en"/>
        </w:rPr>
        <w:drawing>
          <wp:inline distT="0" distB="0" distL="0" distR="0" wp14:anchorId="0E5C33A3" wp14:editId="3A56896B">
            <wp:extent cx="5478780" cy="4046220"/>
            <wp:effectExtent l="0" t="0" r="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64AA65D" w14:textId="77777777" w:rsidR="00ED1C9E" w:rsidRDefault="00ED1C9E" w:rsidP="00A629A0"/>
    <w:p w14:paraId="0FF9E7E9" w14:textId="77777777" w:rsidR="00685E2F" w:rsidRDefault="00685E2F" w:rsidP="00A629A0"/>
    <w:p w14:paraId="3BB3209C" w14:textId="77777777" w:rsidR="00685E2F" w:rsidRPr="00A629A0" w:rsidRDefault="00685E2F" w:rsidP="00A629A0"/>
    <w:p w14:paraId="34933E13" w14:textId="27B9D5EE" w:rsidR="00DF67AA" w:rsidRDefault="00ED1C9E" w:rsidP="00F14FE3">
      <w:pPr>
        <w:pStyle w:val="Heading2Numbered"/>
      </w:pPr>
      <w:bookmarkStart w:id="16" w:name="_Toc177130275"/>
      <w:r>
        <w:t xml:space="preserve">Step </w:t>
      </w:r>
      <w:r w:rsidR="00DE0123">
        <w:t>O</w:t>
      </w:r>
      <w:r>
        <w:t>ne – Identify</w:t>
      </w:r>
      <w:bookmarkEnd w:id="16"/>
      <w:r>
        <w:t xml:space="preserve"> </w:t>
      </w:r>
    </w:p>
    <w:p w14:paraId="00EB1116" w14:textId="77777777" w:rsidR="00ED1C9E" w:rsidRPr="000C6C0F" w:rsidRDefault="00ED1C9E" w:rsidP="003B0196">
      <w:pPr>
        <w:pStyle w:val="Textlist-bullet"/>
      </w:pPr>
      <w:r w:rsidRPr="000C6C0F">
        <w:t xml:space="preserve">If a person’s behaviour is a sign of distress. </w:t>
      </w:r>
    </w:p>
    <w:p w14:paraId="347A81D7" w14:textId="09491C17" w:rsidR="00ED1C9E" w:rsidRDefault="00ED1C9E" w:rsidP="003B0196">
      <w:pPr>
        <w:pStyle w:val="Textlist-bullet"/>
      </w:pPr>
      <w:r w:rsidRPr="000C6C0F">
        <w:t>If any strategies are outlined in the person’s care plan.</w:t>
      </w:r>
    </w:p>
    <w:p w14:paraId="3D4A3316" w14:textId="2A723165" w:rsidR="003B0196" w:rsidRPr="00BD14E6" w:rsidRDefault="00BD14E6" w:rsidP="00BD14E6">
      <w:pPr>
        <w:pStyle w:val="Text"/>
        <w:rPr>
          <w:lang w:val="en"/>
        </w:rPr>
      </w:pPr>
      <w:r w:rsidRPr="00BD14E6">
        <w:rPr>
          <w:lang w:val="en"/>
        </w:rPr>
        <w:t>A risk assessment should be completed if there is any risk to themselves or others which will inform a separate support plan depending on the area of need i.e., health or mental health</w:t>
      </w:r>
      <w:r>
        <w:rPr>
          <w:lang w:val="en"/>
        </w:rPr>
        <w:t>.</w:t>
      </w:r>
    </w:p>
    <w:p w14:paraId="0D1E4723" w14:textId="77ECE470" w:rsidR="00ED1C9E" w:rsidRPr="000C6C0F" w:rsidRDefault="00ED1C9E" w:rsidP="00F14FE3">
      <w:pPr>
        <w:pStyle w:val="Heading2Numbered"/>
      </w:pPr>
      <w:bookmarkStart w:id="17" w:name="_Toc177130276"/>
      <w:r>
        <w:t xml:space="preserve">Step </w:t>
      </w:r>
      <w:r w:rsidR="00BD14E6">
        <w:t>Two</w:t>
      </w:r>
      <w:r>
        <w:t xml:space="preserve"> – Assess</w:t>
      </w:r>
      <w:bookmarkEnd w:id="17"/>
      <w:r>
        <w:t xml:space="preserve"> </w:t>
      </w:r>
    </w:p>
    <w:p w14:paraId="216CC6E6" w14:textId="79DDB140" w:rsidR="00BD14E6" w:rsidRPr="000C6C0F" w:rsidRDefault="00BD14E6" w:rsidP="00F14FE3">
      <w:pPr>
        <w:pStyle w:val="Text2Numbered"/>
      </w:pPr>
      <w:r w:rsidRPr="000C6C0F">
        <w:t xml:space="preserve">The second step of the behaviour support process focuses on </w:t>
      </w:r>
      <w:proofErr w:type="gramStart"/>
      <w:r w:rsidRPr="000C6C0F">
        <w:t>understanding  the</w:t>
      </w:r>
      <w:proofErr w:type="gramEnd"/>
      <w:r w:rsidRPr="000C6C0F">
        <w:t xml:space="preserve"> possible causes for the behaviour through assessment and observations. This can come through use of the ‘Behavioural Incident (Service User)’ record, or an ABC chart if you scheme does not have RADAR or uses Nourish. This needs to be completed if:</w:t>
      </w:r>
    </w:p>
    <w:p w14:paraId="6517332E" w14:textId="77777777" w:rsidR="00BD14E6" w:rsidRPr="00BD14E6" w:rsidRDefault="00BD14E6" w:rsidP="00F14FE3">
      <w:pPr>
        <w:pStyle w:val="Textlistindented-bullet"/>
      </w:pPr>
      <w:r w:rsidRPr="00BD14E6">
        <w:t xml:space="preserve">It is believed the behaviour witnessed is a sign of distress or other people are distressed by the behaviour. </w:t>
      </w:r>
    </w:p>
    <w:p w14:paraId="46134C71" w14:textId="53C3820D" w:rsidR="00BD14E6" w:rsidRPr="00BD14E6" w:rsidRDefault="00BD14E6" w:rsidP="00F14FE3">
      <w:pPr>
        <w:pStyle w:val="Textlistindented-bullet"/>
      </w:pPr>
      <w:r w:rsidRPr="00BD14E6">
        <w:t xml:space="preserve">If a person’s behaviour has changed i.e., it is not their usual behaviour. </w:t>
      </w:r>
    </w:p>
    <w:p w14:paraId="6D6877FE" w14:textId="77777777" w:rsidR="00BD14E6" w:rsidRPr="00BD14E6" w:rsidRDefault="00BD14E6" w:rsidP="00F14FE3">
      <w:pPr>
        <w:pStyle w:val="Textlistindented-bullet"/>
      </w:pPr>
      <w:r w:rsidRPr="00BD14E6">
        <w:t>If requested by an outside organisation (such as the community mental health team) for a period of assessment / monitoring (including timed intervals and sampling of behaviour)</w:t>
      </w:r>
    </w:p>
    <w:p w14:paraId="5BD04F85" w14:textId="12BC69C9" w:rsidR="00BD14E6" w:rsidRPr="00BD14E6" w:rsidRDefault="00BD14E6" w:rsidP="00F14FE3">
      <w:pPr>
        <w:pStyle w:val="Textlistindented-bullet"/>
      </w:pPr>
      <w:r w:rsidRPr="00BD14E6">
        <w:t xml:space="preserve">Each time a person shows the (distress) behaviour until enough information has been collected to identify person centred strategies to reduce the person’s distress.  </w:t>
      </w:r>
    </w:p>
    <w:p w14:paraId="2B07DA69" w14:textId="4F8907FD" w:rsidR="00BD14E6" w:rsidRDefault="00BD14E6" w:rsidP="00F14FE3">
      <w:pPr>
        <w:pStyle w:val="Text2Numbered"/>
      </w:pPr>
      <w:r w:rsidRPr="000C6C0F">
        <w:t xml:space="preserve">The more information you have gather the easier it will be to analyse and plan strategies. </w:t>
      </w:r>
    </w:p>
    <w:p w14:paraId="156B6AED" w14:textId="77777777" w:rsidR="00F14FE3" w:rsidRPr="000C6C0F" w:rsidRDefault="00F14FE3" w:rsidP="00F14FE3">
      <w:pPr>
        <w:pStyle w:val="Text2Numbered"/>
        <w:numPr>
          <w:ilvl w:val="0"/>
          <w:numId w:val="0"/>
        </w:numPr>
        <w:ind w:left="1135"/>
      </w:pPr>
    </w:p>
    <w:p w14:paraId="05E8D5A7" w14:textId="176BC626" w:rsidR="00685E2F" w:rsidRDefault="00BD14E6" w:rsidP="003B0196">
      <w:pPr>
        <w:pStyle w:val="Text2Numbered"/>
      </w:pPr>
      <w:r w:rsidRPr="000C6C0F">
        <w:t xml:space="preserve">Other assessment can occur to identify potential causes of distress. For example, the Abbey Pain scale can be used to see if the person’s distress is caused by </w:t>
      </w:r>
      <w:r w:rsidR="00A96980" w:rsidRPr="000C6C0F">
        <w:t>pain.</w:t>
      </w:r>
    </w:p>
    <w:p w14:paraId="3A656C30" w14:textId="5EE9130D" w:rsidR="00BD14E6" w:rsidRDefault="00BD14E6" w:rsidP="00F14FE3">
      <w:pPr>
        <w:pStyle w:val="Heading2Numbered"/>
      </w:pPr>
      <w:bookmarkStart w:id="18" w:name="_Toc177130277"/>
      <w:r>
        <w:t>Step Three – Analyse</w:t>
      </w:r>
      <w:bookmarkEnd w:id="18"/>
      <w:r>
        <w:t xml:space="preserve"> </w:t>
      </w:r>
    </w:p>
    <w:p w14:paraId="26D88837" w14:textId="04A92A2D" w:rsidR="00BD14E6" w:rsidRPr="000C6C0F" w:rsidRDefault="00BD14E6" w:rsidP="00F14FE3">
      <w:pPr>
        <w:pStyle w:val="Text2Numbered"/>
      </w:pPr>
      <w:r w:rsidRPr="000C6C0F">
        <w:t>Analyse the information gathered thinking about:</w:t>
      </w:r>
    </w:p>
    <w:p w14:paraId="5BEE5AF4" w14:textId="77777777" w:rsidR="00BD14E6" w:rsidRPr="000C6C0F" w:rsidRDefault="00BD14E6" w:rsidP="00F14FE3">
      <w:pPr>
        <w:pStyle w:val="Textlistindented-bullet"/>
      </w:pPr>
      <w:r w:rsidRPr="000C6C0F">
        <w:t>Does the person show signs of distress at similar times during the day?</w:t>
      </w:r>
    </w:p>
    <w:p w14:paraId="62242C96" w14:textId="77777777" w:rsidR="00BD14E6" w:rsidRPr="000C6C0F" w:rsidRDefault="00BD14E6" w:rsidP="00F14FE3">
      <w:pPr>
        <w:pStyle w:val="Textlistindented-bullet"/>
      </w:pPr>
      <w:r w:rsidRPr="000C6C0F">
        <w:t>What does this tell you?</w:t>
      </w:r>
    </w:p>
    <w:p w14:paraId="20CF708D" w14:textId="77777777" w:rsidR="00BD14E6" w:rsidRPr="000C6C0F" w:rsidRDefault="00BD14E6" w:rsidP="00F14FE3">
      <w:pPr>
        <w:pStyle w:val="Textlistindented-bullet"/>
      </w:pPr>
      <w:r w:rsidRPr="000C6C0F">
        <w:t>What are the main triggers?</w:t>
      </w:r>
    </w:p>
    <w:p w14:paraId="511DA6F1" w14:textId="77777777" w:rsidR="00BD14E6" w:rsidRPr="000C6C0F" w:rsidRDefault="00BD14E6" w:rsidP="00F14FE3">
      <w:pPr>
        <w:pStyle w:val="Textlistindented-bullet"/>
      </w:pPr>
      <w:r w:rsidRPr="000C6C0F">
        <w:t>What changes could you make to the environment or team approach?</w:t>
      </w:r>
    </w:p>
    <w:p w14:paraId="4F9DDD8B" w14:textId="361B2C3B" w:rsidR="003B0196" w:rsidRPr="000C6C0F" w:rsidRDefault="00BD14E6" w:rsidP="00F14FE3">
      <w:pPr>
        <w:pStyle w:val="Textlistindented-bullet"/>
      </w:pPr>
      <w:r w:rsidRPr="000C6C0F">
        <w:t xml:space="preserve">Is additional support needed such as the community mental health team or from the person’s GP?  </w:t>
      </w:r>
    </w:p>
    <w:p w14:paraId="2D4321A6" w14:textId="7A3DB1E3" w:rsidR="00BD14E6" w:rsidRDefault="00BD14E6" w:rsidP="00F14FE3">
      <w:pPr>
        <w:pStyle w:val="Heading2Numbered"/>
      </w:pPr>
      <w:bookmarkStart w:id="19" w:name="_Toc177130278"/>
      <w:r>
        <w:t xml:space="preserve">Step Four – Plan How to Support the </w:t>
      </w:r>
      <w:r w:rsidR="00DE0123">
        <w:t>P</w:t>
      </w:r>
      <w:r>
        <w:t>erson</w:t>
      </w:r>
      <w:bookmarkEnd w:id="19"/>
      <w:r>
        <w:t xml:space="preserve"> </w:t>
      </w:r>
    </w:p>
    <w:p w14:paraId="2C82E940" w14:textId="5D72CCA3" w:rsidR="00BD14E6" w:rsidRPr="000C6C0F" w:rsidRDefault="00BD14E6" w:rsidP="00F14FE3">
      <w:pPr>
        <w:pStyle w:val="Text2Numbered"/>
      </w:pPr>
      <w:r w:rsidRPr="000C6C0F">
        <w:t>The next step is planning proactive strategies to help prevent or reduce the person’s distress behaviour.  These strategies can include de-escalation techniques, prevention, or reduction of triggers. This information needs to be recorded in SP7</w:t>
      </w:r>
      <w:r w:rsidR="00685E2F">
        <w:t xml:space="preserve"> (mental health)</w:t>
      </w:r>
      <w:r w:rsidRPr="000C6C0F">
        <w:t xml:space="preserve"> </w:t>
      </w:r>
      <w:r w:rsidR="00685E2F">
        <w:t>and SP1 (capacity and communication) to establish how a person communicates distress. I</w:t>
      </w:r>
      <w:r w:rsidRPr="000C6C0F">
        <w:t>t may be decided that a person needs a Behavioural Support Plan (B</w:t>
      </w:r>
      <w:r w:rsidR="00800F6D">
        <w:t>SP</w:t>
      </w:r>
      <w:r w:rsidRPr="000C6C0F">
        <w:t xml:space="preserve">). </w:t>
      </w:r>
      <w:r w:rsidR="00800F6D">
        <w:t xml:space="preserve">A BSP </w:t>
      </w:r>
      <w:r w:rsidRPr="000C6C0F">
        <w:t>should be completed if:</w:t>
      </w:r>
    </w:p>
    <w:p w14:paraId="353B0EAC" w14:textId="77777777" w:rsidR="00BD14E6" w:rsidRPr="000C6C0F" w:rsidRDefault="00BD14E6" w:rsidP="00F14FE3">
      <w:pPr>
        <w:pStyle w:val="Textlistindented-bullet"/>
      </w:pPr>
      <w:r w:rsidRPr="000C6C0F">
        <w:t>The person is behaving in a way that indicates severe distress for them or others.</w:t>
      </w:r>
    </w:p>
    <w:p w14:paraId="35AEAED5" w14:textId="77777777" w:rsidR="00BD14E6" w:rsidRPr="000C6C0F" w:rsidRDefault="00BD14E6" w:rsidP="00F14FE3">
      <w:pPr>
        <w:pStyle w:val="Textlistindented-bullet"/>
      </w:pPr>
      <w:r w:rsidRPr="000C6C0F">
        <w:t xml:space="preserve">Current strategies described in a person’s support plan are not reducing the distress. </w:t>
      </w:r>
    </w:p>
    <w:p w14:paraId="0975ECC3" w14:textId="77777777" w:rsidR="00BD14E6" w:rsidRPr="000C6C0F" w:rsidRDefault="00BD14E6" w:rsidP="00F14FE3">
      <w:pPr>
        <w:pStyle w:val="Textlistindented-bullet"/>
      </w:pPr>
      <w:r w:rsidRPr="000C6C0F">
        <w:t xml:space="preserve">There is a clear and immediate risk of harm linked to the distress behaviour(s). </w:t>
      </w:r>
    </w:p>
    <w:p w14:paraId="0C089DFB" w14:textId="77777777" w:rsidR="00BD14E6" w:rsidRPr="000C6C0F" w:rsidRDefault="00BD14E6" w:rsidP="00F14FE3">
      <w:pPr>
        <w:pStyle w:val="Textlistindented-bullet"/>
      </w:pPr>
      <w:r w:rsidRPr="000C6C0F">
        <w:t xml:space="preserve">Restrictive practices may have to be put in place to keep the person or others safe. </w:t>
      </w:r>
    </w:p>
    <w:p w14:paraId="090FE7D8" w14:textId="1BA51D5C" w:rsidR="00BD14E6" w:rsidRDefault="00BD14E6" w:rsidP="00F14FE3">
      <w:pPr>
        <w:pStyle w:val="Heading2Numbered"/>
      </w:pPr>
      <w:bookmarkStart w:id="20" w:name="_Toc177130279"/>
      <w:r>
        <w:t>Step Five – review</w:t>
      </w:r>
      <w:bookmarkEnd w:id="20"/>
      <w:r>
        <w:t xml:space="preserve"> </w:t>
      </w:r>
    </w:p>
    <w:p w14:paraId="635718AD" w14:textId="7AAC1FFC" w:rsidR="007902FA" w:rsidRPr="00DF67AA" w:rsidRDefault="00BD14E6" w:rsidP="00641DEE">
      <w:pPr>
        <w:pStyle w:val="Text2Numbered"/>
      </w:pPr>
      <w:r w:rsidRPr="000C6C0F">
        <w:t xml:space="preserve">It is necessary to monitor and review how the process is working on a regular basis. Returning to step 1 will help with this analysis. The strategies will need to be examined and updated if they are no longer reducing distress. </w:t>
      </w:r>
    </w:p>
    <w:p w14:paraId="7F52093B" w14:textId="78385FB3" w:rsidR="00A92CD7" w:rsidRPr="004C3545" w:rsidRDefault="009A0ED4" w:rsidP="00914FC1">
      <w:pPr>
        <w:pStyle w:val="Heading1Numbered"/>
      </w:pPr>
      <w:bookmarkStart w:id="21" w:name="_Toc177130280"/>
      <w:r w:rsidRPr="004C3545">
        <w:t xml:space="preserve">Roles </w:t>
      </w:r>
      <w:r w:rsidR="001310BB">
        <w:t>and</w:t>
      </w:r>
      <w:r w:rsidRPr="004C3545">
        <w:t xml:space="preserve"> Responsibilities</w:t>
      </w:r>
      <w:bookmarkEnd w:id="21"/>
    </w:p>
    <w:tbl>
      <w:tblPr>
        <w:tblStyle w:val="MHATable"/>
        <w:tblW w:w="0" w:type="auto"/>
        <w:tblLook w:val="04A0" w:firstRow="1" w:lastRow="0" w:firstColumn="1" w:lastColumn="0" w:noHBand="0" w:noVBand="1"/>
      </w:tblPr>
      <w:tblGrid>
        <w:gridCol w:w="1980"/>
        <w:gridCol w:w="7036"/>
      </w:tblGrid>
      <w:tr w:rsidR="00A92CD7" w:rsidRPr="004C3545" w14:paraId="4A703FBA" w14:textId="77777777" w:rsidTr="00F14FE3">
        <w:trPr>
          <w:cnfStyle w:val="100000000000" w:firstRow="1" w:lastRow="0" w:firstColumn="0" w:lastColumn="0" w:oddVBand="0" w:evenVBand="0" w:oddHBand="0" w:evenHBand="0" w:firstRowFirstColumn="0" w:firstRowLastColumn="0" w:lastRowFirstColumn="0" w:lastRowLastColumn="0"/>
          <w:tblHeader/>
        </w:trPr>
        <w:tc>
          <w:tcPr>
            <w:tcW w:w="1980" w:type="dxa"/>
            <w:shd w:val="clear" w:color="auto" w:fill="217593"/>
          </w:tcPr>
          <w:p w14:paraId="09391CA4" w14:textId="77777777" w:rsidR="00A92CD7" w:rsidRPr="004C3545" w:rsidRDefault="00A92CD7" w:rsidP="002D47FD">
            <w:r w:rsidRPr="004C3545">
              <w:t>Role</w:t>
            </w:r>
          </w:p>
        </w:tc>
        <w:tc>
          <w:tcPr>
            <w:tcW w:w="7036" w:type="dxa"/>
            <w:shd w:val="clear" w:color="auto" w:fill="217593"/>
          </w:tcPr>
          <w:p w14:paraId="6F0C6AF6" w14:textId="77777777" w:rsidR="00A92CD7" w:rsidRPr="004C3545" w:rsidRDefault="00A92CD7" w:rsidP="002D47FD">
            <w:r w:rsidRPr="004C3545">
              <w:t>Responsibilities</w:t>
            </w:r>
          </w:p>
        </w:tc>
      </w:tr>
      <w:tr w:rsidR="00A92CD7" w:rsidRPr="004C3545" w14:paraId="0D59277B" w14:textId="77777777" w:rsidTr="00BD14E6">
        <w:tc>
          <w:tcPr>
            <w:tcW w:w="1980" w:type="dxa"/>
          </w:tcPr>
          <w:p w14:paraId="53AC54B7" w14:textId="589BDEF0" w:rsidR="00A92CD7" w:rsidRPr="00BD14E6" w:rsidRDefault="00BD14E6" w:rsidP="00BD14E6">
            <w:pPr>
              <w:rPr>
                <w:b/>
                <w:bCs/>
              </w:rPr>
            </w:pPr>
            <w:r w:rsidRPr="00BD14E6">
              <w:rPr>
                <w:b/>
                <w:bCs/>
              </w:rPr>
              <w:t>Organisation</w:t>
            </w:r>
          </w:p>
        </w:tc>
        <w:tc>
          <w:tcPr>
            <w:tcW w:w="7036" w:type="dxa"/>
          </w:tcPr>
          <w:p w14:paraId="3AC290B1" w14:textId="77777777" w:rsidR="00BD14E6" w:rsidRPr="000C6C0F" w:rsidRDefault="00BD14E6" w:rsidP="00BD14E6">
            <w:pPr>
              <w:pStyle w:val="Textlist-bullet"/>
              <w:numPr>
                <w:ilvl w:val="0"/>
                <w:numId w:val="0"/>
              </w:numPr>
              <w:ind w:left="357"/>
              <w:rPr>
                <w:lang w:val="en"/>
              </w:rPr>
            </w:pPr>
            <w:r w:rsidRPr="000C6C0F">
              <w:rPr>
                <w:lang w:val="en"/>
              </w:rPr>
              <w:t>As an organisation MHA have the responsibility to:</w:t>
            </w:r>
          </w:p>
          <w:p w14:paraId="5535AEA4" w14:textId="01EA00F3" w:rsidR="00BD14E6" w:rsidRPr="000C6C0F" w:rsidRDefault="00BD14E6" w:rsidP="00BD14E6">
            <w:pPr>
              <w:pStyle w:val="Textlist-bullet"/>
              <w:rPr>
                <w:lang w:val="en"/>
              </w:rPr>
            </w:pPr>
            <w:r w:rsidRPr="000C6C0F">
              <w:rPr>
                <w:lang w:val="en"/>
              </w:rPr>
              <w:t>The people we support who may express distress behaviour</w:t>
            </w:r>
            <w:r w:rsidR="00A96980">
              <w:rPr>
                <w:lang w:val="en"/>
              </w:rPr>
              <w:t xml:space="preserve"> to</w:t>
            </w:r>
            <w:r w:rsidRPr="000C6C0F">
              <w:rPr>
                <w:lang w:val="en"/>
              </w:rPr>
              <w:t xml:space="preserve"> have a quality assessment of needs, planning of their support and best treatment / intervention possible to reduce this distress.  </w:t>
            </w:r>
          </w:p>
          <w:p w14:paraId="0779A957" w14:textId="77777777" w:rsidR="00BD14E6" w:rsidRPr="000C6C0F" w:rsidRDefault="00BD14E6" w:rsidP="00BD14E6">
            <w:pPr>
              <w:pStyle w:val="Textlist-bullet"/>
              <w:rPr>
                <w:lang w:val="en"/>
              </w:rPr>
            </w:pPr>
            <w:r w:rsidRPr="000C6C0F">
              <w:rPr>
                <w:lang w:val="en"/>
              </w:rPr>
              <w:t xml:space="preserve">Ensure our environments are not causing distress behaviour for the people we support and create reasonable adjustments. </w:t>
            </w:r>
          </w:p>
          <w:p w14:paraId="61622753" w14:textId="77777777" w:rsidR="00BD14E6" w:rsidRPr="000C6C0F" w:rsidRDefault="00BD14E6" w:rsidP="00BD14E6">
            <w:pPr>
              <w:pStyle w:val="Textlist-bullet"/>
              <w:rPr>
                <w:lang w:val="en"/>
              </w:rPr>
            </w:pPr>
            <w:r w:rsidRPr="000C6C0F">
              <w:rPr>
                <w:lang w:val="en"/>
              </w:rPr>
              <w:t xml:space="preserve">Ensure MHA colleagues have the necessary training to ensure they are skilled in behaviour support, de-escalation techniques, avoidance of or minimization of restrictive interventions. </w:t>
            </w:r>
          </w:p>
          <w:p w14:paraId="153AD70F" w14:textId="52A55E92" w:rsidR="00A92CD7" w:rsidRPr="00DD7DA1" w:rsidRDefault="00BD14E6" w:rsidP="00DD7DA1">
            <w:pPr>
              <w:pStyle w:val="Textlist-bullet"/>
              <w:rPr>
                <w:lang w:val="en"/>
              </w:rPr>
            </w:pPr>
            <w:r w:rsidRPr="000C6C0F">
              <w:rPr>
                <w:lang w:val="en"/>
              </w:rPr>
              <w:t xml:space="preserve">Promote the involvement of people in the support they </w:t>
            </w:r>
            <w:r w:rsidR="00DD7DA1" w:rsidRPr="000C6C0F">
              <w:rPr>
                <w:lang w:val="en"/>
              </w:rPr>
              <w:t>receive,</w:t>
            </w:r>
            <w:r w:rsidRPr="000C6C0F">
              <w:rPr>
                <w:lang w:val="en"/>
              </w:rPr>
              <w:t xml:space="preserve"> and significant others are involved. </w:t>
            </w:r>
          </w:p>
        </w:tc>
      </w:tr>
      <w:tr w:rsidR="00A92CD7" w:rsidRPr="004C3545" w14:paraId="1B01E917" w14:textId="77777777" w:rsidTr="00BD14E6">
        <w:tc>
          <w:tcPr>
            <w:tcW w:w="1980" w:type="dxa"/>
          </w:tcPr>
          <w:p w14:paraId="0524F60B" w14:textId="77777777" w:rsidR="00BD14E6" w:rsidRPr="00BD14E6" w:rsidRDefault="00BD14E6" w:rsidP="00BD14E6">
            <w:pPr>
              <w:pStyle w:val="Text"/>
              <w:rPr>
                <w:b/>
                <w:bCs/>
                <w:lang w:val="en"/>
              </w:rPr>
            </w:pPr>
            <w:r w:rsidRPr="00BD14E6">
              <w:rPr>
                <w:b/>
                <w:bCs/>
                <w:lang w:val="en"/>
              </w:rPr>
              <w:t xml:space="preserve">Managers of MHA services </w:t>
            </w:r>
          </w:p>
          <w:p w14:paraId="78A681AB" w14:textId="77777777" w:rsidR="00A92CD7" w:rsidRPr="004C3545" w:rsidRDefault="00A92CD7" w:rsidP="00BD14E6"/>
        </w:tc>
        <w:tc>
          <w:tcPr>
            <w:tcW w:w="7036" w:type="dxa"/>
          </w:tcPr>
          <w:p w14:paraId="154B0F3C" w14:textId="4CA5F79A" w:rsidR="00BD14E6" w:rsidRPr="000C6C0F" w:rsidRDefault="00BD14E6" w:rsidP="00BD14E6">
            <w:pPr>
              <w:pStyle w:val="Text"/>
              <w:rPr>
                <w:lang w:val="en"/>
              </w:rPr>
            </w:pPr>
            <w:r w:rsidRPr="000C6C0F">
              <w:rPr>
                <w:lang w:val="en"/>
              </w:rPr>
              <w:t xml:space="preserve">Managers have a responsibility to provide guidance and direction for all colleagues using the skills of the team effectively, acting as a positive role model for improvement and innovation. </w:t>
            </w:r>
          </w:p>
          <w:p w14:paraId="26C97E60" w14:textId="287AB5AE" w:rsidR="00A92CD7" w:rsidRPr="00641DEE" w:rsidRDefault="00BD14E6" w:rsidP="00641DEE">
            <w:pPr>
              <w:pStyle w:val="Text"/>
              <w:rPr>
                <w:lang w:val="en"/>
              </w:rPr>
            </w:pPr>
            <w:r w:rsidRPr="000C6C0F">
              <w:rPr>
                <w:lang w:val="en"/>
              </w:rPr>
              <w:t>Where an individual’s distress levels increase and there may be a risk to themselves or others, for whatever reason, managers should support the completion of an additional risk assessment to determine the impact and form a basis for creating a person</w:t>
            </w:r>
            <w:r w:rsidR="00DD7DA1">
              <w:rPr>
                <w:lang w:val="en"/>
              </w:rPr>
              <w:t>-</w:t>
            </w:r>
            <w:r w:rsidRPr="000C6C0F">
              <w:rPr>
                <w:lang w:val="en"/>
              </w:rPr>
              <w:t>centred support plan.</w:t>
            </w:r>
          </w:p>
        </w:tc>
      </w:tr>
      <w:tr w:rsidR="00DD7DA1" w:rsidRPr="004C3545" w14:paraId="67C2E32C" w14:textId="77777777" w:rsidTr="00BD14E6">
        <w:tc>
          <w:tcPr>
            <w:tcW w:w="1980" w:type="dxa"/>
          </w:tcPr>
          <w:p w14:paraId="6FA50BC1" w14:textId="1847E0B9" w:rsidR="00DD7DA1" w:rsidRPr="00BD14E6" w:rsidRDefault="00DD7DA1" w:rsidP="00BD14E6">
            <w:pPr>
              <w:pStyle w:val="Text"/>
              <w:rPr>
                <w:b/>
                <w:bCs/>
                <w:lang w:val="en"/>
              </w:rPr>
            </w:pPr>
            <w:r>
              <w:rPr>
                <w:b/>
                <w:bCs/>
                <w:lang w:val="en"/>
              </w:rPr>
              <w:t xml:space="preserve">Quality Improvement Managers </w:t>
            </w:r>
          </w:p>
        </w:tc>
        <w:tc>
          <w:tcPr>
            <w:tcW w:w="7036" w:type="dxa"/>
          </w:tcPr>
          <w:p w14:paraId="1726E6B8" w14:textId="7E32360E" w:rsidR="00DD7DA1" w:rsidRPr="000C6C0F" w:rsidRDefault="00DD7DA1" w:rsidP="00DD7DA1">
            <w:pPr>
              <w:pStyle w:val="Text"/>
            </w:pPr>
            <w:r w:rsidRPr="000C6C0F">
              <w:t>Quality Improvement managers will be responsible for checking all incidents that are automatically notified to them via email. With these incidents, ensure that information is included in good detail and that appropriate records are attached in a timely way e.g., regulatory body notifications, photos</w:t>
            </w:r>
          </w:p>
          <w:p w14:paraId="4A6DD8F7" w14:textId="3B7901EC" w:rsidR="00DD7DA1" w:rsidRDefault="00DD7DA1" w:rsidP="00DD7DA1">
            <w:pPr>
              <w:pStyle w:val="Text"/>
            </w:pPr>
            <w:r w:rsidRPr="000C6C0F">
              <w:t xml:space="preserve">A monthly random sample of 10 incidents will be taken from each home that is in the area that is assigned to the QI Manager; where a home has two floors, take 5 from each floor. The quality of reporting will be monitored, taking note of factual detail in descriptions and note whether </w:t>
            </w:r>
            <w:r w:rsidR="00A96980">
              <w:t xml:space="preserve">they were </w:t>
            </w:r>
            <w:r w:rsidRPr="000C6C0F">
              <w:t>followed through in the workflow by the manager in the time frames set (or that a note has been made of why timescale was changed and re-set by the manager)</w:t>
            </w:r>
          </w:p>
          <w:p w14:paraId="0778484F" w14:textId="76480AB2" w:rsidR="00DD7DA1" w:rsidRPr="00DD7DA1" w:rsidRDefault="00DD7DA1" w:rsidP="00DD7DA1">
            <w:pPr>
              <w:pStyle w:val="Text"/>
              <w:rPr>
                <w:b/>
              </w:rPr>
            </w:pPr>
            <w:r w:rsidRPr="000C6C0F">
              <w:t>Where there are issues relating to reporting and responding to incidents noticed on spot checks, to escalate concerns to the AM and RD as appropriate</w:t>
            </w:r>
          </w:p>
          <w:p w14:paraId="29C0E2A0" w14:textId="3D4E6C55" w:rsidR="00DD7DA1" w:rsidRPr="00641DEE" w:rsidRDefault="00DD7DA1" w:rsidP="00BD14E6">
            <w:pPr>
              <w:pStyle w:val="Text"/>
              <w:rPr>
                <w:b/>
              </w:rPr>
            </w:pPr>
            <w:r w:rsidRPr="000C6C0F">
              <w:t>A monthly data report will be produced for Area Managers incorporating trends relating to more commonly occurring incidents such as falls, medicine management errors, pressure injuries developed in house, unexplained tissue injury and behavioural incidents (service users), and noting any trends relating to overdue event</w:t>
            </w:r>
            <w:r w:rsidR="00641DEE">
              <w:t>s</w:t>
            </w:r>
          </w:p>
        </w:tc>
      </w:tr>
      <w:tr w:rsidR="00641DEE" w:rsidRPr="004C3545" w14:paraId="4EA7463E" w14:textId="77777777" w:rsidTr="00BD14E6">
        <w:tc>
          <w:tcPr>
            <w:tcW w:w="1980" w:type="dxa"/>
          </w:tcPr>
          <w:p w14:paraId="38C0D18B" w14:textId="5B048C8B" w:rsidR="00641DEE" w:rsidRDefault="00641DEE" w:rsidP="00BD14E6">
            <w:pPr>
              <w:pStyle w:val="Text"/>
              <w:rPr>
                <w:b/>
                <w:bCs/>
                <w:lang w:val="en"/>
              </w:rPr>
            </w:pPr>
            <w:r>
              <w:rPr>
                <w:b/>
                <w:bCs/>
                <w:lang w:val="en"/>
              </w:rPr>
              <w:t xml:space="preserve">MHA Colleagues </w:t>
            </w:r>
          </w:p>
        </w:tc>
        <w:tc>
          <w:tcPr>
            <w:tcW w:w="7036" w:type="dxa"/>
          </w:tcPr>
          <w:p w14:paraId="583399FC" w14:textId="7E75878E" w:rsidR="00900F86" w:rsidRPr="000C6C0F" w:rsidRDefault="003B0196" w:rsidP="00DD7DA1">
            <w:pPr>
              <w:pStyle w:val="Text"/>
            </w:pPr>
            <w:r>
              <w:t xml:space="preserve">All MHA colleagues must be aware of their duty of care to take reasonable </w:t>
            </w:r>
            <w:r w:rsidR="00900F86">
              <w:t>action to safeguard the people we support, report any concerns, and maintain records in respect of the requirements of this policy.</w:t>
            </w:r>
          </w:p>
        </w:tc>
      </w:tr>
    </w:tbl>
    <w:p w14:paraId="5C1F7D47" w14:textId="77777777" w:rsidR="00DD7DA1" w:rsidRDefault="00DD7DA1" w:rsidP="00903AA2">
      <w:pPr>
        <w:rPr>
          <w:rFonts w:cs="Arial"/>
          <w:spacing w:val="7"/>
        </w:rPr>
      </w:pPr>
    </w:p>
    <w:p w14:paraId="6587AE4D" w14:textId="77777777" w:rsidR="00E812FA" w:rsidRDefault="00E812FA" w:rsidP="00903AA2">
      <w:pPr>
        <w:rPr>
          <w:rFonts w:cs="Arial"/>
          <w:spacing w:val="7"/>
        </w:rPr>
      </w:pPr>
    </w:p>
    <w:p w14:paraId="33BF7A69" w14:textId="77777777" w:rsidR="00E812FA" w:rsidRDefault="00E812FA" w:rsidP="00903AA2">
      <w:pPr>
        <w:rPr>
          <w:rFonts w:cs="Arial"/>
          <w:spacing w:val="7"/>
        </w:rPr>
      </w:pPr>
    </w:p>
    <w:p w14:paraId="3BD19923" w14:textId="77777777" w:rsidR="00E812FA" w:rsidRDefault="00E812FA" w:rsidP="00903AA2">
      <w:pPr>
        <w:rPr>
          <w:rFonts w:cs="Arial"/>
          <w:spacing w:val="7"/>
        </w:rPr>
      </w:pPr>
    </w:p>
    <w:p w14:paraId="63147520" w14:textId="77777777" w:rsidR="00E812FA" w:rsidRDefault="00E812FA" w:rsidP="00903AA2">
      <w:pPr>
        <w:rPr>
          <w:rFonts w:cs="Arial"/>
          <w:spacing w:val="7"/>
        </w:rPr>
      </w:pPr>
    </w:p>
    <w:p w14:paraId="5A03030A" w14:textId="77777777" w:rsidR="00E812FA" w:rsidRPr="004C3545" w:rsidRDefault="00E812FA" w:rsidP="00903AA2">
      <w:pPr>
        <w:rPr>
          <w:rFonts w:cs="Arial"/>
          <w:spacing w:val="7"/>
        </w:rPr>
      </w:pPr>
    </w:p>
    <w:p w14:paraId="4DE152F3" w14:textId="777D4734" w:rsidR="00DF67AA" w:rsidRDefault="009A0ED4" w:rsidP="00D558F5">
      <w:pPr>
        <w:pStyle w:val="Heading1Numbered"/>
      </w:pPr>
      <w:bookmarkStart w:id="22" w:name="_Toc177130281"/>
      <w:r w:rsidRPr="00B2494E">
        <w:t>Training</w:t>
      </w:r>
      <w:r w:rsidR="002B5CDA" w:rsidRPr="00B2494E">
        <w:t xml:space="preserve"> </w:t>
      </w:r>
      <w:r w:rsidR="001310BB" w:rsidRPr="00B2494E">
        <w:t>and</w:t>
      </w:r>
      <w:r w:rsidR="002B5CDA" w:rsidRPr="00B2494E">
        <w:t xml:space="preserve"> Monitoring</w:t>
      </w:r>
      <w:bookmarkEnd w:id="22"/>
    </w:p>
    <w:p w14:paraId="0728B0BC" w14:textId="174C4A46" w:rsidR="00800F6D" w:rsidRDefault="00800F6D" w:rsidP="00F14FE3">
      <w:pPr>
        <w:pStyle w:val="Text1Numbered"/>
      </w:pPr>
      <w:r w:rsidRPr="007902FA">
        <w:t xml:space="preserve">All </w:t>
      </w:r>
      <w:r w:rsidR="00F14FE3">
        <w:t>colleagues</w:t>
      </w:r>
      <w:r w:rsidRPr="007902FA">
        <w:t xml:space="preserve"> working in care homes must complete levels 1 and 2 of MHAs understanding and responding to distress behaviours training.  This training helps to recognise signs and triggers of distress and how to de-escalate situations using different non-restrictive interventions.  This training must be refreshed every two </w:t>
      </w:r>
      <w:r w:rsidRPr="00800F6D">
        <w:t>years.</w:t>
      </w:r>
    </w:p>
    <w:p w14:paraId="4FF557F1" w14:textId="77777777" w:rsidR="00F14FE3" w:rsidRPr="007902FA" w:rsidRDefault="00F14FE3" w:rsidP="00F14FE3">
      <w:pPr>
        <w:pStyle w:val="Text1Numbered"/>
        <w:numPr>
          <w:ilvl w:val="0"/>
          <w:numId w:val="0"/>
        </w:numPr>
        <w:ind w:left="1135"/>
      </w:pPr>
    </w:p>
    <w:p w14:paraId="65E7EE0B" w14:textId="77777777" w:rsidR="00F14FE3" w:rsidRPr="00F14FE3" w:rsidRDefault="00800F6D" w:rsidP="00F14FE3">
      <w:pPr>
        <w:pStyle w:val="Text1Numbered"/>
        <w:rPr>
          <w:lang w:val="en"/>
        </w:rPr>
      </w:pPr>
      <w:r w:rsidRPr="007902FA">
        <w:t xml:space="preserve">All </w:t>
      </w:r>
      <w:r w:rsidR="00F14FE3">
        <w:t>colleagues</w:t>
      </w:r>
      <w:r w:rsidRPr="007902FA">
        <w:t xml:space="preserve"> with a leadership role (</w:t>
      </w:r>
      <w:r w:rsidR="00E812FA" w:rsidRPr="00E812FA">
        <w:t>e.g.,</w:t>
      </w:r>
      <w:r w:rsidRPr="007902FA">
        <w:t xml:space="preserve"> managers, seniors, nurses, and deputy managers) in particular those working in Homes registered for dementia / dementia nursing care must complete training Levels 3 and 4 of the understanding and responding to distress behaviours training.  This training examines de-escalation skills, exit strategies, positioning and defensive skills and skills to release from grips.  </w:t>
      </w:r>
    </w:p>
    <w:p w14:paraId="0DA40BDE" w14:textId="77777777" w:rsidR="00F14FE3" w:rsidRDefault="00F14FE3" w:rsidP="00F14FE3">
      <w:pPr>
        <w:pStyle w:val="ListParagraph"/>
      </w:pPr>
    </w:p>
    <w:p w14:paraId="6D5DA72C" w14:textId="3CD581F8" w:rsidR="00800F6D" w:rsidRPr="00F14FE3" w:rsidRDefault="00800F6D" w:rsidP="00F14FE3">
      <w:pPr>
        <w:pStyle w:val="Text1Numbered"/>
        <w:rPr>
          <w:lang w:val="en"/>
        </w:rPr>
      </w:pPr>
      <w:r w:rsidRPr="007902FA">
        <w:t>This training is facilitated by an approved MHA provider, certified by BILD Association of Certified Training and compliant with the Restraint Reduction Network Training Standards.</w:t>
      </w:r>
    </w:p>
    <w:p w14:paraId="11E37DDC" w14:textId="77777777" w:rsidR="00F14FE3" w:rsidRDefault="00F14FE3" w:rsidP="00F14FE3">
      <w:pPr>
        <w:pStyle w:val="Text1Numbered"/>
        <w:numPr>
          <w:ilvl w:val="0"/>
          <w:numId w:val="0"/>
        </w:numPr>
        <w:rPr>
          <w:lang w:val="en"/>
        </w:rPr>
      </w:pPr>
    </w:p>
    <w:p w14:paraId="1C218C21" w14:textId="02C0D892" w:rsidR="00DD7DA1" w:rsidRPr="00641DEE" w:rsidRDefault="00DD7DA1" w:rsidP="00F14FE3">
      <w:pPr>
        <w:pStyle w:val="Text1Numbered"/>
        <w:rPr>
          <w:lang w:val="en"/>
        </w:rPr>
      </w:pPr>
      <w:r>
        <w:rPr>
          <w:lang w:val="en"/>
        </w:rPr>
        <w:t xml:space="preserve">Training data will be provided from MHA’s people development system </w:t>
      </w:r>
      <w:r w:rsidR="00F14FE3">
        <w:rPr>
          <w:lang w:val="en"/>
        </w:rPr>
        <w:t xml:space="preserve">(Learning Zone) </w:t>
      </w:r>
      <w:r>
        <w:rPr>
          <w:lang w:val="en"/>
        </w:rPr>
        <w:t>and will be reviewed and monitored by senior managers.</w:t>
      </w:r>
    </w:p>
    <w:p w14:paraId="7B906EE6" w14:textId="77777777" w:rsidR="00DF67AA" w:rsidRDefault="000C7997" w:rsidP="00D558F5">
      <w:pPr>
        <w:pStyle w:val="Heading1Numbered"/>
      </w:pPr>
      <w:bookmarkStart w:id="23" w:name="_Toc177130282"/>
      <w:r w:rsidRPr="000C7997">
        <w:t>Communication and Dissemination</w:t>
      </w:r>
      <w:bookmarkEnd w:id="23"/>
    </w:p>
    <w:p w14:paraId="6EFB7A6B" w14:textId="02BD6D79" w:rsidR="00386B5D" w:rsidRDefault="00D81FF3" w:rsidP="00F14FE3">
      <w:pPr>
        <w:pStyle w:val="Text1Numbered"/>
      </w:pPr>
      <w:r>
        <w:t>This policy is disseminated and implemented within all MHA services through MHA’s channels of communication.</w:t>
      </w:r>
    </w:p>
    <w:p w14:paraId="3385C957" w14:textId="77777777" w:rsidR="00F14FE3" w:rsidRDefault="00F14FE3" w:rsidP="00F14FE3">
      <w:pPr>
        <w:pStyle w:val="Text1Numbered"/>
        <w:numPr>
          <w:ilvl w:val="0"/>
          <w:numId w:val="0"/>
        </w:numPr>
        <w:ind w:left="1135"/>
      </w:pPr>
    </w:p>
    <w:p w14:paraId="3085820A" w14:textId="6E8CA3BF" w:rsidR="00D81FF3" w:rsidRDefault="00D81FF3" w:rsidP="00F14FE3">
      <w:pPr>
        <w:pStyle w:val="Text1Numbered"/>
      </w:pPr>
      <w:r>
        <w:t>Compliance is assessed through direct observation, monitoring and supervision of our colleagues, regular audit of support plans, review of documentation</w:t>
      </w:r>
      <w:r w:rsidR="002939AF">
        <w:t xml:space="preserve">, </w:t>
      </w:r>
      <w:r>
        <w:t>incident reports</w:t>
      </w:r>
      <w:r w:rsidR="002939AF">
        <w:t xml:space="preserve"> and internal service audits.</w:t>
      </w:r>
    </w:p>
    <w:p w14:paraId="4FFC1A70" w14:textId="0D3477B1" w:rsidR="00D81FF3" w:rsidRDefault="00D81FF3" w:rsidP="00F14FE3">
      <w:pPr>
        <w:pStyle w:val="Text1Numbered"/>
      </w:pPr>
      <w:r>
        <w:t xml:space="preserve">Each </w:t>
      </w:r>
      <w:r w:rsidR="006C5295">
        <w:t>colleague’s</w:t>
      </w:r>
      <w:r>
        <w:t xml:space="preserve"> line manager must ensure that all teams are aware of their roles, </w:t>
      </w:r>
      <w:r w:rsidR="00F14FE3">
        <w:t>responsibilities,</w:t>
      </w:r>
      <w:r>
        <w:t xml:space="preserve"> and limitations regarding the support of people presenting with distress behaviour.</w:t>
      </w:r>
    </w:p>
    <w:p w14:paraId="5449CC71" w14:textId="77777777" w:rsidR="00F14FE3" w:rsidRDefault="00F14FE3" w:rsidP="00F14FE3">
      <w:pPr>
        <w:pStyle w:val="Text1Numbered"/>
        <w:numPr>
          <w:ilvl w:val="0"/>
          <w:numId w:val="0"/>
        </w:numPr>
        <w:ind w:left="1135"/>
      </w:pPr>
    </w:p>
    <w:p w14:paraId="2ADE53D0" w14:textId="64AD8FE1" w:rsidR="00D81FF3" w:rsidRDefault="00D81FF3" w:rsidP="00F14FE3">
      <w:pPr>
        <w:pStyle w:val="Text1Numbered"/>
      </w:pPr>
      <w:r>
        <w:t>This Policy will be available to the people we support and their representatives in alternate formats, as required.</w:t>
      </w:r>
    </w:p>
    <w:p w14:paraId="7083DE01" w14:textId="77777777" w:rsidR="00F14FE3" w:rsidRDefault="00F14FE3" w:rsidP="00F14FE3">
      <w:pPr>
        <w:pStyle w:val="Text1Numbered"/>
        <w:numPr>
          <w:ilvl w:val="0"/>
          <w:numId w:val="0"/>
        </w:numPr>
      </w:pPr>
    </w:p>
    <w:p w14:paraId="717595E2" w14:textId="2F85D7A8" w:rsidR="002939AF" w:rsidRDefault="002939AF" w:rsidP="00F14FE3">
      <w:pPr>
        <w:pStyle w:val="Text1Numbered"/>
      </w:pPr>
      <w:r>
        <w:t>Any review of this policy will include consultation with people we support, our colleagues, review of support planning, incident reports, quality audits and feedback from other agencies.</w:t>
      </w:r>
    </w:p>
    <w:p w14:paraId="62536A5E" w14:textId="77777777" w:rsidR="00F14FE3" w:rsidRDefault="00F14FE3" w:rsidP="00F14FE3">
      <w:pPr>
        <w:pStyle w:val="Text1Numbered"/>
        <w:numPr>
          <w:ilvl w:val="0"/>
          <w:numId w:val="0"/>
        </w:numPr>
      </w:pPr>
    </w:p>
    <w:p w14:paraId="6F38B25B" w14:textId="1F5A813D" w:rsidR="00685E2F" w:rsidRDefault="00D81FF3" w:rsidP="00F14FE3">
      <w:pPr>
        <w:pStyle w:val="Text1Numbered"/>
      </w:pPr>
      <w:r>
        <w:t xml:space="preserve">Queries and issues relating to this policy should be referred to the Standards and Policy Team </w:t>
      </w:r>
      <w:hyperlink r:id="rId14" w:history="1">
        <w:r w:rsidRPr="00B2181E">
          <w:rPr>
            <w:rStyle w:val="Hyperlink"/>
          </w:rPr>
          <w:t>policies@mha.org.uk</w:t>
        </w:r>
      </w:hyperlink>
      <w:r>
        <w:t xml:space="preserve"> </w:t>
      </w:r>
    </w:p>
    <w:p w14:paraId="4094474B" w14:textId="77777777" w:rsidR="00DF67AA" w:rsidRDefault="000C7997" w:rsidP="00D558F5">
      <w:pPr>
        <w:pStyle w:val="Heading1Numbered"/>
      </w:pPr>
      <w:bookmarkStart w:id="24" w:name="_Toc177130283"/>
      <w:r>
        <w:t>Impact Assessments (Inc. EDI)</w:t>
      </w:r>
      <w:bookmarkEnd w:id="24"/>
    </w:p>
    <w:p w14:paraId="137FDBCB" w14:textId="6E0905B0" w:rsidR="008D6213" w:rsidRPr="004C3545" w:rsidRDefault="002939AF" w:rsidP="002939AF">
      <w:pPr>
        <w:pStyle w:val="Text1Numbered"/>
        <w:numPr>
          <w:ilvl w:val="0"/>
          <w:numId w:val="0"/>
        </w:numPr>
        <w:ind w:left="1135"/>
      </w:pPr>
      <w:r>
        <w:t>TBC</w:t>
      </w:r>
    </w:p>
    <w:p w14:paraId="261E7F9C" w14:textId="636E113F" w:rsidR="00600B8F" w:rsidRPr="00600B8F" w:rsidRDefault="000C7997" w:rsidP="003D40C1">
      <w:pPr>
        <w:pStyle w:val="Heading1Numbered"/>
      </w:pPr>
      <w:bookmarkStart w:id="25" w:name="_Toc177130284"/>
      <w:r w:rsidRPr="00B2494E">
        <w:t xml:space="preserve">Resources </w:t>
      </w:r>
      <w:r w:rsidR="002939AF">
        <w:t>and References</w:t>
      </w:r>
      <w:bookmarkEnd w:id="25"/>
      <w:r w:rsidR="002939AF">
        <w:t xml:space="preserve"> </w:t>
      </w:r>
    </w:p>
    <w:p w14:paraId="5E1F3FC4" w14:textId="6C604B63" w:rsidR="0052097B" w:rsidRPr="0052097B" w:rsidRDefault="0052097B" w:rsidP="00AD1CC1">
      <w:pPr>
        <w:pStyle w:val="Text1Numbered"/>
        <w:outlineLvl w:val="1"/>
      </w:pPr>
      <w:r>
        <w:t xml:space="preserve">Legislation </w:t>
      </w:r>
    </w:p>
    <w:p w14:paraId="6C5A3072" w14:textId="0E773BC2" w:rsidR="008C207A" w:rsidRDefault="00D32B0B" w:rsidP="00F14FE3">
      <w:pPr>
        <w:pStyle w:val="Textlistindented-bullet"/>
      </w:pPr>
      <w:hyperlink r:id="rId15" w:history="1">
        <w:r w:rsidR="008C207A">
          <w:rPr>
            <w:rStyle w:val="Hyperlink"/>
          </w:rPr>
          <w:t>The Care Act 2014 Gov.UK</w:t>
        </w:r>
      </w:hyperlink>
    </w:p>
    <w:p w14:paraId="276E0209" w14:textId="51C829EF" w:rsidR="0052097B" w:rsidRDefault="00D32B0B" w:rsidP="00F14FE3">
      <w:pPr>
        <w:pStyle w:val="Textlistindented-bullet"/>
      </w:pPr>
      <w:hyperlink r:id="rId16" w:history="1">
        <w:r w:rsidR="0052097B">
          <w:rPr>
            <w:rStyle w:val="Hyperlink"/>
          </w:rPr>
          <w:t>The Health and Social Care Act 2008 Regulated Activities 2014</w:t>
        </w:r>
      </w:hyperlink>
    </w:p>
    <w:p w14:paraId="358025AD" w14:textId="4250D7D4" w:rsidR="002939AF" w:rsidRDefault="00D32B0B" w:rsidP="00F14FE3">
      <w:pPr>
        <w:pStyle w:val="Textlistindented-bullet"/>
      </w:pPr>
      <w:hyperlink r:id="rId17" w:history="1">
        <w:r w:rsidR="008C207A">
          <w:rPr>
            <w:rStyle w:val="Hyperlink"/>
          </w:rPr>
          <w:t>Social Service and Wellbeing (Wales) Act 2014</w:t>
        </w:r>
      </w:hyperlink>
      <w:r w:rsidR="008C207A">
        <w:t xml:space="preserve"> </w:t>
      </w:r>
    </w:p>
    <w:p w14:paraId="2FC86D8B" w14:textId="0E403F46" w:rsidR="0052097B" w:rsidRDefault="00D32B0B" w:rsidP="00F14FE3">
      <w:pPr>
        <w:pStyle w:val="Textlistindented-bullet"/>
      </w:pPr>
      <w:hyperlink r:id="rId18" w:history="1">
        <w:r w:rsidR="0052097B">
          <w:rPr>
            <w:rStyle w:val="Hyperlink"/>
          </w:rPr>
          <w:t>Health and Social Care Standards (Scotland) 2022</w:t>
        </w:r>
      </w:hyperlink>
      <w:r w:rsidR="0052097B">
        <w:t xml:space="preserve"> </w:t>
      </w:r>
    </w:p>
    <w:p w14:paraId="0505C080" w14:textId="77777777" w:rsidR="0052097B" w:rsidRDefault="00D32B0B" w:rsidP="00F14FE3">
      <w:pPr>
        <w:pStyle w:val="Textlistindented-bullet"/>
      </w:pPr>
      <w:hyperlink r:id="rId19" w:history="1">
        <w:r w:rsidR="0052097B">
          <w:rPr>
            <w:rStyle w:val="Hyperlink"/>
          </w:rPr>
          <w:t>Mental Capacity Act 2005</w:t>
        </w:r>
      </w:hyperlink>
      <w:r w:rsidR="0052097B">
        <w:t xml:space="preserve"> </w:t>
      </w:r>
    </w:p>
    <w:p w14:paraId="1E8F3378" w14:textId="0D535A9F" w:rsidR="008C207A" w:rsidRDefault="00FB1B42" w:rsidP="00F14FE3">
      <w:pPr>
        <w:pStyle w:val="Textlistindented-bullet"/>
      </w:pPr>
      <w:r>
        <w:t xml:space="preserve"> </w:t>
      </w:r>
    </w:p>
    <w:p w14:paraId="48661C01" w14:textId="0B2BD82D" w:rsidR="003D40C1" w:rsidRDefault="00D32B0B" w:rsidP="00F14FE3">
      <w:pPr>
        <w:pStyle w:val="Textlistindented-bullet"/>
      </w:pPr>
      <w:hyperlink r:id="rId20" w:history="1">
        <w:r w:rsidR="00FB1B42">
          <w:rPr>
            <w:rStyle w:val="Hyperlink"/>
          </w:rPr>
          <w:t xml:space="preserve">Adults with Incapacity (Scotland) Act 2000 Principles </w:t>
        </w:r>
      </w:hyperlink>
    </w:p>
    <w:p w14:paraId="61CA4DA5" w14:textId="270A3A75" w:rsidR="008C207A" w:rsidRDefault="0052097B" w:rsidP="001F38FF">
      <w:pPr>
        <w:pStyle w:val="Text1Numbered"/>
        <w:outlineLvl w:val="1"/>
      </w:pPr>
      <w:r>
        <w:t xml:space="preserve">Guidance </w:t>
      </w:r>
    </w:p>
    <w:p w14:paraId="4786EBC3" w14:textId="41861276" w:rsidR="0052097B" w:rsidRDefault="00D32B0B" w:rsidP="00F14FE3">
      <w:pPr>
        <w:pStyle w:val="Textlistindented-bullet"/>
      </w:pPr>
      <w:hyperlink r:id="rId21" w:history="1">
        <w:r w:rsidR="0052097B">
          <w:rPr>
            <w:rStyle w:val="Hyperlink"/>
          </w:rPr>
          <w:t>Rights, Risks and Limits to Freedom Guidance (Scotland) 2021</w:t>
        </w:r>
      </w:hyperlink>
      <w:r w:rsidR="0052097B">
        <w:t xml:space="preserve"> </w:t>
      </w:r>
    </w:p>
    <w:p w14:paraId="54460E3D" w14:textId="1F6751A8" w:rsidR="001F38FF" w:rsidRPr="00F3709A" w:rsidRDefault="001F38FF" w:rsidP="00F3709A">
      <w:pPr>
        <w:pStyle w:val="Textlistindented-bullet"/>
      </w:pPr>
      <w:r>
        <w:t xml:space="preserve">The Gloucestershire 5 step approach – behaviours that challenge in dementia </w:t>
      </w:r>
      <w:hyperlink r:id="rId22" w:history="1">
        <w:r>
          <w:rPr>
            <w:rStyle w:val="Hyperlink"/>
          </w:rPr>
          <w:t xml:space="preserve">5 Step Approach Guidance and Resource Pack </w:t>
        </w:r>
      </w:hyperlink>
    </w:p>
    <w:p w14:paraId="44BA491C" w14:textId="3F90043E" w:rsidR="001F38FF" w:rsidRDefault="001F38FF" w:rsidP="00F3709A">
      <w:pPr>
        <w:pStyle w:val="Textlistindented-bullet"/>
      </w:pPr>
      <w:r>
        <w:t xml:space="preserve">NICE: Dementia – assessment and support for people living with dementia </w:t>
      </w:r>
      <w:hyperlink r:id="rId23" w:history="1">
        <w:r w:rsidR="00F3709A" w:rsidRPr="00D04424">
          <w:rPr>
            <w:rStyle w:val="Hyperlink"/>
          </w:rPr>
          <w:t>https://www.nice.org.uk/guidance/ng97</w:t>
        </w:r>
      </w:hyperlink>
      <w:r>
        <w:t xml:space="preserve"> </w:t>
      </w:r>
    </w:p>
    <w:p w14:paraId="59F6C5D3" w14:textId="3A3F4368" w:rsidR="00685E2F" w:rsidRPr="002939AF" w:rsidRDefault="001F38FF" w:rsidP="00F3709A">
      <w:pPr>
        <w:pStyle w:val="Textlistindented-bullet"/>
      </w:pPr>
      <w:r>
        <w:t xml:space="preserve">Alzheimer’s Society </w:t>
      </w:r>
      <w:hyperlink r:id="rId24" w:history="1">
        <w:r>
          <w:rPr>
            <w:rStyle w:val="Hyperlink"/>
          </w:rPr>
          <w:t xml:space="preserve">About Dementia </w:t>
        </w:r>
      </w:hyperlink>
      <w:r>
        <w:t xml:space="preserve"> </w:t>
      </w:r>
    </w:p>
    <w:p w14:paraId="60B16D72" w14:textId="59B45D64" w:rsidR="00DF67AA" w:rsidRDefault="00900F86" w:rsidP="00F3709A">
      <w:pPr>
        <w:pStyle w:val="Text1Numbered"/>
      </w:pPr>
      <w:r>
        <w:t>MHA documents</w:t>
      </w:r>
    </w:p>
    <w:p w14:paraId="0A90CE8F" w14:textId="762B5250" w:rsidR="003B0196" w:rsidRDefault="00D32B0B" w:rsidP="00F14FE3">
      <w:pPr>
        <w:pStyle w:val="Textlistindented-bullet"/>
      </w:pPr>
      <w:hyperlink r:id="rId25" w:history="1">
        <w:proofErr w:type="spellStart"/>
        <w:r w:rsidR="003B0196">
          <w:rPr>
            <w:rStyle w:val="Hyperlink"/>
          </w:rPr>
          <w:t>DisDAT</w:t>
        </w:r>
        <w:proofErr w:type="spellEnd"/>
        <w:r w:rsidR="003B0196">
          <w:rPr>
            <w:rStyle w:val="Hyperlink"/>
          </w:rPr>
          <w:t xml:space="preserve"> Assessment Tool </w:t>
        </w:r>
      </w:hyperlink>
      <w:r w:rsidR="003B0196">
        <w:t xml:space="preserve"> </w:t>
      </w:r>
    </w:p>
    <w:p w14:paraId="6163B7A2" w14:textId="7701B2CE" w:rsidR="003B0196" w:rsidRDefault="00D32B0B" w:rsidP="00F14FE3">
      <w:pPr>
        <w:pStyle w:val="Textlistindented-bullet"/>
      </w:pPr>
      <w:hyperlink r:id="rId26" w:history="1">
        <w:proofErr w:type="spellStart"/>
        <w:r w:rsidR="003B0196">
          <w:rPr>
            <w:rStyle w:val="Hyperlink"/>
          </w:rPr>
          <w:t>DisDAT</w:t>
        </w:r>
        <w:proofErr w:type="spellEnd"/>
        <w:r w:rsidR="003B0196">
          <w:rPr>
            <w:rStyle w:val="Hyperlink"/>
          </w:rPr>
          <w:t xml:space="preserve"> passport </w:t>
        </w:r>
      </w:hyperlink>
      <w:r w:rsidR="003B0196">
        <w:t xml:space="preserve"> </w:t>
      </w:r>
    </w:p>
    <w:p w14:paraId="5AF14D32" w14:textId="305530EA" w:rsidR="00F14FE3" w:rsidRDefault="00F14FE3" w:rsidP="00F14FE3">
      <w:pPr>
        <w:pStyle w:val="Textlistindented-bullet"/>
      </w:pPr>
      <w:r>
        <w:t>Consent Policy</w:t>
      </w:r>
    </w:p>
    <w:p w14:paraId="3D7C2156" w14:textId="49157CB7" w:rsidR="00F14FE3" w:rsidRDefault="00F14FE3" w:rsidP="00F14FE3">
      <w:pPr>
        <w:pStyle w:val="Textlistindented-bullet"/>
      </w:pPr>
      <w:r>
        <w:t>Mental capacity and Deprivation of Liberty safeguards Policy</w:t>
      </w:r>
    </w:p>
    <w:p w14:paraId="7657B338" w14:textId="425469F0" w:rsidR="003D40C1" w:rsidRPr="00F3709A" w:rsidRDefault="00F14FE3" w:rsidP="00AD1CC1">
      <w:pPr>
        <w:pStyle w:val="Textlistindented-bullet"/>
      </w:pPr>
      <w:r>
        <w:t xml:space="preserve">Adult safeguarding Policy </w:t>
      </w:r>
    </w:p>
    <w:p w14:paraId="0AFC6DB8" w14:textId="380C232A" w:rsidR="00DF67AA" w:rsidRDefault="009A0ED4" w:rsidP="00AD1CC1">
      <w:pPr>
        <w:pStyle w:val="Heading1Numbered"/>
      </w:pPr>
      <w:bookmarkStart w:id="26" w:name="_Toc177130285"/>
      <w:r w:rsidRPr="00DC7F16">
        <w:t>Version Control</w:t>
      </w:r>
      <w:bookmarkEnd w:id="26"/>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7D23A88B" w14:textId="77777777" w:rsidTr="00F14FE3">
        <w:trPr>
          <w:cnfStyle w:val="100000000000" w:firstRow="1" w:lastRow="0" w:firstColumn="0" w:lastColumn="0" w:oddVBand="0" w:evenVBand="0" w:oddHBand="0" w:evenHBand="0" w:firstRowFirstColumn="0" w:firstRowLastColumn="0" w:lastRowFirstColumn="0" w:lastRowLastColumn="0"/>
          <w:trHeight w:val="830"/>
        </w:trPr>
        <w:tc>
          <w:tcPr>
            <w:tcW w:w="1146" w:type="dxa"/>
            <w:shd w:val="clear" w:color="auto" w:fill="217593"/>
          </w:tcPr>
          <w:p w14:paraId="1109EC6F" w14:textId="77777777" w:rsidR="00F30A5F" w:rsidRPr="005E08A1" w:rsidRDefault="00F30A5F" w:rsidP="002D47FD">
            <w:r w:rsidRPr="005E08A1">
              <w:t>Version</w:t>
            </w:r>
          </w:p>
        </w:tc>
        <w:tc>
          <w:tcPr>
            <w:tcW w:w="1826" w:type="dxa"/>
            <w:shd w:val="clear" w:color="auto" w:fill="217593"/>
          </w:tcPr>
          <w:p w14:paraId="44C027D4" w14:textId="77777777" w:rsidR="00F30A5F" w:rsidRPr="005E08A1" w:rsidRDefault="00F30A5F" w:rsidP="002D47FD">
            <w:r w:rsidRPr="005E08A1">
              <w:t>Version Date</w:t>
            </w:r>
          </w:p>
        </w:tc>
        <w:tc>
          <w:tcPr>
            <w:tcW w:w="3402" w:type="dxa"/>
            <w:shd w:val="clear" w:color="auto" w:fill="217593"/>
          </w:tcPr>
          <w:p w14:paraId="1AC4D120" w14:textId="77777777" w:rsidR="00F30A5F" w:rsidRPr="005E08A1" w:rsidRDefault="00F30A5F" w:rsidP="002D47FD">
            <w:r w:rsidRPr="005E08A1">
              <w:t xml:space="preserve">Revision Description / Summary of Changes </w:t>
            </w:r>
          </w:p>
        </w:tc>
        <w:tc>
          <w:tcPr>
            <w:tcW w:w="1559" w:type="dxa"/>
            <w:shd w:val="clear" w:color="auto" w:fill="217593"/>
          </w:tcPr>
          <w:p w14:paraId="0B977BB0" w14:textId="77777777" w:rsidR="00F30A5F" w:rsidRPr="005E08A1" w:rsidRDefault="00F30A5F" w:rsidP="002D47FD">
            <w:r w:rsidRPr="005E08A1">
              <w:t>Author</w:t>
            </w:r>
          </w:p>
        </w:tc>
        <w:tc>
          <w:tcPr>
            <w:tcW w:w="1843" w:type="dxa"/>
            <w:shd w:val="clear" w:color="auto" w:fill="217593"/>
          </w:tcPr>
          <w:p w14:paraId="4D70D838" w14:textId="77777777" w:rsidR="00F30A5F" w:rsidRPr="005E08A1" w:rsidRDefault="00F30A5F" w:rsidP="002D47FD">
            <w:r w:rsidRPr="005E08A1">
              <w:t>Next Review Date</w:t>
            </w:r>
          </w:p>
        </w:tc>
      </w:tr>
      <w:tr w:rsidR="00F30A5F" w:rsidRPr="004C3545" w14:paraId="020066BA" w14:textId="77777777" w:rsidTr="002D47FD">
        <w:trPr>
          <w:trHeight w:val="407"/>
        </w:trPr>
        <w:tc>
          <w:tcPr>
            <w:tcW w:w="1146" w:type="dxa"/>
          </w:tcPr>
          <w:p w14:paraId="5C05D248" w14:textId="1D5F4B7C" w:rsidR="00F30A5F" w:rsidRDefault="00DD7DA1" w:rsidP="002D47FD">
            <w:r>
              <w:t>1</w:t>
            </w:r>
          </w:p>
        </w:tc>
        <w:tc>
          <w:tcPr>
            <w:tcW w:w="1826" w:type="dxa"/>
          </w:tcPr>
          <w:p w14:paraId="666102AC" w14:textId="2C10E7CD" w:rsidR="00F30A5F" w:rsidRPr="004C3545" w:rsidRDefault="00E93EEA" w:rsidP="002D47FD">
            <w:r>
              <w:t>April</w:t>
            </w:r>
            <w:r w:rsidR="00DD7DA1">
              <w:t xml:space="preserve"> 2023</w:t>
            </w:r>
          </w:p>
        </w:tc>
        <w:tc>
          <w:tcPr>
            <w:tcW w:w="3402" w:type="dxa"/>
          </w:tcPr>
          <w:p w14:paraId="32B07D9E" w14:textId="2A4CD42C" w:rsidR="00F30A5F" w:rsidRPr="004C3545" w:rsidRDefault="00DD7DA1" w:rsidP="002D47FD">
            <w:r>
              <w:t xml:space="preserve">Policy reviewed and amended </w:t>
            </w:r>
          </w:p>
        </w:tc>
        <w:tc>
          <w:tcPr>
            <w:tcW w:w="1559" w:type="dxa"/>
          </w:tcPr>
          <w:p w14:paraId="300D593D" w14:textId="29CC877A" w:rsidR="003B0196" w:rsidRDefault="00DD7DA1" w:rsidP="003B0196">
            <w:pPr>
              <w:spacing w:line="240" w:lineRule="auto"/>
            </w:pPr>
            <w:r>
              <w:t>Dementia Lead</w:t>
            </w:r>
          </w:p>
          <w:p w14:paraId="26761017" w14:textId="77777777" w:rsidR="003B0196" w:rsidRPr="003B0196" w:rsidRDefault="003B0196" w:rsidP="003B0196">
            <w:pPr>
              <w:spacing w:line="240" w:lineRule="auto"/>
              <w:rPr>
                <w:sz w:val="6"/>
                <w:szCs w:val="6"/>
              </w:rPr>
            </w:pPr>
          </w:p>
          <w:p w14:paraId="37CFD6EA" w14:textId="735F74B6" w:rsidR="00DD7DA1" w:rsidRPr="004C3545" w:rsidRDefault="00DD7DA1" w:rsidP="003B0196">
            <w:pPr>
              <w:spacing w:line="240" w:lineRule="auto"/>
            </w:pPr>
            <w:r>
              <w:t xml:space="preserve">Head of Standards &amp; Policy </w:t>
            </w:r>
          </w:p>
        </w:tc>
        <w:tc>
          <w:tcPr>
            <w:tcW w:w="1843" w:type="dxa"/>
          </w:tcPr>
          <w:p w14:paraId="3B74918B" w14:textId="1F9978D1" w:rsidR="00F30A5F" w:rsidRPr="004C3545" w:rsidRDefault="00E93EEA" w:rsidP="002D47FD">
            <w:r>
              <w:t>April</w:t>
            </w:r>
            <w:r w:rsidR="00DD7DA1">
              <w:t xml:space="preserve"> 2024</w:t>
            </w:r>
          </w:p>
        </w:tc>
      </w:tr>
      <w:tr w:rsidR="00F30A5F" w:rsidRPr="004C3545" w14:paraId="1ADF6323" w14:textId="77777777" w:rsidTr="002D47FD">
        <w:trPr>
          <w:trHeight w:val="422"/>
        </w:trPr>
        <w:tc>
          <w:tcPr>
            <w:tcW w:w="1146" w:type="dxa"/>
          </w:tcPr>
          <w:p w14:paraId="6471B041" w14:textId="08EF695F" w:rsidR="00F30A5F" w:rsidRPr="004C3545" w:rsidRDefault="00F14FE3" w:rsidP="002D47FD">
            <w:r>
              <w:t>2</w:t>
            </w:r>
          </w:p>
        </w:tc>
        <w:tc>
          <w:tcPr>
            <w:tcW w:w="1826" w:type="dxa"/>
          </w:tcPr>
          <w:p w14:paraId="7883A0C7" w14:textId="09CB881B" w:rsidR="00F30A5F" w:rsidRPr="004C3545" w:rsidRDefault="00F14FE3" w:rsidP="002D47FD">
            <w:r>
              <w:t>September 2024</w:t>
            </w:r>
          </w:p>
        </w:tc>
        <w:tc>
          <w:tcPr>
            <w:tcW w:w="3402" w:type="dxa"/>
          </w:tcPr>
          <w:p w14:paraId="314CA45B" w14:textId="77777777" w:rsidR="00F30A5F" w:rsidRDefault="00F14FE3" w:rsidP="002D47FD">
            <w:r>
              <w:t>Compliance Review</w:t>
            </w:r>
          </w:p>
          <w:p w14:paraId="5B7B1D18" w14:textId="77777777" w:rsidR="00F14FE3" w:rsidRDefault="00F14FE3" w:rsidP="002D47FD">
            <w:r>
              <w:t>Branding updated</w:t>
            </w:r>
          </w:p>
          <w:p w14:paraId="6CBBEA1A" w14:textId="7A4586B1" w:rsidR="00F14FE3" w:rsidRPr="004C3545" w:rsidRDefault="00F14FE3" w:rsidP="002D47FD">
            <w:r>
              <w:t>Additional reference to MHA Policies – section 12</w:t>
            </w:r>
          </w:p>
        </w:tc>
        <w:tc>
          <w:tcPr>
            <w:tcW w:w="1559" w:type="dxa"/>
          </w:tcPr>
          <w:p w14:paraId="0010D25F" w14:textId="30A760C5" w:rsidR="00F30A5F" w:rsidRPr="004C3545" w:rsidRDefault="00F14FE3" w:rsidP="002D47FD">
            <w:r>
              <w:t>Head of Standards &amp; Policy</w:t>
            </w:r>
          </w:p>
        </w:tc>
        <w:tc>
          <w:tcPr>
            <w:tcW w:w="1843" w:type="dxa"/>
          </w:tcPr>
          <w:p w14:paraId="206341C8" w14:textId="7B87A208" w:rsidR="00F30A5F" w:rsidRPr="004C3545" w:rsidRDefault="00F14FE3" w:rsidP="002D47FD">
            <w:r>
              <w:t>April 2025</w:t>
            </w:r>
          </w:p>
        </w:tc>
      </w:tr>
    </w:tbl>
    <w:p w14:paraId="1AD3A52D" w14:textId="77777777" w:rsidR="002D47FD" w:rsidRPr="004C3545" w:rsidRDefault="002D47FD" w:rsidP="00265378">
      <w:pPr>
        <w:pStyle w:val="Text"/>
      </w:pPr>
    </w:p>
    <w:sectPr w:rsidR="002D47FD" w:rsidRPr="004C3545" w:rsidSect="00847753">
      <w:headerReference w:type="default" r:id="rId27"/>
      <w:footerReference w:type="default" r:id="rId28"/>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50B77" w14:textId="77777777" w:rsidR="00D32B0B" w:rsidRDefault="00D32B0B" w:rsidP="001876E7">
      <w:pPr>
        <w:spacing w:line="240" w:lineRule="auto"/>
      </w:pPr>
      <w:r>
        <w:separator/>
      </w:r>
    </w:p>
  </w:endnote>
  <w:endnote w:type="continuationSeparator" w:id="0">
    <w:p w14:paraId="6A862E41" w14:textId="77777777" w:rsidR="00D32B0B" w:rsidRDefault="00D32B0B"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57959868" w14:textId="77777777" w:rsidR="00764B4C" w:rsidRPr="00764B4C" w:rsidRDefault="00D32B0B" w:rsidP="00454821">
            <w:pPr>
              <w:pStyle w:val="FooterText"/>
              <w:rPr>
                <w:rFonts w:cs="Arial"/>
                <w:spacing w:val="7"/>
              </w:rPr>
            </w:pPr>
            <w:hyperlink w:anchor="TOC" w:history="1">
              <w:r w:rsidR="00764B4C" w:rsidRPr="00764B4C">
                <w:rPr>
                  <w:rStyle w:val="Hyperlink"/>
                  <w:rFonts w:cs="Arial"/>
                  <w:spacing w:val="7"/>
                </w:rPr>
                <w:t>[Back to contents]</w:t>
              </w:r>
            </w:hyperlink>
          </w:p>
          <w:p w14:paraId="2104B70F" w14:textId="3E31EEF6" w:rsidR="003865D9" w:rsidRDefault="00A629A0" w:rsidP="00454821">
            <w:pPr>
              <w:pStyle w:val="FooterText"/>
              <w:tabs>
                <w:tab w:val="right" w:pos="9498"/>
              </w:tabs>
              <w:jc w:val="left"/>
            </w:pPr>
            <w:r>
              <w:t>Distress Behaviour</w:t>
            </w:r>
            <w:r w:rsidR="00070650">
              <w:t xml:space="preserve"> </w:t>
            </w:r>
            <w:r w:rsidR="00900F86">
              <w:t xml:space="preserve">Support Policy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95745" w14:textId="77777777" w:rsidR="00D32B0B" w:rsidRDefault="00D32B0B" w:rsidP="001876E7">
      <w:pPr>
        <w:spacing w:line="240" w:lineRule="auto"/>
      </w:pPr>
      <w:r>
        <w:separator/>
      </w:r>
    </w:p>
  </w:footnote>
  <w:footnote w:type="continuationSeparator" w:id="0">
    <w:p w14:paraId="28F5095F" w14:textId="77777777" w:rsidR="00D32B0B" w:rsidRDefault="00D32B0B"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24F04" w14:textId="0F925445"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61AE4379" wp14:editId="755F6E84">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5C361090"/>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573D7F"/>
    <w:multiLevelType w:val="hybridMultilevel"/>
    <w:tmpl w:val="021A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E2001B"/>
    <w:multiLevelType w:val="hybridMultilevel"/>
    <w:tmpl w:val="A72839FA"/>
    <w:lvl w:ilvl="0" w:tplc="73D09630">
      <w:start w:val="1"/>
      <w:numFmt w:val="lowerLetter"/>
      <w:lvlText w:val="%1."/>
      <w:lvlJc w:val="left"/>
      <w:pPr>
        <w:ind w:left="567" w:hanging="283"/>
      </w:pPr>
      <w:rPr>
        <w:rFonts w:hint="default"/>
      </w:rPr>
    </w:lvl>
    <w:lvl w:ilvl="1" w:tplc="3FA637D8">
      <w:start w:val="1"/>
      <w:numFmt w:val="lowerLetter"/>
      <w:pStyle w:val="P-HeadingLevel3-letter"/>
      <w:lvlText w:val="%2."/>
      <w:lvlJc w:val="left"/>
      <w:pPr>
        <w:ind w:left="567" w:hanging="283"/>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5F023A9"/>
    <w:multiLevelType w:val="hybridMultilevel"/>
    <w:tmpl w:val="4F920328"/>
    <w:lvl w:ilvl="0" w:tplc="8F6E1B94">
      <w:start w:val="1"/>
      <w:numFmt w:val="bullet"/>
      <w:pStyle w:val="P-ListBullet1"/>
      <w:lvlText w:val=""/>
      <w:lvlJc w:val="left"/>
      <w:pPr>
        <w:ind w:left="1844" w:hanging="284"/>
      </w:pPr>
      <w:rPr>
        <w:rFonts w:ascii="Symbol" w:hAnsi="Symbol"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0"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F8546FB"/>
    <w:multiLevelType w:val="hybridMultilevel"/>
    <w:tmpl w:val="8674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A6D25"/>
    <w:multiLevelType w:val="multilevel"/>
    <w:tmpl w:val="CF685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AB2594"/>
    <w:multiLevelType w:val="hybridMultilevel"/>
    <w:tmpl w:val="A8787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9910436"/>
    <w:multiLevelType w:val="hybridMultilevel"/>
    <w:tmpl w:val="7A04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33297E"/>
    <w:multiLevelType w:val="singleLevel"/>
    <w:tmpl w:val="06A2EAFC"/>
    <w:lvl w:ilvl="0">
      <w:start w:val="1"/>
      <w:numFmt w:val="bullet"/>
      <w:lvlText w:val=""/>
      <w:lvlJc w:val="left"/>
      <w:pPr>
        <w:tabs>
          <w:tab w:val="num" w:pos="360"/>
        </w:tabs>
        <w:ind w:left="0" w:firstLine="0"/>
      </w:pPr>
      <w:rPr>
        <w:rFonts w:ascii="Symbol" w:hAnsi="Symbol" w:hint="default"/>
      </w:rPr>
    </w:lvl>
  </w:abstractNum>
  <w:abstractNum w:abstractNumId="17"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9"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8B4951"/>
    <w:multiLevelType w:val="hybridMultilevel"/>
    <w:tmpl w:val="FA2A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C01CB5"/>
    <w:multiLevelType w:val="hybridMultilevel"/>
    <w:tmpl w:val="0A9C3EF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644C7DB1"/>
    <w:multiLevelType w:val="hybridMultilevel"/>
    <w:tmpl w:val="10D07440"/>
    <w:lvl w:ilvl="0" w:tplc="806C51FE">
      <w:start w:val="1"/>
      <w:numFmt w:val="lowerLetter"/>
      <w:pStyle w:val="P-HeadingLevel3-letterblue"/>
      <w:lvlText w:val="%1."/>
      <w:lvlJc w:val="left"/>
      <w:pPr>
        <w:ind w:left="567"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004BA9"/>
    <w:multiLevelType w:val="hybridMultilevel"/>
    <w:tmpl w:val="AA54D3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E73EA3"/>
    <w:multiLevelType w:val="multilevel"/>
    <w:tmpl w:val="DCB46A30"/>
    <w:lvl w:ilvl="0">
      <w:start w:val="1"/>
      <w:numFmt w:val="decimal"/>
      <w:pStyle w:val="P-HeadingLevel1"/>
      <w:lvlText w:val="%1."/>
      <w:lvlJc w:val="left"/>
      <w:pPr>
        <w:ind w:left="567" w:hanging="567"/>
      </w:pPr>
      <w:rPr>
        <w:rFonts w:hint="default"/>
      </w:rPr>
    </w:lvl>
    <w:lvl w:ilvl="1">
      <w:start w:val="1"/>
      <w:numFmt w:val="decimal"/>
      <w:pStyle w:val="P-HeadingLevel2"/>
      <w:lvlText w:val="%1.%2."/>
      <w:lvlJc w:val="left"/>
      <w:pPr>
        <w:ind w:left="567" w:hanging="567"/>
      </w:pPr>
    </w:lvl>
    <w:lvl w:ilvl="2">
      <w:start w:val="1"/>
      <w:numFmt w:val="lowerLetter"/>
      <w:lvlText w:val="%3."/>
      <w:lvlJc w:val="left"/>
      <w:pPr>
        <w:ind w:left="709"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49141532">
    <w:abstractNumId w:val="4"/>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23"/>
  </w:num>
  <w:num w:numId="7" w16cid:durableId="139810974">
    <w:abstractNumId w:val="4"/>
  </w:num>
  <w:num w:numId="8" w16cid:durableId="478111977">
    <w:abstractNumId w:val="18"/>
  </w:num>
  <w:num w:numId="9" w16cid:durableId="672680783">
    <w:abstractNumId w:val="17"/>
  </w:num>
  <w:num w:numId="10" w16cid:durableId="582229400">
    <w:abstractNumId w:val="25"/>
  </w:num>
  <w:num w:numId="11" w16cid:durableId="1068845125">
    <w:abstractNumId w:val="19"/>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4"/>
  </w:num>
  <w:num w:numId="20" w16cid:durableId="1927031610">
    <w:abstractNumId w:val="5"/>
  </w:num>
  <w:num w:numId="21" w16cid:durableId="149368801">
    <w:abstractNumId w:val="10"/>
  </w:num>
  <w:num w:numId="22" w16cid:durableId="537015620">
    <w:abstractNumId w:val="27"/>
  </w:num>
  <w:num w:numId="23" w16cid:durableId="673651929">
    <w:abstractNumId w:val="24"/>
  </w:num>
  <w:num w:numId="24" w16cid:durableId="1700010823">
    <w:abstractNumId w:val="0"/>
  </w:num>
  <w:num w:numId="25" w16cid:durableId="954797076">
    <w:abstractNumId w:val="26"/>
  </w:num>
  <w:num w:numId="26" w16cid:durableId="1621570711">
    <w:abstractNumId w:val="28"/>
  </w:num>
  <w:num w:numId="27" w16cid:durableId="1340356301">
    <w:abstractNumId w:val="15"/>
  </w:num>
  <w:num w:numId="28" w16cid:durableId="20787776">
    <w:abstractNumId w:val="20"/>
  </w:num>
  <w:num w:numId="29" w16cid:durableId="458688396">
    <w:abstractNumId w:val="7"/>
  </w:num>
  <w:num w:numId="30" w16cid:durableId="1550990434">
    <w:abstractNumId w:val="11"/>
  </w:num>
  <w:num w:numId="31" w16cid:durableId="1295940238">
    <w:abstractNumId w:val="6"/>
  </w:num>
  <w:num w:numId="32" w16cid:durableId="12728570">
    <w:abstractNumId w:val="21"/>
  </w:num>
  <w:num w:numId="33" w16cid:durableId="1661347395">
    <w:abstractNumId w:val="9"/>
  </w:num>
  <w:num w:numId="34" w16cid:durableId="311569092">
    <w:abstractNumId w:val="22"/>
  </w:num>
  <w:num w:numId="35" w16cid:durableId="1670863295">
    <w:abstractNumId w:val="24"/>
    <w:lvlOverride w:ilvl="0">
      <w:startOverride w:val="1"/>
    </w:lvlOverride>
  </w:num>
  <w:num w:numId="36" w16cid:durableId="472450224">
    <w:abstractNumId w:val="24"/>
    <w:lvlOverride w:ilvl="0">
      <w:startOverride w:val="1"/>
    </w:lvlOverride>
  </w:num>
  <w:num w:numId="37" w16cid:durableId="1209607085">
    <w:abstractNumId w:val="16"/>
  </w:num>
  <w:num w:numId="38" w16cid:durableId="1124037625">
    <w:abstractNumId w:val="12"/>
  </w:num>
  <w:num w:numId="39" w16cid:durableId="103993843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7C"/>
    <w:rsid w:val="00010148"/>
    <w:rsid w:val="00011E5A"/>
    <w:rsid w:val="00012671"/>
    <w:rsid w:val="0002533A"/>
    <w:rsid w:val="000553E0"/>
    <w:rsid w:val="000646E5"/>
    <w:rsid w:val="0006704D"/>
    <w:rsid w:val="00070650"/>
    <w:rsid w:val="000771AD"/>
    <w:rsid w:val="000C7997"/>
    <w:rsid w:val="000D41D5"/>
    <w:rsid w:val="000F25D4"/>
    <w:rsid w:val="000F64C5"/>
    <w:rsid w:val="001248CF"/>
    <w:rsid w:val="001310BB"/>
    <w:rsid w:val="0013340B"/>
    <w:rsid w:val="00147C3B"/>
    <w:rsid w:val="001876E7"/>
    <w:rsid w:val="00194A22"/>
    <w:rsid w:val="001B5C40"/>
    <w:rsid w:val="001C54BB"/>
    <w:rsid w:val="001E4229"/>
    <w:rsid w:val="001F38FF"/>
    <w:rsid w:val="00247E69"/>
    <w:rsid w:val="002543A7"/>
    <w:rsid w:val="00261059"/>
    <w:rsid w:val="00263D11"/>
    <w:rsid w:val="00265378"/>
    <w:rsid w:val="00273C90"/>
    <w:rsid w:val="00276188"/>
    <w:rsid w:val="00276732"/>
    <w:rsid w:val="002939AF"/>
    <w:rsid w:val="002A538B"/>
    <w:rsid w:val="002B5CDA"/>
    <w:rsid w:val="002C0EC0"/>
    <w:rsid w:val="002D47FD"/>
    <w:rsid w:val="00302641"/>
    <w:rsid w:val="00322ED2"/>
    <w:rsid w:val="003256F1"/>
    <w:rsid w:val="003266FD"/>
    <w:rsid w:val="00345825"/>
    <w:rsid w:val="003510EE"/>
    <w:rsid w:val="003865D9"/>
    <w:rsid w:val="00386B5D"/>
    <w:rsid w:val="0038720A"/>
    <w:rsid w:val="003B0196"/>
    <w:rsid w:val="003B2431"/>
    <w:rsid w:val="003C04D5"/>
    <w:rsid w:val="003C59CC"/>
    <w:rsid w:val="003D40C1"/>
    <w:rsid w:val="003F52EA"/>
    <w:rsid w:val="0042795E"/>
    <w:rsid w:val="0043268D"/>
    <w:rsid w:val="004428C9"/>
    <w:rsid w:val="00451A46"/>
    <w:rsid w:val="00454821"/>
    <w:rsid w:val="0045562B"/>
    <w:rsid w:val="00471203"/>
    <w:rsid w:val="004726A7"/>
    <w:rsid w:val="00480B30"/>
    <w:rsid w:val="004924CF"/>
    <w:rsid w:val="004A48AB"/>
    <w:rsid w:val="004A5F05"/>
    <w:rsid w:val="004B36CD"/>
    <w:rsid w:val="004C3545"/>
    <w:rsid w:val="00507AF2"/>
    <w:rsid w:val="00512916"/>
    <w:rsid w:val="0051530E"/>
    <w:rsid w:val="0052097B"/>
    <w:rsid w:val="0052519E"/>
    <w:rsid w:val="005518A9"/>
    <w:rsid w:val="005711B3"/>
    <w:rsid w:val="00572560"/>
    <w:rsid w:val="0059266A"/>
    <w:rsid w:val="005A508B"/>
    <w:rsid w:val="005D0374"/>
    <w:rsid w:val="005D62C0"/>
    <w:rsid w:val="005E08A1"/>
    <w:rsid w:val="00600B8F"/>
    <w:rsid w:val="00610B2B"/>
    <w:rsid w:val="0063081A"/>
    <w:rsid w:val="0063326C"/>
    <w:rsid w:val="00641DEE"/>
    <w:rsid w:val="006423BB"/>
    <w:rsid w:val="0066591C"/>
    <w:rsid w:val="00667C4A"/>
    <w:rsid w:val="00685E2F"/>
    <w:rsid w:val="006B0609"/>
    <w:rsid w:val="006C5295"/>
    <w:rsid w:val="006E43D5"/>
    <w:rsid w:val="00717A8D"/>
    <w:rsid w:val="00723627"/>
    <w:rsid w:val="007256EF"/>
    <w:rsid w:val="00730CA5"/>
    <w:rsid w:val="00744A83"/>
    <w:rsid w:val="007539BA"/>
    <w:rsid w:val="00764B4C"/>
    <w:rsid w:val="00776701"/>
    <w:rsid w:val="0078642D"/>
    <w:rsid w:val="007902FA"/>
    <w:rsid w:val="007B2919"/>
    <w:rsid w:val="007C2DAF"/>
    <w:rsid w:val="007E1123"/>
    <w:rsid w:val="00800F6D"/>
    <w:rsid w:val="0081228C"/>
    <w:rsid w:val="00831235"/>
    <w:rsid w:val="00832C4B"/>
    <w:rsid w:val="0084471B"/>
    <w:rsid w:val="00847753"/>
    <w:rsid w:val="00861EB0"/>
    <w:rsid w:val="0087097E"/>
    <w:rsid w:val="008874B0"/>
    <w:rsid w:val="00887ED4"/>
    <w:rsid w:val="00893D07"/>
    <w:rsid w:val="008A7363"/>
    <w:rsid w:val="008B0A37"/>
    <w:rsid w:val="008B1D97"/>
    <w:rsid w:val="008C207A"/>
    <w:rsid w:val="008D1B9A"/>
    <w:rsid w:val="008D3C32"/>
    <w:rsid w:val="008D6213"/>
    <w:rsid w:val="008D791B"/>
    <w:rsid w:val="008F09EB"/>
    <w:rsid w:val="008F41A1"/>
    <w:rsid w:val="00900F86"/>
    <w:rsid w:val="00903AA2"/>
    <w:rsid w:val="009050C4"/>
    <w:rsid w:val="00914FC1"/>
    <w:rsid w:val="00921168"/>
    <w:rsid w:val="00922DB3"/>
    <w:rsid w:val="00947D46"/>
    <w:rsid w:val="009655E2"/>
    <w:rsid w:val="00973E48"/>
    <w:rsid w:val="009A0ED4"/>
    <w:rsid w:val="009C240F"/>
    <w:rsid w:val="009E3487"/>
    <w:rsid w:val="00A17E0E"/>
    <w:rsid w:val="00A2427C"/>
    <w:rsid w:val="00A24DA1"/>
    <w:rsid w:val="00A34D37"/>
    <w:rsid w:val="00A36714"/>
    <w:rsid w:val="00A43329"/>
    <w:rsid w:val="00A52F66"/>
    <w:rsid w:val="00A61E40"/>
    <w:rsid w:val="00A629A0"/>
    <w:rsid w:val="00A92CD7"/>
    <w:rsid w:val="00A96980"/>
    <w:rsid w:val="00AA0D99"/>
    <w:rsid w:val="00AB4A71"/>
    <w:rsid w:val="00AD1CC1"/>
    <w:rsid w:val="00AD5FD5"/>
    <w:rsid w:val="00AE5301"/>
    <w:rsid w:val="00AE5E04"/>
    <w:rsid w:val="00AF1001"/>
    <w:rsid w:val="00B148E6"/>
    <w:rsid w:val="00B148FF"/>
    <w:rsid w:val="00B22399"/>
    <w:rsid w:val="00B2494E"/>
    <w:rsid w:val="00B275B1"/>
    <w:rsid w:val="00B46F84"/>
    <w:rsid w:val="00B47081"/>
    <w:rsid w:val="00B56F75"/>
    <w:rsid w:val="00B77AE5"/>
    <w:rsid w:val="00B8132B"/>
    <w:rsid w:val="00BA22C2"/>
    <w:rsid w:val="00BD14E6"/>
    <w:rsid w:val="00C108E0"/>
    <w:rsid w:val="00C114D1"/>
    <w:rsid w:val="00C136D0"/>
    <w:rsid w:val="00C143CB"/>
    <w:rsid w:val="00C20301"/>
    <w:rsid w:val="00C26C7B"/>
    <w:rsid w:val="00C41ACB"/>
    <w:rsid w:val="00C44824"/>
    <w:rsid w:val="00C46D60"/>
    <w:rsid w:val="00C81C94"/>
    <w:rsid w:val="00C93C14"/>
    <w:rsid w:val="00CB339C"/>
    <w:rsid w:val="00CB43C5"/>
    <w:rsid w:val="00CB6415"/>
    <w:rsid w:val="00CD5DBF"/>
    <w:rsid w:val="00CF6C46"/>
    <w:rsid w:val="00D10E87"/>
    <w:rsid w:val="00D232C1"/>
    <w:rsid w:val="00D32B0B"/>
    <w:rsid w:val="00D4040D"/>
    <w:rsid w:val="00D558F5"/>
    <w:rsid w:val="00D77D91"/>
    <w:rsid w:val="00D81FF3"/>
    <w:rsid w:val="00DA2FE1"/>
    <w:rsid w:val="00DB2058"/>
    <w:rsid w:val="00DB24AA"/>
    <w:rsid w:val="00DC7F16"/>
    <w:rsid w:val="00DD7DA1"/>
    <w:rsid w:val="00DE0123"/>
    <w:rsid w:val="00DF67AA"/>
    <w:rsid w:val="00E04B72"/>
    <w:rsid w:val="00E06E01"/>
    <w:rsid w:val="00E3506D"/>
    <w:rsid w:val="00E365D6"/>
    <w:rsid w:val="00E40653"/>
    <w:rsid w:val="00E561CE"/>
    <w:rsid w:val="00E755AD"/>
    <w:rsid w:val="00E75D27"/>
    <w:rsid w:val="00E81048"/>
    <w:rsid w:val="00E812FA"/>
    <w:rsid w:val="00E86F23"/>
    <w:rsid w:val="00E87F15"/>
    <w:rsid w:val="00E93EEA"/>
    <w:rsid w:val="00EB4016"/>
    <w:rsid w:val="00EC4F61"/>
    <w:rsid w:val="00ED047B"/>
    <w:rsid w:val="00ED1C9E"/>
    <w:rsid w:val="00EE7121"/>
    <w:rsid w:val="00EF3699"/>
    <w:rsid w:val="00EF60A6"/>
    <w:rsid w:val="00F14FE3"/>
    <w:rsid w:val="00F22D39"/>
    <w:rsid w:val="00F3092E"/>
    <w:rsid w:val="00F30A5F"/>
    <w:rsid w:val="00F3709A"/>
    <w:rsid w:val="00F9138C"/>
    <w:rsid w:val="00F91DD0"/>
    <w:rsid w:val="00FA1162"/>
    <w:rsid w:val="00FB1B42"/>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7D620"/>
  <w15:chartTrackingRefBased/>
  <w15:docId w15:val="{4A460634-BABF-4C8C-95CF-6A21CFAE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0"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0" w:unhideWhenUsed="1" w:qFormat="1"/>
    <w:lsdException w:name="heading 8" w:semiHidden="1" w:uiPriority="0"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5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685E2F"/>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F91DD0"/>
    <w:rPr>
      <w:u w:val="single"/>
    </w:rPr>
  </w:style>
  <w:style w:type="paragraph" w:customStyle="1" w:styleId="P-Normal">
    <w:name w:val="P-Normal"/>
    <w:basedOn w:val="Normal"/>
    <w:qFormat/>
    <w:rsid w:val="00CB339C"/>
    <w:pPr>
      <w:spacing w:after="240" w:line="276" w:lineRule="auto"/>
      <w:jc w:val="both"/>
    </w:pPr>
    <w:rPr>
      <w:rFonts w:eastAsia="Times New Roman" w:cs="Times New Roman"/>
      <w:sz w:val="22"/>
      <w:szCs w:val="22"/>
      <w:lang w:eastAsia="en-GB"/>
    </w:rPr>
  </w:style>
  <w:style w:type="paragraph" w:customStyle="1" w:styleId="P-NormalIndent">
    <w:name w:val="P-Normal Indent"/>
    <w:basedOn w:val="P-Normal"/>
    <w:qFormat/>
    <w:rsid w:val="00CB339C"/>
    <w:pPr>
      <w:ind w:left="567"/>
    </w:pPr>
  </w:style>
  <w:style w:type="paragraph" w:customStyle="1" w:styleId="P-HeadingLevel1">
    <w:name w:val="P-Heading Level 1"/>
    <w:basedOn w:val="P-Normal"/>
    <w:next w:val="P-NormalIndent"/>
    <w:qFormat/>
    <w:rsid w:val="00CB339C"/>
    <w:pPr>
      <w:numPr>
        <w:numId w:val="26"/>
      </w:numPr>
    </w:pPr>
    <w:rPr>
      <w:b/>
    </w:rPr>
  </w:style>
  <w:style w:type="paragraph" w:customStyle="1" w:styleId="P-HeadingLevel2">
    <w:name w:val="P-Heading Level 2"/>
    <w:basedOn w:val="P-HeadingLevel1"/>
    <w:next w:val="P-NormalIndent"/>
    <w:qFormat/>
    <w:rsid w:val="00CB339C"/>
    <w:pPr>
      <w:numPr>
        <w:ilvl w:val="1"/>
      </w:numPr>
    </w:pPr>
    <w:rPr>
      <w:b w:val="0"/>
    </w:rPr>
  </w:style>
  <w:style w:type="paragraph" w:customStyle="1" w:styleId="P-HeadingLevel3-letter">
    <w:name w:val="P-Heading Level 3-letter"/>
    <w:basedOn w:val="P-HeadingLevel2"/>
    <w:qFormat/>
    <w:rsid w:val="00BD14E6"/>
    <w:pPr>
      <w:numPr>
        <w:numId w:val="29"/>
      </w:numPr>
    </w:pPr>
    <w:rPr>
      <w:noProof/>
      <w:shd w:val="clear" w:color="auto" w:fill="FFFFFF"/>
    </w:rPr>
  </w:style>
  <w:style w:type="paragraph" w:customStyle="1" w:styleId="P-HeadingLevel3-letterblue">
    <w:name w:val="P-Heading Level 3-letter blue"/>
    <w:basedOn w:val="P-HeadingLevel2"/>
    <w:qFormat/>
    <w:rsid w:val="00DD7DA1"/>
    <w:pPr>
      <w:numPr>
        <w:ilvl w:val="0"/>
        <w:numId w:val="34"/>
      </w:numPr>
    </w:pPr>
    <w:rPr>
      <w:b/>
      <w:color w:val="0070C0"/>
    </w:rPr>
  </w:style>
  <w:style w:type="paragraph" w:customStyle="1" w:styleId="P-ListBullet1">
    <w:name w:val="P-List Bullet 1"/>
    <w:basedOn w:val="P-Normal"/>
    <w:qFormat/>
    <w:rsid w:val="00DD7DA1"/>
    <w:pPr>
      <w:numPr>
        <w:numId w:val="33"/>
      </w:numPr>
    </w:pPr>
  </w:style>
  <w:style w:type="character" w:styleId="FollowedHyperlink">
    <w:name w:val="FollowedHyperlink"/>
    <w:basedOn w:val="DefaultParagraphFont"/>
    <w:uiPriority w:val="99"/>
    <w:semiHidden/>
    <w:unhideWhenUsed/>
    <w:rsid w:val="00C46D60"/>
    <w:rPr>
      <w:color w:val="0000FF" w:themeColor="followedHyperlink"/>
      <w:u w:val="single"/>
    </w:rPr>
  </w:style>
  <w:style w:type="paragraph" w:styleId="Revision">
    <w:name w:val="Revision"/>
    <w:hidden/>
    <w:uiPriority w:val="99"/>
    <w:semiHidden/>
    <w:rsid w:val="00E81048"/>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yperlink" Target="https://hub.careinspectorate.com/national-policy-and-legislation/health-and-social-care-standards/" TargetMode="External"/><Relationship Id="rId26" Type="http://schemas.openxmlformats.org/officeDocument/2006/relationships/hyperlink" Target="https://intranet.mha.org.uk/Interact/Pages/Content/Document.aspx?id=2311&amp;utm_source=interact&amp;utm_medium=quick_search&amp;utm_term=HP119" TargetMode="External"/><Relationship Id="rId3" Type="http://schemas.openxmlformats.org/officeDocument/2006/relationships/styles" Target="styles.xml"/><Relationship Id="rId21" Type="http://schemas.openxmlformats.org/officeDocument/2006/relationships/hyperlink" Target="https://www.mwcscot.org.uk/sites/default/files/2021-03/RightsRisksAndLimitsToFreedom_March2021.pdf"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socialcare.wales/resources-guidance/information-and-learning-hub/sswbact/overview" TargetMode="External"/><Relationship Id="rId25" Type="http://schemas.openxmlformats.org/officeDocument/2006/relationships/hyperlink" Target="https://intranet.mha.org.uk/Interact/Pages/Content/Document.aspx?id=2310&amp;utm_source=interact&amp;utm_medium=quick_search&amp;utm_term=hp119" TargetMode="External"/><Relationship Id="rId2" Type="http://schemas.openxmlformats.org/officeDocument/2006/relationships/numbering" Target="numbering.xml"/><Relationship Id="rId16" Type="http://schemas.openxmlformats.org/officeDocument/2006/relationships/hyperlink" Target="https://www.legislation.gov.uk/ukdsi/2014/9780111117613/contents" TargetMode="External"/><Relationship Id="rId20" Type="http://schemas.openxmlformats.org/officeDocument/2006/relationships/hyperlink" Target="https://www.gov.scot/publications/adults-with-incapacity-act-principl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www.alzheimers.org.uk/about-dementia/symptoms-and-diagnosis/symptoms/managing-behaviour-changes" TargetMode="External"/><Relationship Id="rId5" Type="http://schemas.openxmlformats.org/officeDocument/2006/relationships/webSettings" Target="webSettings.xml"/><Relationship Id="rId15" Type="http://schemas.openxmlformats.org/officeDocument/2006/relationships/hyperlink" Target="https://www.gov.uk/government/publications/care-act-2014-part-1-factsheets/care-act-factsheets" TargetMode="External"/><Relationship Id="rId23" Type="http://schemas.openxmlformats.org/officeDocument/2006/relationships/hyperlink" Target="https://www.nice.org.uk/guidance/ng97" TargetMode="Externa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s://www.legislation.gov.uk/ukpga/2005/9/content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policies@mha.org.uk" TargetMode="External"/><Relationship Id="rId22" Type="http://schemas.openxmlformats.org/officeDocument/2006/relationships/hyperlink" Target="https://www.gloucestershire.gov.uk/media/5761/5_step_approach_booklet-64562.pd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74AD34-7C7A-4D74-848E-7D2481BBB38D}"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n-GB"/>
        </a:p>
      </dgm:t>
    </dgm:pt>
    <dgm:pt modelId="{09D052A5-7F5B-4D8F-8E19-B164CDA4CF93}">
      <dgm:prSet phldrT="[Text]"/>
      <dgm:spPr/>
      <dgm:t>
        <a:bodyPr/>
        <a:lstStyle/>
        <a:p>
          <a:r>
            <a:rPr lang="en-GB" b="1"/>
            <a:t>STEP 1 -Identify. </a:t>
          </a:r>
        </a:p>
      </dgm:t>
    </dgm:pt>
    <dgm:pt modelId="{0990869D-91D1-4A38-AF45-65DDBDD697BB}" type="parTrans" cxnId="{0E45FFC2-4016-4BA6-AF70-D2F01C97C7A5}">
      <dgm:prSet/>
      <dgm:spPr/>
      <dgm:t>
        <a:bodyPr/>
        <a:lstStyle/>
        <a:p>
          <a:endParaRPr lang="en-GB"/>
        </a:p>
      </dgm:t>
    </dgm:pt>
    <dgm:pt modelId="{2DA145B3-4622-433C-84E4-4313E902442C}" type="sibTrans" cxnId="{0E45FFC2-4016-4BA6-AF70-D2F01C97C7A5}">
      <dgm:prSet/>
      <dgm:spPr/>
      <dgm:t>
        <a:bodyPr/>
        <a:lstStyle/>
        <a:p>
          <a:endParaRPr lang="en-GB"/>
        </a:p>
      </dgm:t>
    </dgm:pt>
    <dgm:pt modelId="{1CAEA8A0-6347-4C25-BBC9-E0808DC9A5EE}">
      <dgm:prSet phldrT="[Text]"/>
      <dgm:spPr/>
      <dgm:t>
        <a:bodyPr/>
        <a:lstStyle/>
        <a:p>
          <a:r>
            <a:rPr lang="en-GB" b="1"/>
            <a:t>STEP 2 -Assess</a:t>
          </a:r>
        </a:p>
      </dgm:t>
    </dgm:pt>
    <dgm:pt modelId="{A278A918-B161-4E36-AD4A-0AEB79DBB09B}" type="parTrans" cxnId="{1F9C9854-9A25-4672-84DA-FACF87862524}">
      <dgm:prSet/>
      <dgm:spPr/>
      <dgm:t>
        <a:bodyPr/>
        <a:lstStyle/>
        <a:p>
          <a:endParaRPr lang="en-GB"/>
        </a:p>
      </dgm:t>
    </dgm:pt>
    <dgm:pt modelId="{512B9422-8938-4B22-8C37-9DF38E9A08AD}" type="sibTrans" cxnId="{1F9C9854-9A25-4672-84DA-FACF87862524}">
      <dgm:prSet/>
      <dgm:spPr/>
      <dgm:t>
        <a:bodyPr/>
        <a:lstStyle/>
        <a:p>
          <a:endParaRPr lang="en-GB"/>
        </a:p>
      </dgm:t>
    </dgm:pt>
    <dgm:pt modelId="{E84E84F6-9F42-47F2-8C8D-D04C5AB1964F}">
      <dgm:prSet phldrT="[Text]"/>
      <dgm:spPr/>
      <dgm:t>
        <a:bodyPr/>
        <a:lstStyle/>
        <a:p>
          <a:r>
            <a:rPr lang="en-GB" b="1"/>
            <a:t>STEP 3 -Analyse. </a:t>
          </a:r>
        </a:p>
      </dgm:t>
    </dgm:pt>
    <dgm:pt modelId="{711A5AFC-CC5D-416D-BF9D-A84841CC7520}" type="parTrans" cxnId="{4D9E245F-C390-4B9E-9291-8833837F5259}">
      <dgm:prSet/>
      <dgm:spPr/>
      <dgm:t>
        <a:bodyPr/>
        <a:lstStyle/>
        <a:p>
          <a:endParaRPr lang="en-GB"/>
        </a:p>
      </dgm:t>
    </dgm:pt>
    <dgm:pt modelId="{F76E5E1B-CD7E-4B91-8951-BA8A7BC2DF47}" type="sibTrans" cxnId="{4D9E245F-C390-4B9E-9291-8833837F5259}">
      <dgm:prSet/>
      <dgm:spPr/>
      <dgm:t>
        <a:bodyPr/>
        <a:lstStyle/>
        <a:p>
          <a:endParaRPr lang="en-GB"/>
        </a:p>
      </dgm:t>
    </dgm:pt>
    <dgm:pt modelId="{DA37C7C3-E96A-4054-B69B-92A3925A880F}">
      <dgm:prSet phldrT="[Text]"/>
      <dgm:spPr/>
      <dgm:t>
        <a:bodyPr/>
        <a:lstStyle/>
        <a:p>
          <a:r>
            <a:rPr lang="en-GB" b="1"/>
            <a:t>STEP 4 - Plan. </a:t>
          </a:r>
        </a:p>
      </dgm:t>
    </dgm:pt>
    <dgm:pt modelId="{66C95E09-E5A0-4175-9063-C84907AD9956}" type="parTrans" cxnId="{902B7309-8D0B-4024-8C69-FBB0F382CD4A}">
      <dgm:prSet/>
      <dgm:spPr/>
      <dgm:t>
        <a:bodyPr/>
        <a:lstStyle/>
        <a:p>
          <a:endParaRPr lang="en-GB"/>
        </a:p>
      </dgm:t>
    </dgm:pt>
    <dgm:pt modelId="{B146B6E5-C888-4B00-BDB1-AF7583695BB9}" type="sibTrans" cxnId="{902B7309-8D0B-4024-8C69-FBB0F382CD4A}">
      <dgm:prSet/>
      <dgm:spPr/>
      <dgm:t>
        <a:bodyPr/>
        <a:lstStyle/>
        <a:p>
          <a:endParaRPr lang="en-GB"/>
        </a:p>
      </dgm:t>
    </dgm:pt>
    <dgm:pt modelId="{DD8580A3-5724-4973-B004-1619D5EB4AA6}">
      <dgm:prSet phldrT="[Text]"/>
      <dgm:spPr/>
      <dgm:t>
        <a:bodyPr/>
        <a:lstStyle/>
        <a:p>
          <a:r>
            <a:rPr lang="en-GB" b="1"/>
            <a:t>STEP 5 -</a:t>
          </a:r>
        </a:p>
        <a:p>
          <a:r>
            <a:rPr lang="en-GB" b="1"/>
            <a:t>Review. </a:t>
          </a:r>
        </a:p>
      </dgm:t>
    </dgm:pt>
    <dgm:pt modelId="{86B00601-AFD8-42F1-A8A6-192D000E1F3D}" type="parTrans" cxnId="{AC911AF3-0F81-446A-A896-265E4314EAD1}">
      <dgm:prSet/>
      <dgm:spPr/>
      <dgm:t>
        <a:bodyPr/>
        <a:lstStyle/>
        <a:p>
          <a:endParaRPr lang="en-GB"/>
        </a:p>
      </dgm:t>
    </dgm:pt>
    <dgm:pt modelId="{6FB24CC1-A75F-4253-A77B-BADCC36BB6A9}" type="sibTrans" cxnId="{AC911AF3-0F81-446A-A896-265E4314EAD1}">
      <dgm:prSet/>
      <dgm:spPr/>
      <dgm:t>
        <a:bodyPr/>
        <a:lstStyle/>
        <a:p>
          <a:endParaRPr lang="en-GB"/>
        </a:p>
      </dgm:t>
    </dgm:pt>
    <dgm:pt modelId="{683CB123-63EE-4A7B-AA6F-7CF281CAAB22}" type="pres">
      <dgm:prSet presAssocID="{EE74AD34-7C7A-4D74-848E-7D2481BBB38D}" presName="cycle" presStyleCnt="0">
        <dgm:presLayoutVars>
          <dgm:dir/>
          <dgm:resizeHandles val="exact"/>
        </dgm:presLayoutVars>
      </dgm:prSet>
      <dgm:spPr/>
    </dgm:pt>
    <dgm:pt modelId="{580218EE-F692-4942-B654-892CB7FBEED7}" type="pres">
      <dgm:prSet presAssocID="{09D052A5-7F5B-4D8F-8E19-B164CDA4CF93}" presName="node" presStyleLbl="node1" presStyleIdx="0" presStyleCnt="5">
        <dgm:presLayoutVars>
          <dgm:bulletEnabled val="1"/>
        </dgm:presLayoutVars>
      </dgm:prSet>
      <dgm:spPr/>
    </dgm:pt>
    <dgm:pt modelId="{6713CA8E-6BBE-4FDF-BF5B-841C51EDA9BD}" type="pres">
      <dgm:prSet presAssocID="{2DA145B3-4622-433C-84E4-4313E902442C}" presName="sibTrans" presStyleLbl="sibTrans2D1" presStyleIdx="0" presStyleCnt="5"/>
      <dgm:spPr/>
    </dgm:pt>
    <dgm:pt modelId="{D65EFB75-AF19-4162-A69A-A52D6E1995FD}" type="pres">
      <dgm:prSet presAssocID="{2DA145B3-4622-433C-84E4-4313E902442C}" presName="connectorText" presStyleLbl="sibTrans2D1" presStyleIdx="0" presStyleCnt="5"/>
      <dgm:spPr/>
    </dgm:pt>
    <dgm:pt modelId="{AF038C39-86A9-451A-BF35-FDDC7BB60310}" type="pres">
      <dgm:prSet presAssocID="{1CAEA8A0-6347-4C25-BBC9-E0808DC9A5EE}" presName="node" presStyleLbl="node1" presStyleIdx="1" presStyleCnt="5">
        <dgm:presLayoutVars>
          <dgm:bulletEnabled val="1"/>
        </dgm:presLayoutVars>
      </dgm:prSet>
      <dgm:spPr/>
    </dgm:pt>
    <dgm:pt modelId="{407CE2C5-B229-4199-832D-52AA0BD6EAAC}" type="pres">
      <dgm:prSet presAssocID="{512B9422-8938-4B22-8C37-9DF38E9A08AD}" presName="sibTrans" presStyleLbl="sibTrans2D1" presStyleIdx="1" presStyleCnt="5"/>
      <dgm:spPr/>
    </dgm:pt>
    <dgm:pt modelId="{EDB659C6-2C29-4BC5-8E75-541D64B67E5E}" type="pres">
      <dgm:prSet presAssocID="{512B9422-8938-4B22-8C37-9DF38E9A08AD}" presName="connectorText" presStyleLbl="sibTrans2D1" presStyleIdx="1" presStyleCnt="5"/>
      <dgm:spPr/>
    </dgm:pt>
    <dgm:pt modelId="{9D3722D3-7885-42C0-B7DF-3BB7B6BA4E27}" type="pres">
      <dgm:prSet presAssocID="{E84E84F6-9F42-47F2-8C8D-D04C5AB1964F}" presName="node" presStyleLbl="node1" presStyleIdx="2" presStyleCnt="5">
        <dgm:presLayoutVars>
          <dgm:bulletEnabled val="1"/>
        </dgm:presLayoutVars>
      </dgm:prSet>
      <dgm:spPr/>
    </dgm:pt>
    <dgm:pt modelId="{3E67DC19-670B-4577-BB0B-26481EF03CBC}" type="pres">
      <dgm:prSet presAssocID="{F76E5E1B-CD7E-4B91-8951-BA8A7BC2DF47}" presName="sibTrans" presStyleLbl="sibTrans2D1" presStyleIdx="2" presStyleCnt="5"/>
      <dgm:spPr/>
    </dgm:pt>
    <dgm:pt modelId="{98E6D664-EC62-43D1-801F-FE87E80723FE}" type="pres">
      <dgm:prSet presAssocID="{F76E5E1B-CD7E-4B91-8951-BA8A7BC2DF47}" presName="connectorText" presStyleLbl="sibTrans2D1" presStyleIdx="2" presStyleCnt="5"/>
      <dgm:spPr/>
    </dgm:pt>
    <dgm:pt modelId="{00ED1E14-9247-4FF5-8AF2-116771483576}" type="pres">
      <dgm:prSet presAssocID="{DA37C7C3-E96A-4054-B69B-92A3925A880F}" presName="node" presStyleLbl="node1" presStyleIdx="3" presStyleCnt="5">
        <dgm:presLayoutVars>
          <dgm:bulletEnabled val="1"/>
        </dgm:presLayoutVars>
      </dgm:prSet>
      <dgm:spPr/>
    </dgm:pt>
    <dgm:pt modelId="{9C8415E6-A21B-4DC7-BDF1-FC501E9C10E2}" type="pres">
      <dgm:prSet presAssocID="{B146B6E5-C888-4B00-BDB1-AF7583695BB9}" presName="sibTrans" presStyleLbl="sibTrans2D1" presStyleIdx="3" presStyleCnt="5"/>
      <dgm:spPr/>
    </dgm:pt>
    <dgm:pt modelId="{43F0E3C2-EBA6-4B75-991F-159D7FE22C16}" type="pres">
      <dgm:prSet presAssocID="{B146B6E5-C888-4B00-BDB1-AF7583695BB9}" presName="connectorText" presStyleLbl="sibTrans2D1" presStyleIdx="3" presStyleCnt="5"/>
      <dgm:spPr/>
    </dgm:pt>
    <dgm:pt modelId="{661AF5A0-31D1-48A2-9D00-7FA889012933}" type="pres">
      <dgm:prSet presAssocID="{DD8580A3-5724-4973-B004-1619D5EB4AA6}" presName="node" presStyleLbl="node1" presStyleIdx="4" presStyleCnt="5">
        <dgm:presLayoutVars>
          <dgm:bulletEnabled val="1"/>
        </dgm:presLayoutVars>
      </dgm:prSet>
      <dgm:spPr/>
    </dgm:pt>
    <dgm:pt modelId="{9669B741-31A4-4A0D-9169-4C3EFF5D2AAE}" type="pres">
      <dgm:prSet presAssocID="{6FB24CC1-A75F-4253-A77B-BADCC36BB6A9}" presName="sibTrans" presStyleLbl="sibTrans2D1" presStyleIdx="4" presStyleCnt="5"/>
      <dgm:spPr/>
    </dgm:pt>
    <dgm:pt modelId="{2791EC6C-C16C-44F7-ABCD-5B0655D33064}" type="pres">
      <dgm:prSet presAssocID="{6FB24CC1-A75F-4253-A77B-BADCC36BB6A9}" presName="connectorText" presStyleLbl="sibTrans2D1" presStyleIdx="4" presStyleCnt="5"/>
      <dgm:spPr/>
    </dgm:pt>
  </dgm:ptLst>
  <dgm:cxnLst>
    <dgm:cxn modelId="{902B7309-8D0B-4024-8C69-FBB0F382CD4A}" srcId="{EE74AD34-7C7A-4D74-848E-7D2481BBB38D}" destId="{DA37C7C3-E96A-4054-B69B-92A3925A880F}" srcOrd="3" destOrd="0" parTransId="{66C95E09-E5A0-4175-9063-C84907AD9956}" sibTransId="{B146B6E5-C888-4B00-BDB1-AF7583695BB9}"/>
    <dgm:cxn modelId="{B1172C0A-F162-42B6-A232-2A2C7541BE7F}" type="presOf" srcId="{09D052A5-7F5B-4D8F-8E19-B164CDA4CF93}" destId="{580218EE-F692-4942-B654-892CB7FBEED7}" srcOrd="0" destOrd="0" presId="urn:microsoft.com/office/officeart/2005/8/layout/cycle2"/>
    <dgm:cxn modelId="{1A09163C-93E7-4155-8895-DAA58B253CFF}" type="presOf" srcId="{512B9422-8938-4B22-8C37-9DF38E9A08AD}" destId="{407CE2C5-B229-4199-832D-52AA0BD6EAAC}" srcOrd="0" destOrd="0" presId="urn:microsoft.com/office/officeart/2005/8/layout/cycle2"/>
    <dgm:cxn modelId="{4D9E245F-C390-4B9E-9291-8833837F5259}" srcId="{EE74AD34-7C7A-4D74-848E-7D2481BBB38D}" destId="{E84E84F6-9F42-47F2-8C8D-D04C5AB1964F}" srcOrd="2" destOrd="0" parTransId="{711A5AFC-CC5D-416D-BF9D-A84841CC7520}" sibTransId="{F76E5E1B-CD7E-4B91-8951-BA8A7BC2DF47}"/>
    <dgm:cxn modelId="{AD765260-51DD-4A44-BA57-3DB9A9BA8F0E}" type="presOf" srcId="{6FB24CC1-A75F-4253-A77B-BADCC36BB6A9}" destId="{2791EC6C-C16C-44F7-ABCD-5B0655D33064}" srcOrd="1" destOrd="0" presId="urn:microsoft.com/office/officeart/2005/8/layout/cycle2"/>
    <dgm:cxn modelId="{69DD9644-6A6A-4C71-9C80-42BEBB658A2F}" type="presOf" srcId="{2DA145B3-4622-433C-84E4-4313E902442C}" destId="{6713CA8E-6BBE-4FDF-BF5B-841C51EDA9BD}" srcOrd="0" destOrd="0" presId="urn:microsoft.com/office/officeart/2005/8/layout/cycle2"/>
    <dgm:cxn modelId="{A8421F66-8CA5-4482-AD57-E056A6D6C3D7}" type="presOf" srcId="{B146B6E5-C888-4B00-BDB1-AF7583695BB9}" destId="{9C8415E6-A21B-4DC7-BDF1-FC501E9C10E2}" srcOrd="0" destOrd="0" presId="urn:microsoft.com/office/officeart/2005/8/layout/cycle2"/>
    <dgm:cxn modelId="{07E6606E-2917-4AFA-8F40-9EE516130216}" type="presOf" srcId="{DA37C7C3-E96A-4054-B69B-92A3925A880F}" destId="{00ED1E14-9247-4FF5-8AF2-116771483576}" srcOrd="0" destOrd="0" presId="urn:microsoft.com/office/officeart/2005/8/layout/cycle2"/>
    <dgm:cxn modelId="{4AB30173-68FC-4FAA-8F01-B96BC508EA1D}" type="presOf" srcId="{2DA145B3-4622-433C-84E4-4313E902442C}" destId="{D65EFB75-AF19-4162-A69A-A52D6E1995FD}" srcOrd="1" destOrd="0" presId="urn:microsoft.com/office/officeart/2005/8/layout/cycle2"/>
    <dgm:cxn modelId="{1F9C9854-9A25-4672-84DA-FACF87862524}" srcId="{EE74AD34-7C7A-4D74-848E-7D2481BBB38D}" destId="{1CAEA8A0-6347-4C25-BBC9-E0808DC9A5EE}" srcOrd="1" destOrd="0" parTransId="{A278A918-B161-4E36-AD4A-0AEB79DBB09B}" sibTransId="{512B9422-8938-4B22-8C37-9DF38E9A08AD}"/>
    <dgm:cxn modelId="{DB19C975-C243-4FD2-853A-89B72F705720}" type="presOf" srcId="{F76E5E1B-CD7E-4B91-8951-BA8A7BC2DF47}" destId="{98E6D664-EC62-43D1-801F-FE87E80723FE}" srcOrd="1" destOrd="0" presId="urn:microsoft.com/office/officeart/2005/8/layout/cycle2"/>
    <dgm:cxn modelId="{465FF084-BE8C-49FF-8862-96B6081FB0A4}" type="presOf" srcId="{EE74AD34-7C7A-4D74-848E-7D2481BBB38D}" destId="{683CB123-63EE-4A7B-AA6F-7CF281CAAB22}" srcOrd="0" destOrd="0" presId="urn:microsoft.com/office/officeart/2005/8/layout/cycle2"/>
    <dgm:cxn modelId="{9F31E987-BFF3-4408-A3DA-D2A8448E9585}" type="presOf" srcId="{DD8580A3-5724-4973-B004-1619D5EB4AA6}" destId="{661AF5A0-31D1-48A2-9D00-7FA889012933}" srcOrd="0" destOrd="0" presId="urn:microsoft.com/office/officeart/2005/8/layout/cycle2"/>
    <dgm:cxn modelId="{A46BE793-5DF0-4FCC-93A3-F05757804E2F}" type="presOf" srcId="{512B9422-8938-4B22-8C37-9DF38E9A08AD}" destId="{EDB659C6-2C29-4BC5-8E75-541D64B67E5E}" srcOrd="1" destOrd="0" presId="urn:microsoft.com/office/officeart/2005/8/layout/cycle2"/>
    <dgm:cxn modelId="{14355795-0EAC-4DF0-80D9-6BF335DA7989}" type="presOf" srcId="{F76E5E1B-CD7E-4B91-8951-BA8A7BC2DF47}" destId="{3E67DC19-670B-4577-BB0B-26481EF03CBC}" srcOrd="0" destOrd="0" presId="urn:microsoft.com/office/officeart/2005/8/layout/cycle2"/>
    <dgm:cxn modelId="{6658179A-B280-488E-9D28-A9EE64F52D07}" type="presOf" srcId="{E84E84F6-9F42-47F2-8C8D-D04C5AB1964F}" destId="{9D3722D3-7885-42C0-B7DF-3BB7B6BA4E27}" srcOrd="0" destOrd="0" presId="urn:microsoft.com/office/officeart/2005/8/layout/cycle2"/>
    <dgm:cxn modelId="{0B754FA3-A7B7-4E6A-AF34-C015097E2109}" type="presOf" srcId="{6FB24CC1-A75F-4253-A77B-BADCC36BB6A9}" destId="{9669B741-31A4-4A0D-9169-4C3EFF5D2AAE}" srcOrd="0" destOrd="0" presId="urn:microsoft.com/office/officeart/2005/8/layout/cycle2"/>
    <dgm:cxn modelId="{F2AE42A6-7942-4256-892B-896ABF5A0D10}" type="presOf" srcId="{B146B6E5-C888-4B00-BDB1-AF7583695BB9}" destId="{43F0E3C2-EBA6-4B75-991F-159D7FE22C16}" srcOrd="1" destOrd="0" presId="urn:microsoft.com/office/officeart/2005/8/layout/cycle2"/>
    <dgm:cxn modelId="{0E45FFC2-4016-4BA6-AF70-D2F01C97C7A5}" srcId="{EE74AD34-7C7A-4D74-848E-7D2481BBB38D}" destId="{09D052A5-7F5B-4D8F-8E19-B164CDA4CF93}" srcOrd="0" destOrd="0" parTransId="{0990869D-91D1-4A38-AF45-65DDBDD697BB}" sibTransId="{2DA145B3-4622-433C-84E4-4313E902442C}"/>
    <dgm:cxn modelId="{AC911AF3-0F81-446A-A896-265E4314EAD1}" srcId="{EE74AD34-7C7A-4D74-848E-7D2481BBB38D}" destId="{DD8580A3-5724-4973-B004-1619D5EB4AA6}" srcOrd="4" destOrd="0" parTransId="{86B00601-AFD8-42F1-A8A6-192D000E1F3D}" sibTransId="{6FB24CC1-A75F-4253-A77B-BADCC36BB6A9}"/>
    <dgm:cxn modelId="{A43AADFF-CD00-4882-831C-BD3EF5C95FA9}" type="presOf" srcId="{1CAEA8A0-6347-4C25-BBC9-E0808DC9A5EE}" destId="{AF038C39-86A9-451A-BF35-FDDC7BB60310}" srcOrd="0" destOrd="0" presId="urn:microsoft.com/office/officeart/2005/8/layout/cycle2"/>
    <dgm:cxn modelId="{FFC51DCB-2B3B-45BE-A348-330C282F831A}" type="presParOf" srcId="{683CB123-63EE-4A7B-AA6F-7CF281CAAB22}" destId="{580218EE-F692-4942-B654-892CB7FBEED7}" srcOrd="0" destOrd="0" presId="urn:microsoft.com/office/officeart/2005/8/layout/cycle2"/>
    <dgm:cxn modelId="{8848A7EF-E865-4FAB-B27E-EEFA713127A6}" type="presParOf" srcId="{683CB123-63EE-4A7B-AA6F-7CF281CAAB22}" destId="{6713CA8E-6BBE-4FDF-BF5B-841C51EDA9BD}" srcOrd="1" destOrd="0" presId="urn:microsoft.com/office/officeart/2005/8/layout/cycle2"/>
    <dgm:cxn modelId="{D617B5B5-FCF4-4D62-9BC0-6545B70A6061}" type="presParOf" srcId="{6713CA8E-6BBE-4FDF-BF5B-841C51EDA9BD}" destId="{D65EFB75-AF19-4162-A69A-A52D6E1995FD}" srcOrd="0" destOrd="0" presId="urn:microsoft.com/office/officeart/2005/8/layout/cycle2"/>
    <dgm:cxn modelId="{136FFF27-477B-4D6E-A1E5-1733889FA8A7}" type="presParOf" srcId="{683CB123-63EE-4A7B-AA6F-7CF281CAAB22}" destId="{AF038C39-86A9-451A-BF35-FDDC7BB60310}" srcOrd="2" destOrd="0" presId="urn:microsoft.com/office/officeart/2005/8/layout/cycle2"/>
    <dgm:cxn modelId="{29D8A6D4-F4BC-4B52-9AB3-CCF10D6EBB08}" type="presParOf" srcId="{683CB123-63EE-4A7B-AA6F-7CF281CAAB22}" destId="{407CE2C5-B229-4199-832D-52AA0BD6EAAC}" srcOrd="3" destOrd="0" presId="urn:microsoft.com/office/officeart/2005/8/layout/cycle2"/>
    <dgm:cxn modelId="{850BFB12-3746-4C88-A493-0B2CC6BDFF65}" type="presParOf" srcId="{407CE2C5-B229-4199-832D-52AA0BD6EAAC}" destId="{EDB659C6-2C29-4BC5-8E75-541D64B67E5E}" srcOrd="0" destOrd="0" presId="urn:microsoft.com/office/officeart/2005/8/layout/cycle2"/>
    <dgm:cxn modelId="{47DD4342-6A60-47BE-829A-EEEB85D416C4}" type="presParOf" srcId="{683CB123-63EE-4A7B-AA6F-7CF281CAAB22}" destId="{9D3722D3-7885-42C0-B7DF-3BB7B6BA4E27}" srcOrd="4" destOrd="0" presId="urn:microsoft.com/office/officeart/2005/8/layout/cycle2"/>
    <dgm:cxn modelId="{9F03226D-AEB0-412C-A7C0-122D40D50992}" type="presParOf" srcId="{683CB123-63EE-4A7B-AA6F-7CF281CAAB22}" destId="{3E67DC19-670B-4577-BB0B-26481EF03CBC}" srcOrd="5" destOrd="0" presId="urn:microsoft.com/office/officeart/2005/8/layout/cycle2"/>
    <dgm:cxn modelId="{9D4C5B94-7D35-4C1F-9AC8-50E7BBBA67F7}" type="presParOf" srcId="{3E67DC19-670B-4577-BB0B-26481EF03CBC}" destId="{98E6D664-EC62-43D1-801F-FE87E80723FE}" srcOrd="0" destOrd="0" presId="urn:microsoft.com/office/officeart/2005/8/layout/cycle2"/>
    <dgm:cxn modelId="{A3FE8AAB-B335-4357-879D-5381A9DE716C}" type="presParOf" srcId="{683CB123-63EE-4A7B-AA6F-7CF281CAAB22}" destId="{00ED1E14-9247-4FF5-8AF2-116771483576}" srcOrd="6" destOrd="0" presId="urn:microsoft.com/office/officeart/2005/8/layout/cycle2"/>
    <dgm:cxn modelId="{3C3B51FE-1749-498E-BB40-BE20AD4A6073}" type="presParOf" srcId="{683CB123-63EE-4A7B-AA6F-7CF281CAAB22}" destId="{9C8415E6-A21B-4DC7-BDF1-FC501E9C10E2}" srcOrd="7" destOrd="0" presId="urn:microsoft.com/office/officeart/2005/8/layout/cycle2"/>
    <dgm:cxn modelId="{61CAA657-42E6-4F81-8BD9-869C44BBEF86}" type="presParOf" srcId="{9C8415E6-A21B-4DC7-BDF1-FC501E9C10E2}" destId="{43F0E3C2-EBA6-4B75-991F-159D7FE22C16}" srcOrd="0" destOrd="0" presId="urn:microsoft.com/office/officeart/2005/8/layout/cycle2"/>
    <dgm:cxn modelId="{9120C8CF-BEDC-47A4-B9BC-B5DC10CA5763}" type="presParOf" srcId="{683CB123-63EE-4A7B-AA6F-7CF281CAAB22}" destId="{661AF5A0-31D1-48A2-9D00-7FA889012933}" srcOrd="8" destOrd="0" presId="urn:microsoft.com/office/officeart/2005/8/layout/cycle2"/>
    <dgm:cxn modelId="{F04ACE7A-885D-428F-A5D3-8F4EC2DCCDE3}" type="presParOf" srcId="{683CB123-63EE-4A7B-AA6F-7CF281CAAB22}" destId="{9669B741-31A4-4A0D-9169-4C3EFF5D2AAE}" srcOrd="9" destOrd="0" presId="urn:microsoft.com/office/officeart/2005/8/layout/cycle2"/>
    <dgm:cxn modelId="{664CA2C9-5F3E-47EC-B7E8-797D2A834949}" type="presParOf" srcId="{9669B741-31A4-4A0D-9169-4C3EFF5D2AAE}" destId="{2791EC6C-C16C-44F7-ABCD-5B0655D33064}"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0218EE-F692-4942-B654-892CB7FBEED7}">
      <dsp:nvSpPr>
        <dsp:cNvPr id="0" name=""/>
        <dsp:cNvSpPr/>
      </dsp:nvSpPr>
      <dsp:spPr>
        <a:xfrm>
          <a:off x="2128110" y="610"/>
          <a:ext cx="1222559" cy="1222559"/>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b="1" kern="1200"/>
            <a:t>STEP 1 -Identify. </a:t>
          </a:r>
        </a:p>
      </dsp:txBody>
      <dsp:txXfrm>
        <a:off x="2307150" y="179650"/>
        <a:ext cx="864479" cy="864479"/>
      </dsp:txXfrm>
    </dsp:sp>
    <dsp:sp modelId="{6713CA8E-6BBE-4FDF-BF5B-841C51EDA9BD}">
      <dsp:nvSpPr>
        <dsp:cNvPr id="0" name=""/>
        <dsp:cNvSpPr/>
      </dsp:nvSpPr>
      <dsp:spPr>
        <a:xfrm rot="2160000">
          <a:off x="3311823" y="939229"/>
          <a:ext cx="324133" cy="41261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321109" y="993174"/>
        <a:ext cx="226893" cy="247567"/>
      </dsp:txXfrm>
    </dsp:sp>
    <dsp:sp modelId="{AF038C39-86A9-451A-BF35-FDDC7BB60310}">
      <dsp:nvSpPr>
        <dsp:cNvPr id="0" name=""/>
        <dsp:cNvSpPr/>
      </dsp:nvSpPr>
      <dsp:spPr>
        <a:xfrm>
          <a:off x="3611953" y="1078686"/>
          <a:ext cx="1222559" cy="1222559"/>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b="1" kern="1200"/>
            <a:t>STEP 2 -Assess</a:t>
          </a:r>
        </a:p>
      </dsp:txBody>
      <dsp:txXfrm>
        <a:off x="3790993" y="1257726"/>
        <a:ext cx="864479" cy="864479"/>
      </dsp:txXfrm>
    </dsp:sp>
    <dsp:sp modelId="{407CE2C5-B229-4199-832D-52AA0BD6EAAC}">
      <dsp:nvSpPr>
        <dsp:cNvPr id="0" name=""/>
        <dsp:cNvSpPr/>
      </dsp:nvSpPr>
      <dsp:spPr>
        <a:xfrm rot="6480000">
          <a:off x="3780613" y="2347116"/>
          <a:ext cx="324133" cy="41261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rot="10800000">
        <a:off x="3844257" y="2383399"/>
        <a:ext cx="226893" cy="247567"/>
      </dsp:txXfrm>
    </dsp:sp>
    <dsp:sp modelId="{9D3722D3-7885-42C0-B7DF-3BB7B6BA4E27}">
      <dsp:nvSpPr>
        <dsp:cNvPr id="0" name=""/>
        <dsp:cNvSpPr/>
      </dsp:nvSpPr>
      <dsp:spPr>
        <a:xfrm>
          <a:off x="3045176" y="2823049"/>
          <a:ext cx="1222559" cy="1222559"/>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b="1" kern="1200"/>
            <a:t>STEP 3 -Analyse. </a:t>
          </a:r>
        </a:p>
      </dsp:txBody>
      <dsp:txXfrm>
        <a:off x="3224216" y="3002089"/>
        <a:ext cx="864479" cy="864479"/>
      </dsp:txXfrm>
    </dsp:sp>
    <dsp:sp modelId="{3E67DC19-670B-4577-BB0B-26481EF03CBC}">
      <dsp:nvSpPr>
        <dsp:cNvPr id="0" name=""/>
        <dsp:cNvSpPr/>
      </dsp:nvSpPr>
      <dsp:spPr>
        <a:xfrm rot="10800000">
          <a:off x="2586496" y="3228022"/>
          <a:ext cx="324133" cy="41261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rot="10800000">
        <a:off x="2683736" y="3310545"/>
        <a:ext cx="226893" cy="247567"/>
      </dsp:txXfrm>
    </dsp:sp>
    <dsp:sp modelId="{00ED1E14-9247-4FF5-8AF2-116771483576}">
      <dsp:nvSpPr>
        <dsp:cNvPr id="0" name=""/>
        <dsp:cNvSpPr/>
      </dsp:nvSpPr>
      <dsp:spPr>
        <a:xfrm>
          <a:off x="1211044" y="2823049"/>
          <a:ext cx="1222559" cy="1222559"/>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b="1" kern="1200"/>
            <a:t>STEP 4 - Plan. </a:t>
          </a:r>
        </a:p>
      </dsp:txBody>
      <dsp:txXfrm>
        <a:off x="1390084" y="3002089"/>
        <a:ext cx="864479" cy="864479"/>
      </dsp:txXfrm>
    </dsp:sp>
    <dsp:sp modelId="{9C8415E6-A21B-4DC7-BDF1-FC501E9C10E2}">
      <dsp:nvSpPr>
        <dsp:cNvPr id="0" name=""/>
        <dsp:cNvSpPr/>
      </dsp:nvSpPr>
      <dsp:spPr>
        <a:xfrm rot="15120000">
          <a:off x="1379703" y="2364565"/>
          <a:ext cx="324133" cy="41261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rot="10800000">
        <a:off x="1443347" y="2493328"/>
        <a:ext cx="226893" cy="247567"/>
      </dsp:txXfrm>
    </dsp:sp>
    <dsp:sp modelId="{661AF5A0-31D1-48A2-9D00-7FA889012933}">
      <dsp:nvSpPr>
        <dsp:cNvPr id="0" name=""/>
        <dsp:cNvSpPr/>
      </dsp:nvSpPr>
      <dsp:spPr>
        <a:xfrm>
          <a:off x="644266" y="1078686"/>
          <a:ext cx="1222559" cy="1222559"/>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b="1" kern="1200"/>
            <a:t>STEP 5 -</a:t>
          </a:r>
        </a:p>
        <a:p>
          <a:pPr marL="0" lvl="0" indent="0" algn="ctr" defTabSz="666750">
            <a:lnSpc>
              <a:spcPct val="90000"/>
            </a:lnSpc>
            <a:spcBef>
              <a:spcPct val="0"/>
            </a:spcBef>
            <a:spcAft>
              <a:spcPct val="35000"/>
            </a:spcAft>
            <a:buNone/>
          </a:pPr>
          <a:r>
            <a:rPr lang="en-GB" sz="1500" b="1" kern="1200"/>
            <a:t>Review. </a:t>
          </a:r>
        </a:p>
      </dsp:txBody>
      <dsp:txXfrm>
        <a:off x="823306" y="1257726"/>
        <a:ext cx="864479" cy="864479"/>
      </dsp:txXfrm>
    </dsp:sp>
    <dsp:sp modelId="{9669B741-31A4-4A0D-9169-4C3EFF5D2AAE}">
      <dsp:nvSpPr>
        <dsp:cNvPr id="0" name=""/>
        <dsp:cNvSpPr/>
      </dsp:nvSpPr>
      <dsp:spPr>
        <a:xfrm rot="19440000">
          <a:off x="1827979" y="950013"/>
          <a:ext cx="324133" cy="412613"/>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837265" y="1061114"/>
        <a:ext cx="226893" cy="24756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2</cp:revision>
  <cp:lastPrinted>2023-03-23T09:14:00Z</cp:lastPrinted>
  <dcterms:created xsi:type="dcterms:W3CDTF">2024-09-13T13:16:00Z</dcterms:created>
  <dcterms:modified xsi:type="dcterms:W3CDTF">2024-09-13T13:16:00Z</dcterms:modified>
</cp:coreProperties>
</file>