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A3B52"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40143639" wp14:editId="6270FF2C">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26326F7D" w14:textId="77777777" w:rsidR="00DF67AA" w:rsidRDefault="00DF67AA" w:rsidP="00903AA2">
      <w:pPr>
        <w:rPr>
          <w:spacing w:val="10"/>
        </w:rPr>
      </w:pPr>
    </w:p>
    <w:p w14:paraId="77EBD8D0" w14:textId="77777777" w:rsidR="00FA1162" w:rsidRDefault="00FA1162" w:rsidP="00903AA2">
      <w:pPr>
        <w:rPr>
          <w:spacing w:val="10"/>
        </w:rPr>
      </w:pPr>
    </w:p>
    <w:p w14:paraId="2DE98B90" w14:textId="77777777" w:rsidR="00DF67AA" w:rsidRDefault="00AF1001" w:rsidP="00070650">
      <w:pPr>
        <w:rPr>
          <w:noProof/>
          <w:spacing w:val="10"/>
        </w:rPr>
      </w:pPr>
      <w:r w:rsidRPr="0063326C">
        <w:rPr>
          <w:noProof/>
          <w:spacing w:val="10"/>
        </w:rPr>
        <mc:AlternateContent>
          <mc:Choice Requires="wps">
            <w:drawing>
              <wp:inline distT="0" distB="0" distL="0" distR="0" wp14:anchorId="23FA2C5A" wp14:editId="4F844BB7">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31F6E360" w14:textId="77777777" w:rsidR="002F13EB" w:rsidRDefault="002F13EB" w:rsidP="00847753">
                            <w:pPr>
                              <w:pStyle w:val="PolicyCode"/>
                              <w:rPr>
                                <w:b/>
                                <w:bCs/>
                                <w:sz w:val="72"/>
                                <w:szCs w:val="72"/>
                              </w:rPr>
                            </w:pPr>
                            <w:r w:rsidRPr="002F13EB">
                              <w:rPr>
                                <w:b/>
                                <w:bCs/>
                                <w:sz w:val="72"/>
                                <w:szCs w:val="72"/>
                              </w:rPr>
                              <w:t>Disclosing Relationships at Work Policy and Procedure</w:t>
                            </w:r>
                            <w:r w:rsidRPr="002F13EB">
                              <w:rPr>
                                <w:b/>
                                <w:bCs/>
                                <w:sz w:val="72"/>
                                <w:szCs w:val="72"/>
                              </w:rPr>
                              <w:t xml:space="preserve"> </w:t>
                            </w:r>
                          </w:p>
                          <w:p w14:paraId="7875C87B" w14:textId="33C876D9" w:rsidR="000646E5" w:rsidRDefault="002F13EB" w:rsidP="00847753">
                            <w:pPr>
                              <w:pStyle w:val="PolicyCode"/>
                            </w:pPr>
                            <w:r>
                              <w:t xml:space="preserve">HR2.1 Employment Policies </w:t>
                            </w:r>
                          </w:p>
                          <w:p w14:paraId="59991D55" w14:textId="29D9C44B" w:rsidR="00AB4A71" w:rsidRPr="00847753" w:rsidRDefault="002F13EB" w:rsidP="00847753">
                            <w:pPr>
                              <w:pStyle w:val="PolicyDate"/>
                            </w:pPr>
                            <w:r>
                              <w:t>February 2025</w:t>
                            </w:r>
                          </w:p>
                        </w:txbxContent>
                      </wps:txbx>
                      <wps:bodyPr rot="0" vert="horz" wrap="square" lIns="91440" tIns="45720" rIns="91440" bIns="45720" anchor="t" anchorCtr="0">
                        <a:spAutoFit/>
                      </wps:bodyPr>
                    </wps:wsp>
                  </a:graphicData>
                </a:graphic>
              </wp:inline>
            </w:drawing>
          </mc:Choice>
          <mc:Fallback>
            <w:pict>
              <v:shapetype w14:anchorId="23FA2C5A"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31F6E360" w14:textId="77777777" w:rsidR="002F13EB" w:rsidRDefault="002F13EB" w:rsidP="00847753">
                      <w:pPr>
                        <w:pStyle w:val="PolicyCode"/>
                        <w:rPr>
                          <w:b/>
                          <w:bCs/>
                          <w:sz w:val="72"/>
                          <w:szCs w:val="72"/>
                        </w:rPr>
                      </w:pPr>
                      <w:r w:rsidRPr="002F13EB">
                        <w:rPr>
                          <w:b/>
                          <w:bCs/>
                          <w:sz w:val="72"/>
                          <w:szCs w:val="72"/>
                        </w:rPr>
                        <w:t>Disclosing Relationships at Work Policy and Procedure</w:t>
                      </w:r>
                      <w:r w:rsidRPr="002F13EB">
                        <w:rPr>
                          <w:b/>
                          <w:bCs/>
                          <w:sz w:val="72"/>
                          <w:szCs w:val="72"/>
                        </w:rPr>
                        <w:t xml:space="preserve"> </w:t>
                      </w:r>
                    </w:p>
                    <w:p w14:paraId="7875C87B" w14:textId="33C876D9" w:rsidR="000646E5" w:rsidRDefault="002F13EB" w:rsidP="00847753">
                      <w:pPr>
                        <w:pStyle w:val="PolicyCode"/>
                      </w:pPr>
                      <w:r>
                        <w:t xml:space="preserve">HR2.1 Employment Policies </w:t>
                      </w:r>
                    </w:p>
                    <w:p w14:paraId="59991D55" w14:textId="29D9C44B" w:rsidR="00AB4A71" w:rsidRPr="00847753" w:rsidRDefault="002F13EB" w:rsidP="00847753">
                      <w:pPr>
                        <w:pStyle w:val="PolicyDate"/>
                      </w:pPr>
                      <w:r>
                        <w:t>February 2025</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739BF1A5"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0923B15" w14:textId="77777777" w:rsidR="00DF67AA" w:rsidRDefault="00471203" w:rsidP="00070650">
          <w:pPr>
            <w:rPr>
              <w:rFonts w:cs="Arial"/>
              <w:b/>
              <w:bCs/>
              <w:sz w:val="28"/>
              <w:szCs w:val="28"/>
            </w:rPr>
          </w:pPr>
          <w:r w:rsidRPr="00070650">
            <w:rPr>
              <w:rFonts w:cs="Arial"/>
              <w:b/>
              <w:bCs/>
              <w:sz w:val="28"/>
              <w:szCs w:val="28"/>
            </w:rPr>
            <w:t>Contents</w:t>
          </w:r>
        </w:p>
        <w:p w14:paraId="518FA124" w14:textId="401DD006" w:rsidR="00021530"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9553819" w:history="1">
            <w:r w:rsidR="00021530" w:rsidRPr="0058369E">
              <w:rPr>
                <w:rStyle w:val="Hyperlink"/>
              </w:rPr>
              <w:t>1</w:t>
            </w:r>
            <w:r w:rsidR="00021530">
              <w:rPr>
                <w:rFonts w:asciiTheme="minorHAnsi" w:eastAsiaTheme="minorEastAsia" w:hAnsiTheme="minorHAnsi"/>
                <w:kern w:val="2"/>
                <w:lang w:eastAsia="en-GB"/>
                <w14:ligatures w14:val="standardContextual"/>
              </w:rPr>
              <w:tab/>
            </w:r>
            <w:r w:rsidR="00021530" w:rsidRPr="0058369E">
              <w:rPr>
                <w:rStyle w:val="Hyperlink"/>
              </w:rPr>
              <w:t>Introduction</w:t>
            </w:r>
            <w:r w:rsidR="00021530">
              <w:rPr>
                <w:webHidden/>
              </w:rPr>
              <w:tab/>
            </w:r>
            <w:r w:rsidR="00021530">
              <w:rPr>
                <w:webHidden/>
              </w:rPr>
              <w:fldChar w:fldCharType="begin"/>
            </w:r>
            <w:r w:rsidR="00021530">
              <w:rPr>
                <w:webHidden/>
              </w:rPr>
              <w:instrText xml:space="preserve"> PAGEREF _Toc189553819 \h </w:instrText>
            </w:r>
            <w:r w:rsidR="00021530">
              <w:rPr>
                <w:webHidden/>
              </w:rPr>
            </w:r>
            <w:r w:rsidR="00021530">
              <w:rPr>
                <w:webHidden/>
              </w:rPr>
              <w:fldChar w:fldCharType="separate"/>
            </w:r>
            <w:r w:rsidR="00021530">
              <w:rPr>
                <w:webHidden/>
              </w:rPr>
              <w:t>2</w:t>
            </w:r>
            <w:r w:rsidR="00021530">
              <w:rPr>
                <w:webHidden/>
              </w:rPr>
              <w:fldChar w:fldCharType="end"/>
            </w:r>
          </w:hyperlink>
        </w:p>
        <w:p w14:paraId="0E25CD27" w14:textId="03148689" w:rsidR="00021530" w:rsidRDefault="00021530">
          <w:pPr>
            <w:pStyle w:val="TOC1"/>
            <w:rPr>
              <w:rFonts w:asciiTheme="minorHAnsi" w:eastAsiaTheme="minorEastAsia" w:hAnsiTheme="minorHAnsi"/>
              <w:kern w:val="2"/>
              <w:lang w:eastAsia="en-GB"/>
              <w14:ligatures w14:val="standardContextual"/>
            </w:rPr>
          </w:pPr>
          <w:hyperlink w:anchor="_Toc189553820" w:history="1">
            <w:r w:rsidRPr="0058369E">
              <w:rPr>
                <w:rStyle w:val="Hyperlink"/>
              </w:rPr>
              <w:t>2</w:t>
            </w:r>
            <w:r>
              <w:rPr>
                <w:rFonts w:asciiTheme="minorHAnsi" w:eastAsiaTheme="minorEastAsia" w:hAnsiTheme="minorHAnsi"/>
                <w:kern w:val="2"/>
                <w:lang w:eastAsia="en-GB"/>
                <w14:ligatures w14:val="standardContextual"/>
              </w:rPr>
              <w:tab/>
            </w:r>
            <w:r w:rsidRPr="0058369E">
              <w:rPr>
                <w:rStyle w:val="Hyperlink"/>
              </w:rPr>
              <w:t>Scope and Purpose</w:t>
            </w:r>
            <w:r>
              <w:rPr>
                <w:webHidden/>
              </w:rPr>
              <w:tab/>
            </w:r>
            <w:r>
              <w:rPr>
                <w:webHidden/>
              </w:rPr>
              <w:fldChar w:fldCharType="begin"/>
            </w:r>
            <w:r>
              <w:rPr>
                <w:webHidden/>
              </w:rPr>
              <w:instrText xml:space="preserve"> PAGEREF _Toc189553820 \h </w:instrText>
            </w:r>
            <w:r>
              <w:rPr>
                <w:webHidden/>
              </w:rPr>
            </w:r>
            <w:r>
              <w:rPr>
                <w:webHidden/>
              </w:rPr>
              <w:fldChar w:fldCharType="separate"/>
            </w:r>
            <w:r>
              <w:rPr>
                <w:webHidden/>
              </w:rPr>
              <w:t>2</w:t>
            </w:r>
            <w:r>
              <w:rPr>
                <w:webHidden/>
              </w:rPr>
              <w:fldChar w:fldCharType="end"/>
            </w:r>
          </w:hyperlink>
        </w:p>
        <w:p w14:paraId="5B3C1A4C" w14:textId="71FB7BCA" w:rsidR="00021530" w:rsidRDefault="00021530">
          <w:pPr>
            <w:pStyle w:val="TOC1"/>
            <w:rPr>
              <w:rFonts w:asciiTheme="minorHAnsi" w:eastAsiaTheme="minorEastAsia" w:hAnsiTheme="minorHAnsi"/>
              <w:kern w:val="2"/>
              <w:lang w:eastAsia="en-GB"/>
              <w14:ligatures w14:val="standardContextual"/>
            </w:rPr>
          </w:pPr>
          <w:hyperlink w:anchor="_Toc189553821" w:history="1">
            <w:r w:rsidRPr="0058369E">
              <w:rPr>
                <w:rStyle w:val="Hyperlink"/>
              </w:rPr>
              <w:t>3</w:t>
            </w:r>
            <w:r>
              <w:rPr>
                <w:rFonts w:asciiTheme="minorHAnsi" w:eastAsiaTheme="minorEastAsia" w:hAnsiTheme="minorHAnsi"/>
                <w:kern w:val="2"/>
                <w:lang w:eastAsia="en-GB"/>
                <w14:ligatures w14:val="standardContextual"/>
              </w:rPr>
              <w:tab/>
            </w:r>
            <w:r w:rsidRPr="0058369E">
              <w:rPr>
                <w:rStyle w:val="Hyperlink"/>
              </w:rPr>
              <w:t>Definitions</w:t>
            </w:r>
            <w:r>
              <w:rPr>
                <w:webHidden/>
              </w:rPr>
              <w:tab/>
            </w:r>
            <w:r>
              <w:rPr>
                <w:webHidden/>
              </w:rPr>
              <w:fldChar w:fldCharType="begin"/>
            </w:r>
            <w:r>
              <w:rPr>
                <w:webHidden/>
              </w:rPr>
              <w:instrText xml:space="preserve"> PAGEREF _Toc189553821 \h </w:instrText>
            </w:r>
            <w:r>
              <w:rPr>
                <w:webHidden/>
              </w:rPr>
            </w:r>
            <w:r>
              <w:rPr>
                <w:webHidden/>
              </w:rPr>
              <w:fldChar w:fldCharType="separate"/>
            </w:r>
            <w:r>
              <w:rPr>
                <w:webHidden/>
              </w:rPr>
              <w:t>3</w:t>
            </w:r>
            <w:r>
              <w:rPr>
                <w:webHidden/>
              </w:rPr>
              <w:fldChar w:fldCharType="end"/>
            </w:r>
          </w:hyperlink>
        </w:p>
        <w:p w14:paraId="2BC9BA3D" w14:textId="5247FCA7" w:rsidR="00021530" w:rsidRDefault="00021530">
          <w:pPr>
            <w:pStyle w:val="TOC1"/>
            <w:rPr>
              <w:rFonts w:asciiTheme="minorHAnsi" w:eastAsiaTheme="minorEastAsia" w:hAnsiTheme="minorHAnsi"/>
              <w:kern w:val="2"/>
              <w:lang w:eastAsia="en-GB"/>
              <w14:ligatures w14:val="standardContextual"/>
            </w:rPr>
          </w:pPr>
          <w:hyperlink w:anchor="_Toc189553822" w:history="1">
            <w:r w:rsidRPr="0058369E">
              <w:rPr>
                <w:rStyle w:val="Hyperlink"/>
              </w:rPr>
              <w:t>4</w:t>
            </w:r>
            <w:r>
              <w:rPr>
                <w:rFonts w:asciiTheme="minorHAnsi" w:eastAsiaTheme="minorEastAsia" w:hAnsiTheme="minorHAnsi"/>
                <w:kern w:val="2"/>
                <w:lang w:eastAsia="en-GB"/>
                <w14:ligatures w14:val="standardContextual"/>
              </w:rPr>
              <w:tab/>
            </w:r>
            <w:r w:rsidRPr="0058369E">
              <w:rPr>
                <w:rStyle w:val="Hyperlink"/>
              </w:rPr>
              <w:t>Statement of Intent</w:t>
            </w:r>
            <w:r>
              <w:rPr>
                <w:webHidden/>
              </w:rPr>
              <w:tab/>
            </w:r>
            <w:r>
              <w:rPr>
                <w:webHidden/>
              </w:rPr>
              <w:fldChar w:fldCharType="begin"/>
            </w:r>
            <w:r>
              <w:rPr>
                <w:webHidden/>
              </w:rPr>
              <w:instrText xml:space="preserve"> PAGEREF _Toc189553822 \h </w:instrText>
            </w:r>
            <w:r>
              <w:rPr>
                <w:webHidden/>
              </w:rPr>
            </w:r>
            <w:r>
              <w:rPr>
                <w:webHidden/>
              </w:rPr>
              <w:fldChar w:fldCharType="separate"/>
            </w:r>
            <w:r>
              <w:rPr>
                <w:webHidden/>
              </w:rPr>
              <w:t>3</w:t>
            </w:r>
            <w:r>
              <w:rPr>
                <w:webHidden/>
              </w:rPr>
              <w:fldChar w:fldCharType="end"/>
            </w:r>
          </w:hyperlink>
        </w:p>
        <w:p w14:paraId="74FA8DD3" w14:textId="5D7988F4" w:rsidR="00021530" w:rsidRDefault="00021530">
          <w:pPr>
            <w:pStyle w:val="TOC1"/>
            <w:rPr>
              <w:rFonts w:asciiTheme="minorHAnsi" w:eastAsiaTheme="minorEastAsia" w:hAnsiTheme="minorHAnsi"/>
              <w:kern w:val="2"/>
              <w:lang w:eastAsia="en-GB"/>
              <w14:ligatures w14:val="standardContextual"/>
            </w:rPr>
          </w:pPr>
          <w:hyperlink w:anchor="_Toc189553823" w:history="1">
            <w:r w:rsidRPr="0058369E">
              <w:rPr>
                <w:rStyle w:val="Hyperlink"/>
              </w:rPr>
              <w:t>5</w:t>
            </w:r>
            <w:r>
              <w:rPr>
                <w:rFonts w:asciiTheme="minorHAnsi" w:eastAsiaTheme="minorEastAsia" w:hAnsiTheme="minorHAnsi"/>
                <w:kern w:val="2"/>
                <w:lang w:eastAsia="en-GB"/>
                <w14:ligatures w14:val="standardContextual"/>
              </w:rPr>
              <w:tab/>
            </w:r>
            <w:r w:rsidRPr="0058369E">
              <w:rPr>
                <w:rStyle w:val="Hyperlink"/>
              </w:rPr>
              <w:t>Conflicts of Interest</w:t>
            </w:r>
            <w:r>
              <w:rPr>
                <w:webHidden/>
              </w:rPr>
              <w:tab/>
            </w:r>
            <w:r>
              <w:rPr>
                <w:webHidden/>
              </w:rPr>
              <w:fldChar w:fldCharType="begin"/>
            </w:r>
            <w:r>
              <w:rPr>
                <w:webHidden/>
              </w:rPr>
              <w:instrText xml:space="preserve"> PAGEREF _Toc189553823 \h </w:instrText>
            </w:r>
            <w:r>
              <w:rPr>
                <w:webHidden/>
              </w:rPr>
            </w:r>
            <w:r>
              <w:rPr>
                <w:webHidden/>
              </w:rPr>
              <w:fldChar w:fldCharType="separate"/>
            </w:r>
            <w:r>
              <w:rPr>
                <w:webHidden/>
              </w:rPr>
              <w:t>4</w:t>
            </w:r>
            <w:r>
              <w:rPr>
                <w:webHidden/>
              </w:rPr>
              <w:fldChar w:fldCharType="end"/>
            </w:r>
          </w:hyperlink>
        </w:p>
        <w:p w14:paraId="4B1FC56C" w14:textId="6A404C38" w:rsidR="00021530" w:rsidRDefault="00021530">
          <w:pPr>
            <w:pStyle w:val="TOC1"/>
            <w:rPr>
              <w:rFonts w:asciiTheme="minorHAnsi" w:eastAsiaTheme="minorEastAsia" w:hAnsiTheme="minorHAnsi"/>
              <w:kern w:val="2"/>
              <w:lang w:eastAsia="en-GB"/>
              <w14:ligatures w14:val="standardContextual"/>
            </w:rPr>
          </w:pPr>
          <w:hyperlink w:anchor="_Toc189553824" w:history="1">
            <w:r w:rsidRPr="0058369E">
              <w:rPr>
                <w:rStyle w:val="Hyperlink"/>
              </w:rPr>
              <w:t>6</w:t>
            </w:r>
            <w:r>
              <w:rPr>
                <w:rFonts w:asciiTheme="minorHAnsi" w:eastAsiaTheme="minorEastAsia" w:hAnsiTheme="minorHAnsi"/>
                <w:kern w:val="2"/>
                <w:lang w:eastAsia="en-GB"/>
                <w14:ligatures w14:val="standardContextual"/>
              </w:rPr>
              <w:tab/>
            </w:r>
            <w:r w:rsidRPr="0058369E">
              <w:rPr>
                <w:rStyle w:val="Hyperlink"/>
              </w:rPr>
              <w:t>Process for Declaring and Authorising Relationships at Work</w:t>
            </w:r>
            <w:r>
              <w:rPr>
                <w:webHidden/>
              </w:rPr>
              <w:tab/>
            </w:r>
            <w:r>
              <w:rPr>
                <w:webHidden/>
              </w:rPr>
              <w:fldChar w:fldCharType="begin"/>
            </w:r>
            <w:r>
              <w:rPr>
                <w:webHidden/>
              </w:rPr>
              <w:instrText xml:space="preserve"> PAGEREF _Toc189553824 \h </w:instrText>
            </w:r>
            <w:r>
              <w:rPr>
                <w:webHidden/>
              </w:rPr>
            </w:r>
            <w:r>
              <w:rPr>
                <w:webHidden/>
              </w:rPr>
              <w:fldChar w:fldCharType="separate"/>
            </w:r>
            <w:r>
              <w:rPr>
                <w:webHidden/>
              </w:rPr>
              <w:t>6</w:t>
            </w:r>
            <w:r>
              <w:rPr>
                <w:webHidden/>
              </w:rPr>
              <w:fldChar w:fldCharType="end"/>
            </w:r>
          </w:hyperlink>
        </w:p>
        <w:p w14:paraId="1CE59E1F" w14:textId="371A6F3F" w:rsidR="00021530" w:rsidRDefault="00021530">
          <w:pPr>
            <w:pStyle w:val="TOC1"/>
            <w:rPr>
              <w:rFonts w:asciiTheme="minorHAnsi" w:eastAsiaTheme="minorEastAsia" w:hAnsiTheme="minorHAnsi"/>
              <w:kern w:val="2"/>
              <w:lang w:eastAsia="en-GB"/>
              <w14:ligatures w14:val="standardContextual"/>
            </w:rPr>
          </w:pPr>
          <w:hyperlink w:anchor="_Toc189553825" w:history="1">
            <w:r w:rsidRPr="0058369E">
              <w:rPr>
                <w:rStyle w:val="Hyperlink"/>
              </w:rPr>
              <w:t>7</w:t>
            </w:r>
            <w:r>
              <w:rPr>
                <w:rFonts w:asciiTheme="minorHAnsi" w:eastAsiaTheme="minorEastAsia" w:hAnsiTheme="minorHAnsi"/>
                <w:kern w:val="2"/>
                <w:lang w:eastAsia="en-GB"/>
                <w14:ligatures w14:val="standardContextual"/>
              </w:rPr>
              <w:tab/>
            </w:r>
            <w:r w:rsidRPr="0058369E">
              <w:rPr>
                <w:rStyle w:val="Hyperlink"/>
              </w:rPr>
              <w:t>Roles and Responsibilities</w:t>
            </w:r>
            <w:r>
              <w:rPr>
                <w:webHidden/>
              </w:rPr>
              <w:tab/>
            </w:r>
            <w:r>
              <w:rPr>
                <w:webHidden/>
              </w:rPr>
              <w:fldChar w:fldCharType="begin"/>
            </w:r>
            <w:r>
              <w:rPr>
                <w:webHidden/>
              </w:rPr>
              <w:instrText xml:space="preserve"> PAGEREF _Toc189553825 \h </w:instrText>
            </w:r>
            <w:r>
              <w:rPr>
                <w:webHidden/>
              </w:rPr>
            </w:r>
            <w:r>
              <w:rPr>
                <w:webHidden/>
              </w:rPr>
              <w:fldChar w:fldCharType="separate"/>
            </w:r>
            <w:r>
              <w:rPr>
                <w:webHidden/>
              </w:rPr>
              <w:t>8</w:t>
            </w:r>
            <w:r>
              <w:rPr>
                <w:webHidden/>
              </w:rPr>
              <w:fldChar w:fldCharType="end"/>
            </w:r>
          </w:hyperlink>
        </w:p>
        <w:p w14:paraId="2FEFD598" w14:textId="5B590A13" w:rsidR="00021530" w:rsidRDefault="00021530">
          <w:pPr>
            <w:pStyle w:val="TOC1"/>
            <w:rPr>
              <w:rFonts w:asciiTheme="minorHAnsi" w:eastAsiaTheme="minorEastAsia" w:hAnsiTheme="minorHAnsi"/>
              <w:kern w:val="2"/>
              <w:lang w:eastAsia="en-GB"/>
              <w14:ligatures w14:val="standardContextual"/>
            </w:rPr>
          </w:pPr>
          <w:hyperlink w:anchor="_Toc189553826" w:history="1">
            <w:r w:rsidRPr="0058369E">
              <w:rPr>
                <w:rStyle w:val="Hyperlink"/>
              </w:rPr>
              <w:t>8</w:t>
            </w:r>
            <w:r>
              <w:rPr>
                <w:rFonts w:asciiTheme="minorHAnsi" w:eastAsiaTheme="minorEastAsia" w:hAnsiTheme="minorHAnsi"/>
                <w:kern w:val="2"/>
                <w:lang w:eastAsia="en-GB"/>
                <w14:ligatures w14:val="standardContextual"/>
              </w:rPr>
              <w:tab/>
            </w:r>
            <w:r w:rsidRPr="0058369E">
              <w:rPr>
                <w:rStyle w:val="Hyperlink"/>
              </w:rPr>
              <w:t>Training and Monitoring</w:t>
            </w:r>
            <w:r>
              <w:rPr>
                <w:webHidden/>
              </w:rPr>
              <w:tab/>
            </w:r>
            <w:r>
              <w:rPr>
                <w:webHidden/>
              </w:rPr>
              <w:fldChar w:fldCharType="begin"/>
            </w:r>
            <w:r>
              <w:rPr>
                <w:webHidden/>
              </w:rPr>
              <w:instrText xml:space="preserve"> PAGEREF _Toc189553826 \h </w:instrText>
            </w:r>
            <w:r>
              <w:rPr>
                <w:webHidden/>
              </w:rPr>
            </w:r>
            <w:r>
              <w:rPr>
                <w:webHidden/>
              </w:rPr>
              <w:fldChar w:fldCharType="separate"/>
            </w:r>
            <w:r>
              <w:rPr>
                <w:webHidden/>
              </w:rPr>
              <w:t>9</w:t>
            </w:r>
            <w:r>
              <w:rPr>
                <w:webHidden/>
              </w:rPr>
              <w:fldChar w:fldCharType="end"/>
            </w:r>
          </w:hyperlink>
        </w:p>
        <w:p w14:paraId="1EE1E2E4" w14:textId="32CCC994" w:rsidR="00021530" w:rsidRDefault="00021530">
          <w:pPr>
            <w:pStyle w:val="TOC1"/>
            <w:rPr>
              <w:rFonts w:asciiTheme="minorHAnsi" w:eastAsiaTheme="minorEastAsia" w:hAnsiTheme="minorHAnsi"/>
              <w:kern w:val="2"/>
              <w:lang w:eastAsia="en-GB"/>
              <w14:ligatures w14:val="standardContextual"/>
            </w:rPr>
          </w:pPr>
          <w:hyperlink w:anchor="_Toc189553827" w:history="1">
            <w:r w:rsidRPr="0058369E">
              <w:rPr>
                <w:rStyle w:val="Hyperlink"/>
              </w:rPr>
              <w:t>9</w:t>
            </w:r>
            <w:r>
              <w:rPr>
                <w:rFonts w:asciiTheme="minorHAnsi" w:eastAsiaTheme="minorEastAsia" w:hAnsiTheme="minorHAnsi"/>
                <w:kern w:val="2"/>
                <w:lang w:eastAsia="en-GB"/>
                <w14:ligatures w14:val="standardContextual"/>
              </w:rPr>
              <w:tab/>
            </w:r>
            <w:r w:rsidRPr="0058369E">
              <w:rPr>
                <w:rStyle w:val="Hyperlink"/>
              </w:rPr>
              <w:t>Communication and Dissemination</w:t>
            </w:r>
            <w:r>
              <w:rPr>
                <w:webHidden/>
              </w:rPr>
              <w:tab/>
            </w:r>
            <w:r>
              <w:rPr>
                <w:webHidden/>
              </w:rPr>
              <w:fldChar w:fldCharType="begin"/>
            </w:r>
            <w:r>
              <w:rPr>
                <w:webHidden/>
              </w:rPr>
              <w:instrText xml:space="preserve"> PAGEREF _Toc189553827 \h </w:instrText>
            </w:r>
            <w:r>
              <w:rPr>
                <w:webHidden/>
              </w:rPr>
            </w:r>
            <w:r>
              <w:rPr>
                <w:webHidden/>
              </w:rPr>
              <w:fldChar w:fldCharType="separate"/>
            </w:r>
            <w:r>
              <w:rPr>
                <w:webHidden/>
              </w:rPr>
              <w:t>9</w:t>
            </w:r>
            <w:r>
              <w:rPr>
                <w:webHidden/>
              </w:rPr>
              <w:fldChar w:fldCharType="end"/>
            </w:r>
          </w:hyperlink>
        </w:p>
        <w:p w14:paraId="5ACA00EB" w14:textId="34FF5482" w:rsidR="00021530" w:rsidRDefault="00021530">
          <w:pPr>
            <w:pStyle w:val="TOC1"/>
            <w:rPr>
              <w:rFonts w:asciiTheme="minorHAnsi" w:eastAsiaTheme="minorEastAsia" w:hAnsiTheme="minorHAnsi"/>
              <w:kern w:val="2"/>
              <w:lang w:eastAsia="en-GB"/>
              <w14:ligatures w14:val="standardContextual"/>
            </w:rPr>
          </w:pPr>
          <w:hyperlink w:anchor="_Toc189553828" w:history="1">
            <w:r w:rsidRPr="0058369E">
              <w:rPr>
                <w:rStyle w:val="Hyperlink"/>
              </w:rPr>
              <w:t>10</w:t>
            </w:r>
            <w:r>
              <w:rPr>
                <w:rFonts w:asciiTheme="minorHAnsi" w:eastAsiaTheme="minorEastAsia" w:hAnsiTheme="minorHAnsi"/>
                <w:kern w:val="2"/>
                <w:lang w:eastAsia="en-GB"/>
                <w14:ligatures w14:val="standardContextual"/>
              </w:rPr>
              <w:tab/>
            </w:r>
            <w:r w:rsidRPr="0058369E">
              <w:rPr>
                <w:rStyle w:val="Hyperlink"/>
              </w:rPr>
              <w:t>EDI Impact Assessment</w:t>
            </w:r>
            <w:r>
              <w:rPr>
                <w:webHidden/>
              </w:rPr>
              <w:tab/>
            </w:r>
            <w:r>
              <w:rPr>
                <w:webHidden/>
              </w:rPr>
              <w:fldChar w:fldCharType="begin"/>
            </w:r>
            <w:r>
              <w:rPr>
                <w:webHidden/>
              </w:rPr>
              <w:instrText xml:space="preserve"> PAGEREF _Toc189553828 \h </w:instrText>
            </w:r>
            <w:r>
              <w:rPr>
                <w:webHidden/>
              </w:rPr>
            </w:r>
            <w:r>
              <w:rPr>
                <w:webHidden/>
              </w:rPr>
              <w:fldChar w:fldCharType="separate"/>
            </w:r>
            <w:r>
              <w:rPr>
                <w:webHidden/>
              </w:rPr>
              <w:t>9</w:t>
            </w:r>
            <w:r>
              <w:rPr>
                <w:webHidden/>
              </w:rPr>
              <w:fldChar w:fldCharType="end"/>
            </w:r>
          </w:hyperlink>
        </w:p>
        <w:p w14:paraId="12922B23" w14:textId="0C39AF3B" w:rsidR="00021530" w:rsidRDefault="00021530">
          <w:pPr>
            <w:pStyle w:val="TOC1"/>
            <w:rPr>
              <w:rFonts w:asciiTheme="minorHAnsi" w:eastAsiaTheme="minorEastAsia" w:hAnsiTheme="minorHAnsi"/>
              <w:kern w:val="2"/>
              <w:lang w:eastAsia="en-GB"/>
              <w14:ligatures w14:val="standardContextual"/>
            </w:rPr>
          </w:pPr>
          <w:hyperlink w:anchor="_Toc189553829" w:history="1">
            <w:r w:rsidRPr="0058369E">
              <w:rPr>
                <w:rStyle w:val="Hyperlink"/>
              </w:rPr>
              <w:t>11</w:t>
            </w:r>
            <w:r>
              <w:rPr>
                <w:rFonts w:asciiTheme="minorHAnsi" w:eastAsiaTheme="minorEastAsia" w:hAnsiTheme="minorHAnsi"/>
                <w:kern w:val="2"/>
                <w:lang w:eastAsia="en-GB"/>
                <w14:ligatures w14:val="standardContextual"/>
              </w:rPr>
              <w:tab/>
            </w:r>
            <w:r w:rsidRPr="0058369E">
              <w:rPr>
                <w:rStyle w:val="Hyperlink"/>
              </w:rPr>
              <w:t>Resources</w:t>
            </w:r>
            <w:r>
              <w:rPr>
                <w:webHidden/>
              </w:rPr>
              <w:tab/>
            </w:r>
            <w:r>
              <w:rPr>
                <w:webHidden/>
              </w:rPr>
              <w:fldChar w:fldCharType="begin"/>
            </w:r>
            <w:r>
              <w:rPr>
                <w:webHidden/>
              </w:rPr>
              <w:instrText xml:space="preserve"> PAGEREF _Toc189553829 \h </w:instrText>
            </w:r>
            <w:r>
              <w:rPr>
                <w:webHidden/>
              </w:rPr>
            </w:r>
            <w:r>
              <w:rPr>
                <w:webHidden/>
              </w:rPr>
              <w:fldChar w:fldCharType="separate"/>
            </w:r>
            <w:r>
              <w:rPr>
                <w:webHidden/>
              </w:rPr>
              <w:t>9</w:t>
            </w:r>
            <w:r>
              <w:rPr>
                <w:webHidden/>
              </w:rPr>
              <w:fldChar w:fldCharType="end"/>
            </w:r>
          </w:hyperlink>
        </w:p>
        <w:p w14:paraId="0C8DA98C" w14:textId="64DF869C" w:rsidR="00021530" w:rsidRDefault="00021530">
          <w:pPr>
            <w:pStyle w:val="TOC1"/>
            <w:rPr>
              <w:rFonts w:asciiTheme="minorHAnsi" w:eastAsiaTheme="minorEastAsia" w:hAnsiTheme="minorHAnsi"/>
              <w:kern w:val="2"/>
              <w:lang w:eastAsia="en-GB"/>
              <w14:ligatures w14:val="standardContextual"/>
            </w:rPr>
          </w:pPr>
          <w:hyperlink w:anchor="_Toc189553830" w:history="1">
            <w:r w:rsidRPr="0058369E">
              <w:rPr>
                <w:rStyle w:val="Hyperlink"/>
              </w:rPr>
              <w:t>12</w:t>
            </w:r>
            <w:r>
              <w:rPr>
                <w:rFonts w:asciiTheme="minorHAnsi" w:eastAsiaTheme="minorEastAsia" w:hAnsiTheme="minorHAnsi"/>
                <w:kern w:val="2"/>
                <w:lang w:eastAsia="en-GB"/>
                <w14:ligatures w14:val="standardContextual"/>
              </w:rPr>
              <w:tab/>
            </w:r>
            <w:r w:rsidRPr="0058369E">
              <w:rPr>
                <w:rStyle w:val="Hyperlink"/>
              </w:rPr>
              <w:t>Version Control</w:t>
            </w:r>
            <w:r>
              <w:rPr>
                <w:webHidden/>
              </w:rPr>
              <w:tab/>
            </w:r>
            <w:r>
              <w:rPr>
                <w:webHidden/>
              </w:rPr>
              <w:fldChar w:fldCharType="begin"/>
            </w:r>
            <w:r>
              <w:rPr>
                <w:webHidden/>
              </w:rPr>
              <w:instrText xml:space="preserve"> PAGEREF _Toc189553830 \h </w:instrText>
            </w:r>
            <w:r>
              <w:rPr>
                <w:webHidden/>
              </w:rPr>
            </w:r>
            <w:r>
              <w:rPr>
                <w:webHidden/>
              </w:rPr>
              <w:fldChar w:fldCharType="separate"/>
            </w:r>
            <w:r>
              <w:rPr>
                <w:webHidden/>
              </w:rPr>
              <w:t>10</w:t>
            </w:r>
            <w:r>
              <w:rPr>
                <w:webHidden/>
              </w:rPr>
              <w:fldChar w:fldCharType="end"/>
            </w:r>
          </w:hyperlink>
        </w:p>
        <w:p w14:paraId="34BE6ACD" w14:textId="31AE0C71" w:rsidR="00DF67AA" w:rsidRDefault="00F91DD0" w:rsidP="00F91DD0">
          <w:pPr>
            <w:pStyle w:val="TOC1"/>
          </w:pPr>
          <w:r>
            <w:rPr>
              <w:rFonts w:cs="Arial"/>
              <w:spacing w:val="7"/>
            </w:rPr>
            <w:fldChar w:fldCharType="end"/>
          </w:r>
        </w:p>
      </w:sdtContent>
    </w:sdt>
    <w:p w14:paraId="081404CE" w14:textId="77777777" w:rsidR="00AB4A71" w:rsidRDefault="00AB4A71" w:rsidP="00AB4A71"/>
    <w:p w14:paraId="7178F294" w14:textId="77777777" w:rsidR="00021530" w:rsidRDefault="00021530" w:rsidP="00AB4A71"/>
    <w:p w14:paraId="1BE64948" w14:textId="77777777" w:rsidR="00021530" w:rsidRPr="00AB4A71" w:rsidRDefault="00021530" w:rsidP="00AB4A71"/>
    <w:p w14:paraId="4DDB620C" w14:textId="77777777" w:rsidR="00021530" w:rsidRDefault="00021530" w:rsidP="00021530">
      <w:pPr>
        <w:pStyle w:val="Heading1Numbered"/>
      </w:pPr>
      <w:bookmarkStart w:id="6" w:name="_Toc136337906"/>
      <w:bookmarkStart w:id="7" w:name="_Toc189553819"/>
      <w:r w:rsidRPr="00D558F5">
        <w:t>Introduction</w:t>
      </w:r>
      <w:bookmarkEnd w:id="6"/>
      <w:bookmarkEnd w:id="7"/>
    </w:p>
    <w:p w14:paraId="744D5374" w14:textId="77777777" w:rsidR="00021530" w:rsidRDefault="00021530" w:rsidP="00021530">
      <w:pPr>
        <w:pStyle w:val="Text1Numbered"/>
      </w:pPr>
      <w:r w:rsidRPr="00030524">
        <w:t>MHA recognises that colleagues may sometimes be in close personal relationships</w:t>
      </w:r>
      <w:r>
        <w:t xml:space="preserve"> with others who come into contact with MHA.</w:t>
      </w:r>
      <w:r w:rsidRPr="00030524">
        <w:t xml:space="preserve"> This policy provides guidance and expectations on the process to follow when </w:t>
      </w:r>
      <w:r>
        <w:t xml:space="preserve">disclosing relationships at work on application and for existing colleagues, </w:t>
      </w:r>
      <w:r w:rsidRPr="00030524">
        <w:t>in respect of professional and personal boundaries</w:t>
      </w:r>
      <w:r>
        <w:t>.</w:t>
      </w:r>
    </w:p>
    <w:p w14:paraId="558774F6" w14:textId="77777777" w:rsidR="00021530" w:rsidRDefault="00021530" w:rsidP="00021530">
      <w:pPr>
        <w:pStyle w:val="Text1Numbered"/>
        <w:numPr>
          <w:ilvl w:val="0"/>
          <w:numId w:val="0"/>
        </w:numPr>
        <w:ind w:left="1135"/>
      </w:pPr>
    </w:p>
    <w:p w14:paraId="489EE9E4" w14:textId="2B70B380" w:rsidR="00021530" w:rsidRDefault="00021530" w:rsidP="00021530">
      <w:pPr>
        <w:pStyle w:val="Text1Numbered"/>
      </w:pPr>
      <w:r w:rsidRPr="003E5965">
        <w:t xml:space="preserve">This policy has been developed in line with relevant legislation including employment law and equal opportunities legislation. For more information, please refer to MHA’s </w:t>
      </w:r>
      <w:r w:rsidRPr="00021530">
        <w:rPr>
          <w:u w:val="single"/>
        </w:rPr>
        <w:t>recruitment and selection policy</w:t>
      </w:r>
      <w:r>
        <w:t>.</w:t>
      </w:r>
    </w:p>
    <w:p w14:paraId="137FB895" w14:textId="77777777" w:rsidR="00021530" w:rsidRDefault="00021530" w:rsidP="00021530">
      <w:pPr>
        <w:pStyle w:val="Text1Numbered"/>
        <w:numPr>
          <w:ilvl w:val="0"/>
          <w:numId w:val="0"/>
        </w:numPr>
      </w:pPr>
    </w:p>
    <w:p w14:paraId="25D8DD0F" w14:textId="77777777" w:rsidR="00021530" w:rsidRPr="002E4B12" w:rsidRDefault="00021530" w:rsidP="00021530">
      <w:pPr>
        <w:pStyle w:val="Text1Numbered"/>
      </w:pPr>
      <w:r>
        <w:t>MHA is</w:t>
      </w:r>
      <w:r w:rsidRPr="003C218E">
        <w:t xml:space="preserve"> </w:t>
      </w:r>
      <w:r>
        <w:t xml:space="preserve">committed to the equality of opportunity </w:t>
      </w:r>
      <w:r w:rsidRPr="003C218E">
        <w:t>both in the provision of services to older people and as an employer</w:t>
      </w:r>
      <w:r>
        <w:t>. This commitment to equality is to ensure</w:t>
      </w:r>
      <w:r w:rsidRPr="003C218E">
        <w:t xml:space="preserve"> that no person, prior to or during employment or those who come into contact with MHA, is unlawfully  discriminated against for a reason related to race, religion or belief, gender reassignment, sexual orientation, age, disability, sex, marriage or civil partnerships, pregnancy, maternity, or any other differences.</w:t>
      </w:r>
    </w:p>
    <w:p w14:paraId="0BA55362" w14:textId="77777777" w:rsidR="00021530" w:rsidRDefault="00021530" w:rsidP="00021530">
      <w:pPr>
        <w:pStyle w:val="Heading1Numbered"/>
      </w:pPr>
      <w:bookmarkStart w:id="8" w:name="_Toc136337907"/>
      <w:bookmarkStart w:id="9" w:name="_Toc189553820"/>
      <w:r w:rsidRPr="00EF3699">
        <w:t xml:space="preserve">Scope and </w:t>
      </w:r>
      <w:r w:rsidRPr="00D558F5">
        <w:t>Purpose</w:t>
      </w:r>
      <w:bookmarkEnd w:id="8"/>
      <w:bookmarkEnd w:id="9"/>
    </w:p>
    <w:p w14:paraId="607C7C4A" w14:textId="77777777" w:rsidR="00021530" w:rsidRDefault="00021530" w:rsidP="00021530">
      <w:pPr>
        <w:pStyle w:val="Text1Numbered"/>
      </w:pPr>
      <w:bookmarkStart w:id="10" w:name="_Hlk133498591"/>
      <w:r>
        <w:t xml:space="preserve">This policy is relevant for all those who engage with MHA including MHA and subsidiary company colleagues which in this policy is inclusive of trustee board members, temporary, casual, agency, and volunteers. </w:t>
      </w:r>
    </w:p>
    <w:bookmarkEnd w:id="10"/>
    <w:p w14:paraId="22B90ABC" w14:textId="77777777" w:rsidR="00021530" w:rsidRDefault="00021530" w:rsidP="00021530">
      <w:pPr>
        <w:pStyle w:val="Text1Numbered"/>
        <w:numPr>
          <w:ilvl w:val="0"/>
          <w:numId w:val="0"/>
        </w:numPr>
        <w:ind w:left="1135"/>
      </w:pPr>
    </w:p>
    <w:p w14:paraId="2FDD9EB2" w14:textId="77777777" w:rsidR="00021530" w:rsidRDefault="00021530" w:rsidP="00021530">
      <w:pPr>
        <w:pStyle w:val="Text1Numbered"/>
      </w:pPr>
      <w:r>
        <w:t>This policy provides information, guidance, and expectations around managing and declaring relationships at work between a colleague and someone else who engages with MHA. This may include another colleague, someone who uses MHA’s services including residents, members, and tenants, as well as their family members, and someone working on behalf of MHA such as suppliers and contractors which is inclusive of agency staff providers.</w:t>
      </w:r>
    </w:p>
    <w:p w14:paraId="641DE8AE" w14:textId="77777777" w:rsidR="00021530" w:rsidRPr="002E4B12" w:rsidRDefault="00021530" w:rsidP="00021530">
      <w:pPr>
        <w:pStyle w:val="Text1Numbered"/>
        <w:numPr>
          <w:ilvl w:val="0"/>
          <w:numId w:val="0"/>
        </w:numPr>
      </w:pPr>
    </w:p>
    <w:p w14:paraId="6A744921" w14:textId="77777777" w:rsidR="00021530" w:rsidRPr="00EF3699" w:rsidRDefault="00021530" w:rsidP="00021530">
      <w:pPr>
        <w:pStyle w:val="Heading1Numbered"/>
      </w:pPr>
      <w:bookmarkStart w:id="11" w:name="_Toc136337908"/>
      <w:bookmarkStart w:id="12" w:name="_Toc189553821"/>
      <w:r w:rsidRPr="00EF3699">
        <w:t>Definitions</w:t>
      </w:r>
      <w:bookmarkEnd w:id="11"/>
      <w:bookmarkEnd w:id="12"/>
    </w:p>
    <w:tbl>
      <w:tblPr>
        <w:tblStyle w:val="MHATable"/>
        <w:tblW w:w="0" w:type="auto"/>
        <w:tblLook w:val="0620" w:firstRow="1" w:lastRow="0" w:firstColumn="0" w:lastColumn="0" w:noHBand="1" w:noVBand="1"/>
      </w:tblPr>
      <w:tblGrid>
        <w:gridCol w:w="1881"/>
        <w:gridCol w:w="7668"/>
      </w:tblGrid>
      <w:tr w:rsidR="00021530" w:rsidRPr="009050C4" w14:paraId="7D7F6331" w14:textId="77777777" w:rsidTr="00256A26">
        <w:trPr>
          <w:cnfStyle w:val="100000000000" w:firstRow="1" w:lastRow="0" w:firstColumn="0" w:lastColumn="0" w:oddVBand="0" w:evenVBand="0" w:oddHBand="0" w:evenHBand="0" w:firstRowFirstColumn="0" w:firstRowLastColumn="0" w:lastRowFirstColumn="0" w:lastRowLastColumn="0"/>
        </w:trPr>
        <w:tc>
          <w:tcPr>
            <w:tcW w:w="1748" w:type="dxa"/>
          </w:tcPr>
          <w:p w14:paraId="0A2662BD" w14:textId="77777777" w:rsidR="00021530" w:rsidRPr="009050C4" w:rsidRDefault="00021530" w:rsidP="00021530">
            <w:pPr>
              <w:spacing w:line="276" w:lineRule="auto"/>
              <w:rPr>
                <w:b w:val="0"/>
              </w:rPr>
            </w:pPr>
            <w:r w:rsidRPr="009050C4">
              <w:t>Term</w:t>
            </w:r>
          </w:p>
        </w:tc>
        <w:tc>
          <w:tcPr>
            <w:tcW w:w="7745" w:type="dxa"/>
          </w:tcPr>
          <w:p w14:paraId="7DA6A7C6" w14:textId="77777777" w:rsidR="00021530" w:rsidRPr="009050C4" w:rsidRDefault="00021530" w:rsidP="00021530">
            <w:pPr>
              <w:spacing w:line="276" w:lineRule="auto"/>
              <w:rPr>
                <w:b w:val="0"/>
              </w:rPr>
            </w:pPr>
            <w:r w:rsidRPr="009050C4">
              <w:t>Definition</w:t>
            </w:r>
          </w:p>
        </w:tc>
      </w:tr>
      <w:tr w:rsidR="00021530" w:rsidRPr="004C3545" w14:paraId="1006FBC2" w14:textId="77777777" w:rsidTr="00256A26">
        <w:tc>
          <w:tcPr>
            <w:tcW w:w="1748" w:type="dxa"/>
          </w:tcPr>
          <w:p w14:paraId="1B0D5034" w14:textId="77777777" w:rsidR="00021530" w:rsidRPr="00021530" w:rsidRDefault="00021530" w:rsidP="00021530">
            <w:pPr>
              <w:pStyle w:val="Text"/>
              <w:spacing w:line="276" w:lineRule="auto"/>
              <w:rPr>
                <w:b/>
                <w:bCs/>
              </w:rPr>
            </w:pPr>
            <w:r w:rsidRPr="00021530">
              <w:rPr>
                <w:b/>
                <w:bCs/>
              </w:rPr>
              <w:t xml:space="preserve">Relationships </w:t>
            </w:r>
          </w:p>
        </w:tc>
        <w:tc>
          <w:tcPr>
            <w:tcW w:w="7745" w:type="dxa"/>
          </w:tcPr>
          <w:p w14:paraId="68CAA90A" w14:textId="77777777" w:rsidR="00021530" w:rsidRDefault="00021530" w:rsidP="00021530">
            <w:pPr>
              <w:pStyle w:val="Text"/>
              <w:spacing w:line="276" w:lineRule="auto"/>
            </w:pPr>
            <w:r>
              <w:t>Relationships throughout this policy refer to both romantic and personal relationships including family members and relatives as well as individuals who are married, cohabiting, or dating.</w:t>
            </w:r>
          </w:p>
          <w:p w14:paraId="41C3CFC8" w14:textId="77777777" w:rsidR="00021530" w:rsidRPr="004C3545" w:rsidRDefault="00021530" w:rsidP="00021530">
            <w:pPr>
              <w:pStyle w:val="Text"/>
              <w:spacing w:line="276" w:lineRule="auto"/>
            </w:pPr>
          </w:p>
        </w:tc>
      </w:tr>
      <w:tr w:rsidR="00021530" w:rsidRPr="004C3545" w14:paraId="02FB6649" w14:textId="77777777" w:rsidTr="00256A26">
        <w:tc>
          <w:tcPr>
            <w:tcW w:w="1748" w:type="dxa"/>
          </w:tcPr>
          <w:p w14:paraId="76F4FB9E" w14:textId="77777777" w:rsidR="00021530" w:rsidRPr="00021530" w:rsidRDefault="00021530" w:rsidP="00021530">
            <w:pPr>
              <w:pStyle w:val="Text"/>
              <w:spacing w:line="276" w:lineRule="auto"/>
              <w:rPr>
                <w:b/>
                <w:bCs/>
              </w:rPr>
            </w:pPr>
            <w:r w:rsidRPr="00021530">
              <w:rPr>
                <w:b/>
                <w:bCs/>
              </w:rPr>
              <w:t>Conflict of Interest</w:t>
            </w:r>
          </w:p>
        </w:tc>
        <w:tc>
          <w:tcPr>
            <w:tcW w:w="7745" w:type="dxa"/>
          </w:tcPr>
          <w:p w14:paraId="2F65DACE" w14:textId="77777777" w:rsidR="00021530" w:rsidRPr="00030524" w:rsidRDefault="00021530" w:rsidP="00021530">
            <w:pPr>
              <w:pStyle w:val="Text"/>
              <w:spacing w:line="276" w:lineRule="auto"/>
            </w:pPr>
            <w:r w:rsidRPr="00030524">
              <w:t xml:space="preserve">A conflict of interest will arise in any circumstance where doubt can be cast on a person’s ability to act completely objectively when performing duties for the organisation. </w:t>
            </w:r>
          </w:p>
          <w:p w14:paraId="7187D4CB" w14:textId="77777777" w:rsidR="00021530" w:rsidRPr="004C3545" w:rsidRDefault="00021530" w:rsidP="00021530">
            <w:pPr>
              <w:pStyle w:val="Text"/>
              <w:spacing w:line="276" w:lineRule="auto"/>
            </w:pPr>
          </w:p>
        </w:tc>
      </w:tr>
      <w:tr w:rsidR="00021530" w:rsidRPr="004C3545" w14:paraId="30EDC3F8" w14:textId="77777777" w:rsidTr="00256A26">
        <w:tc>
          <w:tcPr>
            <w:tcW w:w="1748" w:type="dxa"/>
          </w:tcPr>
          <w:p w14:paraId="018FBFC9" w14:textId="77777777" w:rsidR="00021530" w:rsidRPr="00021530" w:rsidRDefault="00021530" w:rsidP="00021530">
            <w:pPr>
              <w:pStyle w:val="Text"/>
              <w:spacing w:line="276" w:lineRule="auto"/>
              <w:rPr>
                <w:b/>
                <w:bCs/>
              </w:rPr>
            </w:pPr>
            <w:r w:rsidRPr="00021530">
              <w:rPr>
                <w:b/>
                <w:bCs/>
              </w:rPr>
              <w:t>EDI</w:t>
            </w:r>
          </w:p>
        </w:tc>
        <w:tc>
          <w:tcPr>
            <w:tcW w:w="7745" w:type="dxa"/>
          </w:tcPr>
          <w:p w14:paraId="02BD3D85" w14:textId="1C2976D6" w:rsidR="00021530" w:rsidRPr="00030524" w:rsidRDefault="00021530" w:rsidP="00021530">
            <w:pPr>
              <w:pStyle w:val="Text"/>
              <w:spacing w:line="276" w:lineRule="auto"/>
            </w:pPr>
            <w:r>
              <w:t xml:space="preserve">Acronym for Equality Diversity Inclusion – for more information refer to the </w:t>
            </w:r>
            <w:r w:rsidRPr="00021530">
              <w:rPr>
                <w:u w:val="single"/>
              </w:rPr>
              <w:t>Equality Diversity and Inclusion Policy</w:t>
            </w:r>
            <w:r>
              <w:t>.</w:t>
            </w:r>
          </w:p>
        </w:tc>
      </w:tr>
    </w:tbl>
    <w:p w14:paraId="2C83D1B4" w14:textId="77777777" w:rsidR="00021530" w:rsidRPr="004C3545" w:rsidRDefault="00021530" w:rsidP="00021530">
      <w:pPr>
        <w:rPr>
          <w:rFonts w:cs="Arial"/>
          <w:spacing w:val="7"/>
        </w:rPr>
      </w:pPr>
    </w:p>
    <w:p w14:paraId="5810A36B" w14:textId="534F2BCA" w:rsidR="00021530" w:rsidRDefault="00021530" w:rsidP="00021530">
      <w:pPr>
        <w:pStyle w:val="Heading1Numbered"/>
      </w:pPr>
      <w:bookmarkStart w:id="13" w:name="_Toc189553822"/>
      <w:r>
        <w:t>Statement of Intent</w:t>
      </w:r>
      <w:bookmarkEnd w:id="13"/>
    </w:p>
    <w:p w14:paraId="115A2AD6" w14:textId="77777777" w:rsidR="00021530" w:rsidRPr="003E5965" w:rsidRDefault="00021530" w:rsidP="00021530">
      <w:pPr>
        <w:pStyle w:val="Text1Numbered"/>
      </w:pPr>
      <w:r w:rsidRPr="003E5965">
        <w:t>MHA acknowledge that relationships of a non-professional nature may develop or exist between people who work together.</w:t>
      </w:r>
    </w:p>
    <w:p w14:paraId="4B29FF33" w14:textId="77777777" w:rsidR="00021530" w:rsidRPr="003E5965" w:rsidRDefault="00021530" w:rsidP="00021530">
      <w:pPr>
        <w:pStyle w:val="Text1Numbered"/>
        <w:numPr>
          <w:ilvl w:val="0"/>
          <w:numId w:val="0"/>
        </w:numPr>
        <w:ind w:left="1135"/>
      </w:pPr>
    </w:p>
    <w:p w14:paraId="25302EDB" w14:textId="77777777" w:rsidR="00021530" w:rsidRDefault="00021530" w:rsidP="00021530">
      <w:pPr>
        <w:pStyle w:val="Text1Numbered"/>
      </w:pPr>
      <w:r w:rsidRPr="003E5965">
        <w:t xml:space="preserve">MHA recognise that colleagues must establish a rapport with those who use MHA services including residents and members, their relatives, and </w:t>
      </w:r>
      <w:r>
        <w:t>friends</w:t>
      </w:r>
      <w:r w:rsidRPr="003E5965">
        <w:t>; they are also responsible for establishing and maintaining appropriate boundaries between themselves and those who use our services. It is essential that all interactions between colleagues and those who use MHA services are viewed and maintained in terms of a professional relationship.</w:t>
      </w:r>
    </w:p>
    <w:p w14:paraId="44824D8B" w14:textId="77777777" w:rsidR="00021530" w:rsidRPr="003E5965" w:rsidRDefault="00021530" w:rsidP="00021530">
      <w:pPr>
        <w:pStyle w:val="Text1Numbered"/>
        <w:numPr>
          <w:ilvl w:val="0"/>
          <w:numId w:val="0"/>
        </w:numPr>
      </w:pPr>
    </w:p>
    <w:p w14:paraId="55E599FF" w14:textId="77777777" w:rsidR="00021530" w:rsidRDefault="00021530" w:rsidP="00021530">
      <w:pPr>
        <w:pStyle w:val="Text1Numbered"/>
      </w:pPr>
      <w:r>
        <w:t xml:space="preserve">MHA colleagues must declare any known relationships with anyone else who is in contact with MHA including other colleagues, those who use MHA services, and their families and anyone else engaged with MHA in anyway. </w:t>
      </w:r>
    </w:p>
    <w:p w14:paraId="6451B6EF" w14:textId="77777777" w:rsidR="00021530" w:rsidRDefault="00021530" w:rsidP="00021530">
      <w:pPr>
        <w:pStyle w:val="Text1Numbered"/>
        <w:numPr>
          <w:ilvl w:val="0"/>
          <w:numId w:val="0"/>
        </w:numPr>
        <w:ind w:left="1135"/>
      </w:pPr>
    </w:p>
    <w:p w14:paraId="2DE3CCDC" w14:textId="42761303" w:rsidR="00021530" w:rsidRDefault="00021530" w:rsidP="00021530">
      <w:pPr>
        <w:pStyle w:val="Text1Numbered"/>
      </w:pPr>
      <w:r>
        <w:t xml:space="preserve">All applicants, referral, request, or job application where a close relationship exists must be declared and approved before any contracts are put in place. If this is not declared at application stage and this is found out this could lead to disciplinary or further actions to be taken. For more information refer to the </w:t>
      </w:r>
      <w:r w:rsidRPr="00021530">
        <w:rPr>
          <w:u w:val="single"/>
        </w:rPr>
        <w:t>Code of Conduct</w:t>
      </w:r>
      <w:r>
        <w:rPr>
          <w:u w:val="single"/>
        </w:rPr>
        <w:t xml:space="preserve"> and Professional Behaviours</w:t>
      </w:r>
      <w:r w:rsidRPr="00021530">
        <w:rPr>
          <w:u w:val="single"/>
        </w:rPr>
        <w:t xml:space="preserve"> Policy</w:t>
      </w:r>
      <w:r>
        <w:t>.</w:t>
      </w:r>
    </w:p>
    <w:p w14:paraId="1736EC31" w14:textId="77777777" w:rsidR="00021530" w:rsidRDefault="00021530" w:rsidP="00021530">
      <w:pPr>
        <w:pStyle w:val="Text1Numbered"/>
        <w:numPr>
          <w:ilvl w:val="0"/>
          <w:numId w:val="0"/>
        </w:numPr>
        <w:ind w:left="1135"/>
      </w:pPr>
    </w:p>
    <w:p w14:paraId="310FC63B" w14:textId="77777777" w:rsidR="00021530" w:rsidRDefault="00021530" w:rsidP="00021530">
      <w:pPr>
        <w:pStyle w:val="Text1Numbered"/>
      </w:pPr>
      <w:r>
        <w:t xml:space="preserve">Only the procedures set out in this policy must be used to declare a relationship. </w:t>
      </w:r>
    </w:p>
    <w:p w14:paraId="45348246" w14:textId="77777777" w:rsidR="00021530" w:rsidRPr="004C3545" w:rsidRDefault="00021530" w:rsidP="00021530">
      <w:pPr>
        <w:pStyle w:val="Heading1Numbered"/>
      </w:pPr>
      <w:bookmarkStart w:id="14" w:name="_Toc136337910"/>
      <w:bookmarkStart w:id="15" w:name="_Toc189553823"/>
      <w:r>
        <w:t>Conflicts of Interest</w:t>
      </w:r>
      <w:bookmarkEnd w:id="14"/>
      <w:bookmarkEnd w:id="15"/>
    </w:p>
    <w:p w14:paraId="0A76A427" w14:textId="77777777" w:rsidR="00021530" w:rsidRDefault="00021530" w:rsidP="00021530">
      <w:pPr>
        <w:pStyle w:val="Text1Numbered"/>
      </w:pPr>
      <w:r>
        <w:t>A conflict of interest can occur when a colleague is put in a situation or circumstance that impacts their ability to apply judgement or act in their role, or could be, impaired or influenced by a secondary interest. It can happen in any situation where there is a possibility that an individual or organisation could exploit another for personal or other benefit (for example, for personal development and other training).</w:t>
      </w:r>
    </w:p>
    <w:p w14:paraId="04843527" w14:textId="77777777" w:rsidR="00021530" w:rsidRDefault="00021530" w:rsidP="00021530">
      <w:pPr>
        <w:pStyle w:val="Text1Numbered"/>
        <w:numPr>
          <w:ilvl w:val="0"/>
          <w:numId w:val="0"/>
        </w:numPr>
        <w:ind w:left="1135"/>
      </w:pPr>
    </w:p>
    <w:p w14:paraId="5EF7C97F" w14:textId="77777777" w:rsidR="00021530" w:rsidRDefault="00021530" w:rsidP="00021530">
      <w:pPr>
        <w:pStyle w:val="Text1Numbered"/>
      </w:pPr>
      <w:r>
        <w:t>Even if the colleague does not actually benefit, a conflict can still occur if it appears a decision may have been influenced. The perception of competing interests, impaired judgement or undue influence can also be a conflict of interest.</w:t>
      </w:r>
    </w:p>
    <w:p w14:paraId="62F9ED0B" w14:textId="77777777" w:rsidR="00021530" w:rsidRDefault="00021530" w:rsidP="00021530">
      <w:pPr>
        <w:pStyle w:val="Text1Numbered"/>
        <w:numPr>
          <w:ilvl w:val="0"/>
          <w:numId w:val="0"/>
        </w:numPr>
      </w:pPr>
    </w:p>
    <w:p w14:paraId="2907AC05" w14:textId="77777777" w:rsidR="00021530" w:rsidRDefault="00021530" w:rsidP="00021530">
      <w:pPr>
        <w:pStyle w:val="Text1Numbered"/>
      </w:pPr>
      <w:r>
        <w:t>When MHA colleagues have relationships at work, the following difficulties may arise causing a conflict of interest (actual or perceived, and not an exhaustive list):</w:t>
      </w:r>
    </w:p>
    <w:p w14:paraId="265EFA4F" w14:textId="77777777" w:rsidR="00021530" w:rsidRDefault="00021530" w:rsidP="00021530">
      <w:pPr>
        <w:pStyle w:val="Textlistindented-bullet"/>
      </w:pPr>
      <w:r>
        <w:t xml:space="preserve">Colleagues being able to maintain a professional relationship with a relative </w:t>
      </w:r>
    </w:p>
    <w:p w14:paraId="24B56EE9" w14:textId="77777777" w:rsidR="00021530" w:rsidRDefault="00021530" w:rsidP="00021530">
      <w:pPr>
        <w:pStyle w:val="Textlistindented-bullet"/>
      </w:pPr>
      <w:r>
        <w:t>Favouritism in relation to admission or granting a tenancy / lease.</w:t>
      </w:r>
    </w:p>
    <w:p w14:paraId="5F6C9BB0" w14:textId="77777777" w:rsidR="00021530" w:rsidRDefault="00021530" w:rsidP="00021530">
      <w:pPr>
        <w:pStyle w:val="Textlistindented-bullet"/>
      </w:pPr>
      <w:r>
        <w:t>Favouritism in relation to care and support.</w:t>
      </w:r>
    </w:p>
    <w:p w14:paraId="649D8DDF" w14:textId="77777777" w:rsidR="00021530" w:rsidRDefault="00021530" w:rsidP="00021530">
      <w:pPr>
        <w:pStyle w:val="Textlistindented-bullet"/>
      </w:pPr>
      <w:r>
        <w:t xml:space="preserve">Family tensions and conflict </w:t>
      </w:r>
    </w:p>
    <w:p w14:paraId="0B58832D" w14:textId="77777777" w:rsidR="00021530" w:rsidRDefault="00021530" w:rsidP="00021530">
      <w:pPr>
        <w:pStyle w:val="Textlistindented-bullet"/>
      </w:pPr>
      <w:r>
        <w:t xml:space="preserve">Setting rotas and allocating work to avoid direct contact between relatives. </w:t>
      </w:r>
    </w:p>
    <w:p w14:paraId="5DACFCAF" w14:textId="77777777" w:rsidR="00021530" w:rsidRDefault="00021530" w:rsidP="00021530">
      <w:pPr>
        <w:pStyle w:val="Textlistindented-bullet"/>
      </w:pPr>
      <w:r>
        <w:t>Pressure on colleagues to treat the person differently.</w:t>
      </w:r>
    </w:p>
    <w:p w14:paraId="5066AD46" w14:textId="77777777" w:rsidR="00021530" w:rsidRDefault="00021530" w:rsidP="00021530">
      <w:pPr>
        <w:pStyle w:val="Textlistindented-bullet"/>
      </w:pPr>
      <w:r>
        <w:t xml:space="preserve">Colleagues being fearful of or vulnerable to criticism if the person’s relative is a manager. </w:t>
      </w:r>
    </w:p>
    <w:p w14:paraId="0E123F42" w14:textId="77777777" w:rsidR="00021530" w:rsidRDefault="00021530" w:rsidP="00021530">
      <w:pPr>
        <w:pStyle w:val="Textlistindented-bullet"/>
      </w:pPr>
      <w:r>
        <w:t>Having inappropriate access to the person’s records</w:t>
      </w:r>
    </w:p>
    <w:p w14:paraId="6D117EDF" w14:textId="77777777" w:rsidR="00021530" w:rsidRDefault="00021530" w:rsidP="00021530">
      <w:pPr>
        <w:pStyle w:val="Textlistindented-bullet"/>
      </w:pPr>
      <w:r>
        <w:t xml:space="preserve">Confidentiality of colleagues, residents/ members, and company information </w:t>
      </w:r>
    </w:p>
    <w:p w14:paraId="533D1E2E" w14:textId="77777777" w:rsidR="00021530" w:rsidRDefault="00021530" w:rsidP="00021530">
      <w:pPr>
        <w:pStyle w:val="Textlistindented-bullet"/>
      </w:pPr>
      <w:r>
        <w:t>Maintaining neutrality e.g., in dealing with complaints and discipline involving both parties</w:t>
      </w:r>
    </w:p>
    <w:p w14:paraId="3F649BB3" w14:textId="77777777" w:rsidR="00021530" w:rsidRDefault="00021530" w:rsidP="00021530">
      <w:pPr>
        <w:pStyle w:val="Text1Numbered"/>
      </w:pPr>
      <w:r>
        <w:t>Colleagues are encouraged to speak to their line managers if there is doubt about a conflict of interest or whether a relationship should be declared. For example, if the relationship is with a councillor of a local authority that is engaged with MHA.</w:t>
      </w:r>
    </w:p>
    <w:p w14:paraId="11B60011" w14:textId="77777777" w:rsidR="00021530" w:rsidRDefault="00021530" w:rsidP="00021530">
      <w:pPr>
        <w:pStyle w:val="Text1Numbered"/>
        <w:numPr>
          <w:ilvl w:val="0"/>
          <w:numId w:val="0"/>
        </w:numPr>
      </w:pPr>
    </w:p>
    <w:p w14:paraId="0E2D3E15" w14:textId="77777777" w:rsidR="00021530" w:rsidRDefault="00021530" w:rsidP="00021530">
      <w:pPr>
        <w:pStyle w:val="Text1Numbered"/>
      </w:pPr>
      <w:r>
        <w:t>Specific examples of a conflict of interest which could arise from relationships at work include (this list of examples is not exhaustive, this policy applied to all conflicts of interest that could arise at MHA as a result of colleagues having relationships at work):</w:t>
      </w:r>
    </w:p>
    <w:p w14:paraId="1C7B3E0A" w14:textId="77777777" w:rsidR="00021530" w:rsidRPr="00021530" w:rsidRDefault="00021530" w:rsidP="00021530">
      <w:pPr>
        <w:pStyle w:val="Textlistindented-letters"/>
        <w:rPr>
          <w:b/>
          <w:bCs/>
        </w:rPr>
      </w:pPr>
      <w:r w:rsidRPr="00021530">
        <w:rPr>
          <w:b/>
          <w:bCs/>
        </w:rPr>
        <w:t>Housing Service Benefits</w:t>
      </w:r>
    </w:p>
    <w:p w14:paraId="142C224B" w14:textId="6FA4B330" w:rsidR="00021530" w:rsidRDefault="00021530" w:rsidP="00021530">
      <w:pPr>
        <w:pStyle w:val="Textlistindented-bullet"/>
        <w:numPr>
          <w:ilvl w:val="0"/>
          <w:numId w:val="0"/>
        </w:numPr>
        <w:ind w:left="1559"/>
      </w:pPr>
      <w:r>
        <w:t xml:space="preserve">A benefit includes the grant or renewal of a tenancy or lease, and a colleague includes anyone employed within the preceding 12 months. MHA do not grant benefits colleagues or a close relative of colleagues unless the process of allocation is deemed as entirely fair and open, and granting the tenancy meets the right criteria and allocations policy (i.e., they would have been granted a tenancy anyway and did not ‘jump the queue’). This requires the approval of the Association’s Board, however, as an ‘exception.’ </w:t>
      </w:r>
    </w:p>
    <w:p w14:paraId="7C2C5D9A" w14:textId="77777777" w:rsidR="00021530" w:rsidRPr="00021530" w:rsidRDefault="00021530" w:rsidP="00021530">
      <w:pPr>
        <w:pStyle w:val="Textlistindented-letters"/>
        <w:rPr>
          <w:b/>
          <w:bCs/>
        </w:rPr>
      </w:pPr>
      <w:r w:rsidRPr="00021530">
        <w:rPr>
          <w:b/>
          <w:bCs/>
        </w:rPr>
        <w:t xml:space="preserve">Contractors &amp; Visiting Service Providers </w:t>
      </w:r>
    </w:p>
    <w:p w14:paraId="4D0FCC4A" w14:textId="77777777" w:rsidR="00021530" w:rsidRDefault="00021530" w:rsidP="00021530">
      <w:pPr>
        <w:pStyle w:val="Textlistindented-bullet"/>
        <w:numPr>
          <w:ilvl w:val="0"/>
          <w:numId w:val="0"/>
        </w:numPr>
        <w:ind w:left="1559"/>
      </w:pPr>
      <w:r>
        <w:t xml:space="preserve">MHA’s Code of Professional Conduct [HR8.3] requires a colleague to declare any close relationship with a contractor or anyone earning fees from working in an MHA service (such as hairdressers, chiropodists etc.) Visits by healthcare professionals (GP’s District Nurses etc) or occasional tradesmen, are not affected by this policy. These providers should have effective policies in place to address the purpose of this policy. </w:t>
      </w:r>
    </w:p>
    <w:p w14:paraId="721D09B9" w14:textId="77777777" w:rsidR="00021530" w:rsidRPr="00021530" w:rsidRDefault="00021530" w:rsidP="00021530">
      <w:pPr>
        <w:pStyle w:val="Textlistindented-letters"/>
        <w:rPr>
          <w:b/>
          <w:bCs/>
        </w:rPr>
      </w:pPr>
      <w:r w:rsidRPr="00021530">
        <w:rPr>
          <w:b/>
          <w:bCs/>
        </w:rPr>
        <w:t>Applicants (Recruitment)</w:t>
      </w:r>
    </w:p>
    <w:p w14:paraId="5C30D0F4" w14:textId="77777777" w:rsidR="00021530" w:rsidRDefault="00021530" w:rsidP="00021530">
      <w:pPr>
        <w:pStyle w:val="Textlistindented-letters"/>
        <w:numPr>
          <w:ilvl w:val="0"/>
          <w:numId w:val="0"/>
        </w:numPr>
        <w:ind w:left="1560"/>
      </w:pPr>
    </w:p>
    <w:p w14:paraId="410E93A7" w14:textId="0C0CA55E" w:rsidR="00021530" w:rsidRDefault="00021530" w:rsidP="00021530">
      <w:pPr>
        <w:pStyle w:val="Textlistindented-letters"/>
        <w:numPr>
          <w:ilvl w:val="0"/>
          <w:numId w:val="0"/>
        </w:numPr>
        <w:ind w:left="1560"/>
      </w:pPr>
      <w:r>
        <w:t xml:space="preserve">Applicants who are closely related to a service user must declare this on their application form. If the unsuccessful outcome of a recruitment decision is made on the grounds of an applicant’s relationship with a relative at MHA, this must be made to the applicant in writing by the recruiting manager or Talent Advisor accordingly. </w:t>
      </w:r>
    </w:p>
    <w:p w14:paraId="67433AD8" w14:textId="77777777" w:rsidR="00021530" w:rsidRDefault="00021530" w:rsidP="00021530">
      <w:pPr>
        <w:pStyle w:val="Textlistindented-letters"/>
        <w:numPr>
          <w:ilvl w:val="0"/>
          <w:numId w:val="0"/>
        </w:numPr>
        <w:ind w:left="1560"/>
      </w:pPr>
    </w:p>
    <w:p w14:paraId="19354DC2" w14:textId="77777777" w:rsidR="00021530" w:rsidRPr="00021530" w:rsidRDefault="00021530" w:rsidP="00021530">
      <w:pPr>
        <w:pStyle w:val="Textlistindented-letters"/>
        <w:rPr>
          <w:b/>
          <w:bCs/>
        </w:rPr>
      </w:pPr>
      <w:r w:rsidRPr="00021530">
        <w:rPr>
          <w:b/>
          <w:bCs/>
        </w:rPr>
        <w:t>Subsequent Relations</w:t>
      </w:r>
    </w:p>
    <w:p w14:paraId="2CF4C46C" w14:textId="77777777" w:rsidR="00021530" w:rsidRDefault="00021530" w:rsidP="00021530">
      <w:pPr>
        <w:pStyle w:val="Textlistindented-bullet"/>
        <w:numPr>
          <w:ilvl w:val="0"/>
          <w:numId w:val="0"/>
        </w:numPr>
        <w:ind w:left="1559"/>
      </w:pPr>
      <w:r>
        <w:t>If a colleague becomes has a relationship or develops a relationship with someone using MHA’s services whilst the latter is receiving a service (e.g., by a family marriage) this will need to be declared to the line manager, home manager, and area manager.</w:t>
      </w:r>
    </w:p>
    <w:p w14:paraId="45203EDF" w14:textId="77777777" w:rsidR="00021530" w:rsidRPr="004C3545" w:rsidRDefault="00021530" w:rsidP="00021530">
      <w:pPr>
        <w:pStyle w:val="Heading1Numbered"/>
      </w:pPr>
      <w:bookmarkStart w:id="16" w:name="_Toc136337911"/>
      <w:bookmarkStart w:id="17" w:name="_Toc189553824"/>
      <w:r>
        <w:t>Process for Declaring and Authorising Relationships at Work</w:t>
      </w:r>
      <w:bookmarkEnd w:id="16"/>
      <w:bookmarkEnd w:id="17"/>
    </w:p>
    <w:p w14:paraId="0118D079" w14:textId="77777777" w:rsidR="00021530" w:rsidRDefault="00021530" w:rsidP="00021530">
      <w:pPr>
        <w:pStyle w:val="Text1Numbered"/>
      </w:pPr>
      <w:r w:rsidRPr="003E5965">
        <w:t xml:space="preserve">As soon as a </w:t>
      </w:r>
      <w:r>
        <w:t>relationship at work</w:t>
      </w:r>
      <w:r w:rsidRPr="003E5965">
        <w:t xml:space="preserve"> is identified</w:t>
      </w:r>
      <w:r>
        <w:t>, on application or for existing colleagues (e.g., a relationship develops during employment)</w:t>
      </w:r>
      <w:r w:rsidRPr="003E5965">
        <w:t xml:space="preserve">, colleagues must </w:t>
      </w:r>
      <w:r>
        <w:t>disclose</w:t>
      </w:r>
      <w:r w:rsidRPr="003E5965">
        <w:t xml:space="preserve"> this in writing by email or letter (text message is not acceptable) to t</w:t>
      </w:r>
      <w:r>
        <w:t xml:space="preserve">he relevant “disclose to” colleague shown in table 1 below. </w:t>
      </w:r>
      <w:r w:rsidRPr="003E5965">
        <w:t xml:space="preserve">All </w:t>
      </w:r>
      <w:r>
        <w:t>disclosures</w:t>
      </w:r>
      <w:r w:rsidRPr="003E5965">
        <w:t xml:space="preserve"> </w:t>
      </w:r>
      <w:r>
        <w:t>must be</w:t>
      </w:r>
      <w:r w:rsidRPr="003E5965">
        <w:t xml:space="preserve"> recorded in the applicants / colleague’s personal file.</w:t>
      </w:r>
    </w:p>
    <w:p w14:paraId="3002752B" w14:textId="77777777" w:rsidR="00021530" w:rsidRDefault="00021530" w:rsidP="00021530">
      <w:pPr>
        <w:pStyle w:val="Text1Numbered"/>
        <w:numPr>
          <w:ilvl w:val="0"/>
          <w:numId w:val="0"/>
        </w:numPr>
        <w:ind w:left="1135"/>
      </w:pPr>
    </w:p>
    <w:p w14:paraId="6955C9D6" w14:textId="77777777" w:rsidR="00021530" w:rsidRPr="00AE24F6" w:rsidRDefault="00021530" w:rsidP="00021530">
      <w:pPr>
        <w:pStyle w:val="Text1Numbered"/>
      </w:pPr>
      <w:r>
        <w:t>“Disclosing colleagues” must</w:t>
      </w:r>
      <w:r w:rsidRPr="003E5965">
        <w:t xml:space="preserve"> </w:t>
      </w:r>
      <w:r>
        <w:t xml:space="preserve">report this the relevant colleague shown in the “approval colleague” colleague in table 1 below. </w:t>
      </w:r>
    </w:p>
    <w:p w14:paraId="1B2D0C92" w14:textId="77777777" w:rsidR="00021530" w:rsidRPr="00292CD6" w:rsidRDefault="00021530" w:rsidP="00021530">
      <w:pPr>
        <w:rPr>
          <w:rFonts w:cs="Arial"/>
          <w:b/>
          <w:bCs/>
          <w:szCs w:val="22"/>
        </w:rPr>
      </w:pPr>
      <w:r w:rsidRPr="00292CD6">
        <w:rPr>
          <w:rFonts w:cs="Arial"/>
          <w:b/>
          <w:bCs/>
          <w:szCs w:val="22"/>
        </w:rPr>
        <w:t xml:space="preserve">Table 1: </w:t>
      </w:r>
      <w:r>
        <w:rPr>
          <w:rFonts w:cs="Arial"/>
          <w:b/>
          <w:bCs/>
          <w:szCs w:val="22"/>
        </w:rPr>
        <w:t>Who to Declare Relationships to</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89"/>
        <w:gridCol w:w="2977"/>
      </w:tblGrid>
      <w:tr w:rsidR="00021530" w:rsidRPr="00292CD6" w14:paraId="27410BC4" w14:textId="77777777" w:rsidTr="00021530">
        <w:trPr>
          <w:trHeight w:val="350"/>
          <w:tblHeader/>
        </w:trPr>
        <w:tc>
          <w:tcPr>
            <w:tcW w:w="3232" w:type="dxa"/>
            <w:shd w:val="clear" w:color="auto" w:fill="217593" w:themeFill="accent1"/>
          </w:tcPr>
          <w:p w14:paraId="2A47F589" w14:textId="77777777" w:rsidR="00021530" w:rsidRPr="00292CD6" w:rsidRDefault="00021530" w:rsidP="00021530">
            <w:pPr>
              <w:spacing w:line="276" w:lineRule="auto"/>
              <w:rPr>
                <w:rFonts w:eastAsia="PMingLiU" w:cs="Arial"/>
                <w:b/>
                <w:bCs/>
                <w:color w:val="FFFFFF"/>
                <w:szCs w:val="22"/>
              </w:rPr>
            </w:pPr>
            <w:r w:rsidRPr="00292CD6">
              <w:rPr>
                <w:rFonts w:eastAsia="PMingLiU" w:cs="Arial"/>
                <w:b/>
                <w:bCs/>
                <w:color w:val="FFFFFF"/>
                <w:szCs w:val="22"/>
              </w:rPr>
              <w:t xml:space="preserve">Roles </w:t>
            </w:r>
          </w:p>
        </w:tc>
        <w:tc>
          <w:tcPr>
            <w:tcW w:w="3289" w:type="dxa"/>
            <w:shd w:val="clear" w:color="auto" w:fill="217593" w:themeFill="accent1"/>
          </w:tcPr>
          <w:p w14:paraId="25A360F6" w14:textId="77777777" w:rsidR="00021530" w:rsidRPr="00292CD6" w:rsidRDefault="00021530" w:rsidP="00021530">
            <w:pPr>
              <w:spacing w:line="276" w:lineRule="auto"/>
              <w:rPr>
                <w:rFonts w:eastAsia="PMingLiU" w:cs="Arial"/>
                <w:b/>
                <w:bCs/>
                <w:color w:val="FFFFFF"/>
                <w:szCs w:val="22"/>
              </w:rPr>
            </w:pPr>
            <w:r>
              <w:rPr>
                <w:rFonts w:eastAsia="PMingLiU" w:cs="Arial"/>
                <w:b/>
                <w:bCs/>
                <w:color w:val="FFFFFF"/>
                <w:szCs w:val="22"/>
              </w:rPr>
              <w:t>Disclose Relationship to</w:t>
            </w:r>
          </w:p>
        </w:tc>
        <w:tc>
          <w:tcPr>
            <w:tcW w:w="2977" w:type="dxa"/>
            <w:shd w:val="clear" w:color="auto" w:fill="217593" w:themeFill="accent1"/>
          </w:tcPr>
          <w:p w14:paraId="07CB8F31" w14:textId="77777777" w:rsidR="00021530" w:rsidRPr="00292CD6" w:rsidRDefault="00021530" w:rsidP="00021530">
            <w:pPr>
              <w:spacing w:line="276" w:lineRule="auto"/>
              <w:rPr>
                <w:rFonts w:eastAsia="PMingLiU" w:cs="Arial"/>
                <w:b/>
                <w:bCs/>
                <w:color w:val="FFFFFF"/>
                <w:szCs w:val="22"/>
              </w:rPr>
            </w:pPr>
            <w:r w:rsidRPr="00292CD6">
              <w:rPr>
                <w:rFonts w:eastAsia="PMingLiU" w:cs="Arial"/>
                <w:b/>
                <w:bCs/>
                <w:color w:val="FFFFFF"/>
                <w:szCs w:val="22"/>
              </w:rPr>
              <w:t>Approv</w:t>
            </w:r>
            <w:r>
              <w:rPr>
                <w:rFonts w:eastAsia="PMingLiU" w:cs="Arial"/>
                <w:b/>
                <w:bCs/>
                <w:color w:val="FFFFFF"/>
                <w:szCs w:val="22"/>
              </w:rPr>
              <w:t>al Required From</w:t>
            </w:r>
          </w:p>
        </w:tc>
      </w:tr>
      <w:tr w:rsidR="00021530" w:rsidRPr="00292CD6" w14:paraId="6A428863" w14:textId="77777777" w:rsidTr="00256A26">
        <w:trPr>
          <w:trHeight w:val="691"/>
        </w:trPr>
        <w:tc>
          <w:tcPr>
            <w:tcW w:w="3232" w:type="dxa"/>
            <w:shd w:val="clear" w:color="auto" w:fill="auto"/>
          </w:tcPr>
          <w:p w14:paraId="056D2431" w14:textId="77777777" w:rsidR="00021530" w:rsidRPr="00021530" w:rsidRDefault="00021530" w:rsidP="00021530">
            <w:pPr>
              <w:spacing w:line="276" w:lineRule="auto"/>
              <w:rPr>
                <w:rFonts w:eastAsia="PMingLiU" w:cs="Arial"/>
                <w:b/>
                <w:bCs/>
                <w:szCs w:val="22"/>
              </w:rPr>
            </w:pPr>
            <w:r w:rsidRPr="00021530">
              <w:rPr>
                <w:rFonts w:eastAsia="PMingLiU" w:cs="Arial"/>
                <w:b/>
                <w:bCs/>
                <w:szCs w:val="22"/>
              </w:rPr>
              <w:t>Applicant</w:t>
            </w:r>
          </w:p>
          <w:p w14:paraId="471211F0" w14:textId="77777777" w:rsidR="00021530" w:rsidRPr="00292CD6" w:rsidRDefault="00021530" w:rsidP="00021530">
            <w:pPr>
              <w:spacing w:line="276" w:lineRule="auto"/>
              <w:rPr>
                <w:rFonts w:eastAsia="PMingLiU" w:cs="Arial"/>
                <w:szCs w:val="22"/>
              </w:rPr>
            </w:pPr>
            <w:r>
              <w:rPr>
                <w:rFonts w:eastAsia="PMingLiU" w:cs="Arial"/>
                <w:szCs w:val="22"/>
              </w:rPr>
              <w:t>(Excluding Trustees)</w:t>
            </w:r>
          </w:p>
        </w:tc>
        <w:tc>
          <w:tcPr>
            <w:tcW w:w="3289" w:type="dxa"/>
          </w:tcPr>
          <w:p w14:paraId="1B470F7D" w14:textId="77777777" w:rsidR="00021530" w:rsidRPr="00292CD6" w:rsidRDefault="00021530" w:rsidP="00021530">
            <w:pPr>
              <w:spacing w:line="276" w:lineRule="auto"/>
              <w:rPr>
                <w:rFonts w:eastAsia="PMingLiU" w:cs="Arial"/>
                <w:szCs w:val="22"/>
              </w:rPr>
            </w:pPr>
            <w:r w:rsidRPr="00292CD6">
              <w:rPr>
                <w:rFonts w:eastAsia="PMingLiU" w:cs="Arial"/>
                <w:szCs w:val="22"/>
              </w:rPr>
              <w:t xml:space="preserve">Talent advisor or recruiting manager </w:t>
            </w:r>
            <w:r>
              <w:rPr>
                <w:rFonts w:eastAsia="PMingLiU" w:cs="Arial"/>
                <w:szCs w:val="22"/>
              </w:rPr>
              <w:t>on application</w:t>
            </w:r>
            <w:r w:rsidRPr="00292CD6">
              <w:rPr>
                <w:rFonts w:eastAsia="PMingLiU" w:cs="Arial"/>
                <w:szCs w:val="22"/>
              </w:rPr>
              <w:t xml:space="preserve"> </w:t>
            </w:r>
          </w:p>
        </w:tc>
        <w:tc>
          <w:tcPr>
            <w:tcW w:w="2977" w:type="dxa"/>
            <w:shd w:val="clear" w:color="auto" w:fill="auto"/>
          </w:tcPr>
          <w:p w14:paraId="1029E616" w14:textId="77777777" w:rsidR="00021530" w:rsidRDefault="00021530" w:rsidP="00021530">
            <w:pPr>
              <w:spacing w:line="276" w:lineRule="auto"/>
              <w:rPr>
                <w:rFonts w:eastAsia="PMingLiU" w:cs="Arial"/>
                <w:szCs w:val="22"/>
              </w:rPr>
            </w:pPr>
            <w:r>
              <w:rPr>
                <w:rFonts w:eastAsia="PMingLiU" w:cs="Arial"/>
                <w:szCs w:val="22"/>
              </w:rPr>
              <w:t>Location</w:t>
            </w:r>
            <w:r w:rsidRPr="00292CD6">
              <w:rPr>
                <w:rFonts w:eastAsia="PMingLiU" w:cs="Arial"/>
                <w:szCs w:val="22"/>
              </w:rPr>
              <w:t xml:space="preserve"> </w:t>
            </w:r>
            <w:r>
              <w:rPr>
                <w:rFonts w:eastAsia="PMingLiU" w:cs="Arial"/>
                <w:szCs w:val="22"/>
              </w:rPr>
              <w:t>M</w:t>
            </w:r>
            <w:r w:rsidRPr="00292CD6">
              <w:rPr>
                <w:rFonts w:eastAsia="PMingLiU" w:cs="Arial"/>
                <w:szCs w:val="22"/>
              </w:rPr>
              <w:t xml:space="preserve">anager and </w:t>
            </w:r>
            <w:r>
              <w:rPr>
                <w:rFonts w:eastAsia="PMingLiU" w:cs="Arial"/>
                <w:szCs w:val="22"/>
              </w:rPr>
              <w:t>Senior</w:t>
            </w:r>
            <w:r w:rsidRPr="00292CD6">
              <w:rPr>
                <w:rFonts w:eastAsia="PMingLiU" w:cs="Arial"/>
                <w:szCs w:val="22"/>
              </w:rPr>
              <w:t xml:space="preserve"> Manager</w:t>
            </w:r>
            <w:r>
              <w:rPr>
                <w:rFonts w:eastAsia="PMingLiU" w:cs="Arial"/>
                <w:szCs w:val="22"/>
              </w:rPr>
              <w:t xml:space="preserve"> (e.g., Area Manager).</w:t>
            </w:r>
          </w:p>
          <w:p w14:paraId="326C8BE5" w14:textId="77777777" w:rsidR="00021530" w:rsidRDefault="00021530" w:rsidP="00021530">
            <w:pPr>
              <w:spacing w:line="276" w:lineRule="auto"/>
              <w:rPr>
                <w:rFonts w:eastAsia="PMingLiU" w:cs="Arial"/>
                <w:szCs w:val="22"/>
              </w:rPr>
            </w:pPr>
          </w:p>
          <w:p w14:paraId="093FA8FC" w14:textId="77777777" w:rsidR="00021530" w:rsidRPr="00292CD6" w:rsidRDefault="00021530" w:rsidP="00021530">
            <w:pPr>
              <w:spacing w:line="276" w:lineRule="auto"/>
              <w:rPr>
                <w:rFonts w:eastAsia="PMingLiU" w:cs="Arial"/>
                <w:szCs w:val="22"/>
              </w:rPr>
            </w:pPr>
            <w:r>
              <w:rPr>
                <w:rFonts w:eastAsia="PMingLiU" w:cs="Arial"/>
                <w:szCs w:val="22"/>
              </w:rPr>
              <w:t>For Directors and Higher-grade Managers approval must be from the CEO.</w:t>
            </w:r>
          </w:p>
        </w:tc>
      </w:tr>
      <w:tr w:rsidR="00021530" w:rsidRPr="00292CD6" w14:paraId="72C62323" w14:textId="77777777" w:rsidTr="00256A26">
        <w:trPr>
          <w:trHeight w:val="691"/>
        </w:trPr>
        <w:tc>
          <w:tcPr>
            <w:tcW w:w="3232" w:type="dxa"/>
            <w:shd w:val="clear" w:color="auto" w:fill="auto"/>
          </w:tcPr>
          <w:p w14:paraId="15772AB0" w14:textId="77777777" w:rsidR="00021530" w:rsidRPr="00292CD6" w:rsidRDefault="00021530" w:rsidP="00021530">
            <w:pPr>
              <w:spacing w:line="276" w:lineRule="auto"/>
              <w:rPr>
                <w:rFonts w:eastAsia="PMingLiU" w:cs="Arial"/>
                <w:szCs w:val="22"/>
              </w:rPr>
            </w:pPr>
            <w:r w:rsidRPr="00021530">
              <w:rPr>
                <w:rFonts w:eastAsia="PMingLiU" w:cs="Arial"/>
                <w:b/>
                <w:bCs/>
                <w:szCs w:val="22"/>
              </w:rPr>
              <w:t>Existing MHA Colleagues</w:t>
            </w:r>
            <w:r>
              <w:rPr>
                <w:rFonts w:eastAsia="PMingLiU" w:cs="Arial"/>
                <w:szCs w:val="22"/>
              </w:rPr>
              <w:t xml:space="preserve"> (Excluding Directors and Higher-grade Managers)</w:t>
            </w:r>
          </w:p>
        </w:tc>
        <w:tc>
          <w:tcPr>
            <w:tcW w:w="3289" w:type="dxa"/>
          </w:tcPr>
          <w:p w14:paraId="17AD6AEC" w14:textId="77777777" w:rsidR="00021530" w:rsidRPr="00292CD6" w:rsidRDefault="00021530" w:rsidP="00021530">
            <w:pPr>
              <w:spacing w:line="276" w:lineRule="auto"/>
              <w:rPr>
                <w:rFonts w:eastAsia="PMingLiU" w:cs="Arial"/>
                <w:szCs w:val="22"/>
              </w:rPr>
            </w:pPr>
            <w:r>
              <w:rPr>
                <w:rFonts w:eastAsia="PMingLiU" w:cs="Arial"/>
                <w:szCs w:val="22"/>
              </w:rPr>
              <w:t>Line</w:t>
            </w:r>
            <w:r w:rsidRPr="00292CD6">
              <w:rPr>
                <w:rFonts w:eastAsia="PMingLiU" w:cs="Arial"/>
                <w:szCs w:val="22"/>
              </w:rPr>
              <w:t xml:space="preserve"> Manager </w:t>
            </w:r>
          </w:p>
        </w:tc>
        <w:tc>
          <w:tcPr>
            <w:tcW w:w="2977" w:type="dxa"/>
            <w:shd w:val="clear" w:color="auto" w:fill="auto"/>
          </w:tcPr>
          <w:p w14:paraId="72EB900F" w14:textId="77777777" w:rsidR="00021530" w:rsidRDefault="00021530" w:rsidP="00021530">
            <w:pPr>
              <w:spacing w:line="276" w:lineRule="auto"/>
              <w:rPr>
                <w:rFonts w:eastAsia="PMingLiU" w:cs="Arial"/>
                <w:szCs w:val="22"/>
              </w:rPr>
            </w:pPr>
            <w:r>
              <w:rPr>
                <w:rFonts w:eastAsia="PMingLiU" w:cs="Arial"/>
                <w:szCs w:val="22"/>
              </w:rPr>
              <w:t>Location</w:t>
            </w:r>
            <w:r w:rsidRPr="00292CD6">
              <w:rPr>
                <w:rFonts w:eastAsia="PMingLiU" w:cs="Arial"/>
                <w:szCs w:val="22"/>
              </w:rPr>
              <w:t xml:space="preserve"> </w:t>
            </w:r>
            <w:r>
              <w:rPr>
                <w:rFonts w:eastAsia="PMingLiU" w:cs="Arial"/>
                <w:szCs w:val="22"/>
              </w:rPr>
              <w:t>M</w:t>
            </w:r>
            <w:r w:rsidRPr="00292CD6">
              <w:rPr>
                <w:rFonts w:eastAsia="PMingLiU" w:cs="Arial"/>
                <w:szCs w:val="22"/>
              </w:rPr>
              <w:t xml:space="preserve">anager and </w:t>
            </w:r>
            <w:r>
              <w:rPr>
                <w:rFonts w:eastAsia="PMingLiU" w:cs="Arial"/>
                <w:szCs w:val="22"/>
              </w:rPr>
              <w:t>Senior</w:t>
            </w:r>
            <w:r w:rsidRPr="00292CD6">
              <w:rPr>
                <w:rFonts w:eastAsia="PMingLiU" w:cs="Arial"/>
                <w:szCs w:val="22"/>
              </w:rPr>
              <w:t xml:space="preserve"> Manager</w:t>
            </w:r>
            <w:r>
              <w:rPr>
                <w:rFonts w:eastAsia="PMingLiU" w:cs="Arial"/>
                <w:szCs w:val="22"/>
              </w:rPr>
              <w:t xml:space="preserve"> (e.g., Area Manager).</w:t>
            </w:r>
          </w:p>
          <w:p w14:paraId="520295B8" w14:textId="77777777" w:rsidR="00021530" w:rsidRDefault="00021530" w:rsidP="00021530">
            <w:pPr>
              <w:spacing w:line="276" w:lineRule="auto"/>
              <w:rPr>
                <w:rFonts w:eastAsia="PMingLiU" w:cs="Arial"/>
                <w:szCs w:val="22"/>
              </w:rPr>
            </w:pPr>
          </w:p>
          <w:p w14:paraId="4836A0DD" w14:textId="77777777" w:rsidR="00021530" w:rsidRPr="00292CD6" w:rsidRDefault="00021530" w:rsidP="00021530">
            <w:pPr>
              <w:spacing w:line="276" w:lineRule="auto"/>
              <w:rPr>
                <w:rFonts w:eastAsia="PMingLiU" w:cs="Arial"/>
                <w:szCs w:val="22"/>
              </w:rPr>
            </w:pPr>
            <w:r>
              <w:rPr>
                <w:rFonts w:eastAsia="PMingLiU" w:cs="Arial"/>
                <w:szCs w:val="22"/>
              </w:rPr>
              <w:t>For Directors and Higher-grade Managers approval must be from the CEO.</w:t>
            </w:r>
          </w:p>
        </w:tc>
      </w:tr>
      <w:tr w:rsidR="00021530" w:rsidRPr="00292CD6" w14:paraId="5864F5F4" w14:textId="77777777" w:rsidTr="00256A26">
        <w:trPr>
          <w:trHeight w:val="340"/>
        </w:trPr>
        <w:tc>
          <w:tcPr>
            <w:tcW w:w="3232" w:type="dxa"/>
            <w:shd w:val="clear" w:color="auto" w:fill="auto"/>
          </w:tcPr>
          <w:p w14:paraId="363EE249" w14:textId="3B8127D0" w:rsidR="00021530" w:rsidRPr="00292CD6" w:rsidRDefault="00021530" w:rsidP="00021530">
            <w:pPr>
              <w:spacing w:line="276" w:lineRule="auto"/>
              <w:rPr>
                <w:rFonts w:eastAsia="PMingLiU" w:cs="Arial"/>
                <w:szCs w:val="22"/>
              </w:rPr>
            </w:pPr>
            <w:r w:rsidRPr="00021530">
              <w:rPr>
                <w:rFonts w:eastAsia="PMingLiU" w:cs="Arial"/>
                <w:b/>
                <w:bCs/>
                <w:szCs w:val="22"/>
              </w:rPr>
              <w:t>Directors and Higher-grade Managers</w:t>
            </w:r>
          </w:p>
        </w:tc>
        <w:tc>
          <w:tcPr>
            <w:tcW w:w="3289" w:type="dxa"/>
          </w:tcPr>
          <w:p w14:paraId="257BEC01" w14:textId="77777777" w:rsidR="00021530" w:rsidRPr="00292CD6" w:rsidRDefault="00021530" w:rsidP="00021530">
            <w:pPr>
              <w:spacing w:line="276" w:lineRule="auto"/>
              <w:rPr>
                <w:rFonts w:eastAsia="PMingLiU" w:cs="Arial"/>
                <w:szCs w:val="22"/>
              </w:rPr>
            </w:pPr>
            <w:r>
              <w:rPr>
                <w:rFonts w:eastAsia="PMingLiU" w:cs="Arial"/>
                <w:szCs w:val="22"/>
              </w:rPr>
              <w:t>Line Manager</w:t>
            </w:r>
          </w:p>
        </w:tc>
        <w:tc>
          <w:tcPr>
            <w:tcW w:w="2977" w:type="dxa"/>
            <w:shd w:val="clear" w:color="auto" w:fill="auto"/>
          </w:tcPr>
          <w:p w14:paraId="1E19A1E8" w14:textId="77777777" w:rsidR="00021530" w:rsidRPr="00292CD6" w:rsidRDefault="00021530" w:rsidP="00021530">
            <w:pPr>
              <w:spacing w:line="276" w:lineRule="auto"/>
              <w:rPr>
                <w:rFonts w:eastAsia="PMingLiU" w:cs="Arial"/>
                <w:szCs w:val="22"/>
              </w:rPr>
            </w:pPr>
            <w:r>
              <w:rPr>
                <w:rFonts w:eastAsia="PMingLiU" w:cs="Arial"/>
                <w:szCs w:val="22"/>
              </w:rPr>
              <w:t>CEO</w:t>
            </w:r>
          </w:p>
        </w:tc>
      </w:tr>
      <w:tr w:rsidR="00021530" w:rsidRPr="00292CD6" w14:paraId="7C87A4FB" w14:textId="77777777" w:rsidTr="00256A26">
        <w:trPr>
          <w:trHeight w:val="340"/>
        </w:trPr>
        <w:tc>
          <w:tcPr>
            <w:tcW w:w="3232" w:type="dxa"/>
            <w:shd w:val="clear" w:color="auto" w:fill="auto"/>
          </w:tcPr>
          <w:p w14:paraId="343C8615" w14:textId="77777777" w:rsidR="00021530" w:rsidRPr="00021530" w:rsidRDefault="00021530" w:rsidP="00021530">
            <w:pPr>
              <w:spacing w:line="276" w:lineRule="auto"/>
              <w:rPr>
                <w:rFonts w:eastAsia="PMingLiU" w:cs="Arial"/>
                <w:b/>
                <w:bCs/>
                <w:szCs w:val="22"/>
              </w:rPr>
            </w:pPr>
            <w:r w:rsidRPr="00021530">
              <w:rPr>
                <w:rFonts w:eastAsia="PMingLiU" w:cs="Arial"/>
                <w:b/>
                <w:bCs/>
                <w:szCs w:val="22"/>
              </w:rPr>
              <w:t>Board of Trustees</w:t>
            </w:r>
          </w:p>
        </w:tc>
        <w:tc>
          <w:tcPr>
            <w:tcW w:w="3289" w:type="dxa"/>
          </w:tcPr>
          <w:p w14:paraId="10F09173" w14:textId="77777777" w:rsidR="00021530" w:rsidRPr="00292CD6" w:rsidRDefault="00021530" w:rsidP="00021530">
            <w:pPr>
              <w:spacing w:line="276" w:lineRule="auto"/>
              <w:rPr>
                <w:rFonts w:eastAsia="PMingLiU" w:cs="Arial"/>
                <w:szCs w:val="22"/>
              </w:rPr>
            </w:pPr>
            <w:r>
              <w:rPr>
                <w:rFonts w:eastAsia="PMingLiU" w:cs="Arial"/>
                <w:szCs w:val="22"/>
              </w:rPr>
              <w:t>Recruiting manager, CEO, and General Counsel and Company Secretary on application. CEO, and General Counsel and Company Secretary during appointment.</w:t>
            </w:r>
          </w:p>
        </w:tc>
        <w:tc>
          <w:tcPr>
            <w:tcW w:w="2977" w:type="dxa"/>
            <w:shd w:val="clear" w:color="auto" w:fill="auto"/>
          </w:tcPr>
          <w:p w14:paraId="780896A1" w14:textId="77777777" w:rsidR="00021530" w:rsidRDefault="00021530" w:rsidP="00021530">
            <w:pPr>
              <w:spacing w:line="276" w:lineRule="auto"/>
              <w:rPr>
                <w:rFonts w:eastAsia="PMingLiU" w:cs="Arial"/>
                <w:szCs w:val="22"/>
              </w:rPr>
            </w:pPr>
            <w:r>
              <w:rPr>
                <w:rFonts w:eastAsia="PMingLiU" w:cs="Arial"/>
                <w:szCs w:val="22"/>
              </w:rPr>
              <w:t>Board and CEO</w:t>
            </w:r>
          </w:p>
        </w:tc>
      </w:tr>
      <w:tr w:rsidR="00021530" w:rsidRPr="00292CD6" w14:paraId="40E25929" w14:textId="77777777" w:rsidTr="00256A26">
        <w:trPr>
          <w:trHeight w:val="340"/>
        </w:trPr>
        <w:tc>
          <w:tcPr>
            <w:tcW w:w="3232" w:type="dxa"/>
            <w:shd w:val="clear" w:color="auto" w:fill="auto"/>
          </w:tcPr>
          <w:p w14:paraId="7AD1332E" w14:textId="77777777" w:rsidR="00021530" w:rsidRPr="00021530" w:rsidRDefault="00021530" w:rsidP="00021530">
            <w:pPr>
              <w:spacing w:line="276" w:lineRule="auto"/>
              <w:rPr>
                <w:rFonts w:eastAsia="PMingLiU" w:cs="Arial"/>
                <w:b/>
                <w:bCs/>
                <w:szCs w:val="22"/>
              </w:rPr>
            </w:pPr>
            <w:r w:rsidRPr="00021530">
              <w:rPr>
                <w:rFonts w:eastAsia="PMingLiU" w:cs="Arial"/>
                <w:b/>
                <w:bCs/>
                <w:szCs w:val="22"/>
              </w:rPr>
              <w:t>Volunteers</w:t>
            </w:r>
          </w:p>
        </w:tc>
        <w:tc>
          <w:tcPr>
            <w:tcW w:w="3289" w:type="dxa"/>
          </w:tcPr>
          <w:p w14:paraId="46A5719C" w14:textId="77777777" w:rsidR="00021530" w:rsidRDefault="00021530" w:rsidP="00021530">
            <w:pPr>
              <w:spacing w:line="276" w:lineRule="auto"/>
              <w:rPr>
                <w:rFonts w:eastAsia="PMingLiU" w:cs="Arial"/>
                <w:szCs w:val="22"/>
              </w:rPr>
            </w:pPr>
            <w:r>
              <w:rPr>
                <w:rFonts w:eastAsia="PMingLiU" w:cs="Arial"/>
                <w:szCs w:val="22"/>
              </w:rPr>
              <w:t>Volunteering Coordinator and Location Manager during recruitment. For existing volunteers, Location Manager.</w:t>
            </w:r>
          </w:p>
        </w:tc>
        <w:tc>
          <w:tcPr>
            <w:tcW w:w="2977" w:type="dxa"/>
            <w:shd w:val="clear" w:color="auto" w:fill="auto"/>
          </w:tcPr>
          <w:p w14:paraId="540437ED" w14:textId="77777777" w:rsidR="00021530" w:rsidRDefault="00021530" w:rsidP="00021530">
            <w:pPr>
              <w:spacing w:line="276" w:lineRule="auto"/>
              <w:rPr>
                <w:rFonts w:eastAsia="PMingLiU" w:cs="Arial"/>
                <w:szCs w:val="22"/>
              </w:rPr>
            </w:pPr>
            <w:r>
              <w:rPr>
                <w:rFonts w:eastAsia="PMingLiU" w:cs="Arial"/>
                <w:szCs w:val="22"/>
              </w:rPr>
              <w:t>Volunteering Manager and Regional Manager</w:t>
            </w:r>
          </w:p>
        </w:tc>
      </w:tr>
    </w:tbl>
    <w:p w14:paraId="46836079" w14:textId="77777777" w:rsidR="00021530" w:rsidRDefault="00021530" w:rsidP="00021530">
      <w:pPr>
        <w:spacing w:line="276" w:lineRule="auto"/>
        <w:rPr>
          <w:rFonts w:ascii="Calibri" w:eastAsia="PMingLiU" w:hAnsi="Calibri" w:cs="Calibri"/>
        </w:rPr>
      </w:pPr>
    </w:p>
    <w:p w14:paraId="3918CEFC" w14:textId="77777777" w:rsidR="00021530" w:rsidRPr="00030524" w:rsidRDefault="00021530" w:rsidP="00021530">
      <w:pPr>
        <w:pStyle w:val="Text1Numbered"/>
        <w:spacing w:line="276" w:lineRule="auto"/>
      </w:pPr>
      <w:r>
        <w:t>When approving relationships at work “approving colleagues” (in table 1) must consider the following factors set out in table 2.</w:t>
      </w:r>
    </w:p>
    <w:p w14:paraId="07C968E6" w14:textId="77777777" w:rsidR="00021530" w:rsidRPr="00292CD6" w:rsidRDefault="00021530" w:rsidP="00021530">
      <w:pPr>
        <w:spacing w:line="276" w:lineRule="auto"/>
        <w:rPr>
          <w:rFonts w:eastAsia="PMingLiU" w:cs="Arial"/>
          <w:b/>
          <w:bCs/>
          <w:szCs w:val="22"/>
        </w:rPr>
      </w:pPr>
      <w:r w:rsidRPr="00292CD6">
        <w:rPr>
          <w:rFonts w:eastAsia="PMingLiU" w:cs="Arial"/>
          <w:b/>
          <w:bCs/>
          <w:szCs w:val="22"/>
        </w:rPr>
        <w:t>Table 2: Considerations for Approval Process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7825"/>
      </w:tblGrid>
      <w:tr w:rsidR="00021530" w:rsidRPr="00292CD6" w14:paraId="648B53E9" w14:textId="77777777" w:rsidTr="00021530">
        <w:tc>
          <w:tcPr>
            <w:tcW w:w="9498" w:type="dxa"/>
            <w:gridSpan w:val="2"/>
            <w:shd w:val="clear" w:color="auto" w:fill="217593" w:themeFill="accent1"/>
          </w:tcPr>
          <w:p w14:paraId="54CA00BE" w14:textId="77777777" w:rsidR="00021530" w:rsidRPr="00292CD6" w:rsidRDefault="00021530" w:rsidP="00021530">
            <w:pPr>
              <w:spacing w:line="276" w:lineRule="auto"/>
              <w:rPr>
                <w:rFonts w:cs="Arial"/>
                <w:b/>
                <w:bCs/>
                <w:color w:val="FFFFFF"/>
                <w:szCs w:val="22"/>
              </w:rPr>
            </w:pPr>
            <w:r>
              <w:rPr>
                <w:rFonts w:cs="Arial"/>
                <w:b/>
                <w:bCs/>
                <w:color w:val="FFFFFF"/>
                <w:szCs w:val="22"/>
              </w:rPr>
              <w:t>Approving Relationships at Work:</w:t>
            </w:r>
            <w:r w:rsidRPr="00292CD6">
              <w:rPr>
                <w:rFonts w:cs="Arial"/>
                <w:b/>
                <w:bCs/>
                <w:color w:val="FFFFFF"/>
                <w:szCs w:val="22"/>
              </w:rPr>
              <w:t xml:space="preserve"> Considerations</w:t>
            </w:r>
          </w:p>
        </w:tc>
      </w:tr>
      <w:tr w:rsidR="00021530" w:rsidRPr="00292CD6" w14:paraId="7BF5E4C0" w14:textId="77777777" w:rsidTr="00256A26">
        <w:tc>
          <w:tcPr>
            <w:tcW w:w="1673" w:type="dxa"/>
            <w:shd w:val="clear" w:color="auto" w:fill="FFFFFF"/>
          </w:tcPr>
          <w:p w14:paraId="501EF825" w14:textId="77777777" w:rsidR="00021530" w:rsidRPr="00292CD6" w:rsidRDefault="00021530" w:rsidP="00021530">
            <w:pPr>
              <w:spacing w:line="276" w:lineRule="auto"/>
              <w:rPr>
                <w:rFonts w:cs="Arial"/>
                <w:szCs w:val="22"/>
              </w:rPr>
            </w:pPr>
            <w:r w:rsidRPr="00292CD6">
              <w:rPr>
                <w:rFonts w:cs="Arial"/>
                <w:szCs w:val="22"/>
              </w:rPr>
              <w:t>A</w:t>
            </w:r>
          </w:p>
        </w:tc>
        <w:tc>
          <w:tcPr>
            <w:tcW w:w="7825" w:type="dxa"/>
            <w:shd w:val="clear" w:color="auto" w:fill="auto"/>
          </w:tcPr>
          <w:p w14:paraId="4F228FDD" w14:textId="77777777" w:rsidR="00021530" w:rsidRPr="00292CD6" w:rsidRDefault="00021530" w:rsidP="00021530">
            <w:pPr>
              <w:spacing w:line="276" w:lineRule="auto"/>
              <w:rPr>
                <w:rFonts w:cs="Arial"/>
                <w:szCs w:val="22"/>
              </w:rPr>
            </w:pPr>
            <w:r w:rsidRPr="00292CD6">
              <w:rPr>
                <w:rFonts w:cs="Arial"/>
                <w:szCs w:val="22"/>
              </w:rPr>
              <w:t>Is the admission / tenancy / lease / service being fairly assessed and allocated?</w:t>
            </w:r>
          </w:p>
        </w:tc>
      </w:tr>
      <w:tr w:rsidR="00021530" w:rsidRPr="00292CD6" w14:paraId="14B811DD" w14:textId="77777777" w:rsidTr="00256A26">
        <w:tc>
          <w:tcPr>
            <w:tcW w:w="1673" w:type="dxa"/>
            <w:shd w:val="clear" w:color="auto" w:fill="FFFFFF"/>
          </w:tcPr>
          <w:p w14:paraId="2355A74B" w14:textId="77777777" w:rsidR="00021530" w:rsidRPr="00292CD6" w:rsidRDefault="00021530" w:rsidP="00021530">
            <w:pPr>
              <w:spacing w:line="276" w:lineRule="auto"/>
              <w:rPr>
                <w:rFonts w:cs="Arial"/>
                <w:szCs w:val="22"/>
              </w:rPr>
            </w:pPr>
            <w:r w:rsidRPr="00292CD6">
              <w:rPr>
                <w:rFonts w:cs="Arial"/>
                <w:szCs w:val="22"/>
              </w:rPr>
              <w:t>B</w:t>
            </w:r>
          </w:p>
        </w:tc>
        <w:tc>
          <w:tcPr>
            <w:tcW w:w="7825" w:type="dxa"/>
            <w:shd w:val="clear" w:color="auto" w:fill="auto"/>
          </w:tcPr>
          <w:p w14:paraId="27FFA05F" w14:textId="77777777" w:rsidR="00021530" w:rsidRPr="00292CD6" w:rsidRDefault="00021530" w:rsidP="00021530">
            <w:pPr>
              <w:spacing w:line="276" w:lineRule="auto"/>
              <w:rPr>
                <w:rFonts w:cs="Arial"/>
                <w:szCs w:val="22"/>
              </w:rPr>
            </w:pPr>
            <w:r w:rsidRPr="00292CD6">
              <w:rPr>
                <w:rFonts w:cs="Arial"/>
                <w:szCs w:val="22"/>
              </w:rPr>
              <w:t xml:space="preserve">What day to day contact will there be between </w:t>
            </w:r>
            <w:r>
              <w:rPr>
                <w:rFonts w:cs="Arial"/>
                <w:szCs w:val="22"/>
              </w:rPr>
              <w:t>all relationship parties</w:t>
            </w:r>
            <w:r w:rsidRPr="00292CD6">
              <w:rPr>
                <w:rFonts w:cs="Arial"/>
                <w:szCs w:val="22"/>
              </w:rPr>
              <w:t>, and how suitable is it</w:t>
            </w:r>
            <w:r>
              <w:rPr>
                <w:rFonts w:cs="Arial"/>
                <w:szCs w:val="22"/>
              </w:rPr>
              <w:t xml:space="preserve">. </w:t>
            </w:r>
            <w:r w:rsidRPr="00292CD6">
              <w:rPr>
                <w:rFonts w:cs="Arial"/>
                <w:szCs w:val="22"/>
              </w:rPr>
              <w:t>Is it appropriate / possible to avoid that by structuring the rota or change of work location?</w:t>
            </w:r>
          </w:p>
        </w:tc>
      </w:tr>
      <w:tr w:rsidR="00021530" w:rsidRPr="00292CD6" w14:paraId="663E08C2" w14:textId="77777777" w:rsidTr="00256A26">
        <w:tc>
          <w:tcPr>
            <w:tcW w:w="1673" w:type="dxa"/>
            <w:shd w:val="clear" w:color="auto" w:fill="FFFFFF"/>
          </w:tcPr>
          <w:p w14:paraId="74920B59" w14:textId="77777777" w:rsidR="00021530" w:rsidRPr="00292CD6" w:rsidRDefault="00021530" w:rsidP="00021530">
            <w:pPr>
              <w:spacing w:line="276" w:lineRule="auto"/>
              <w:rPr>
                <w:rFonts w:cs="Arial"/>
                <w:szCs w:val="22"/>
              </w:rPr>
            </w:pPr>
            <w:r w:rsidRPr="00292CD6">
              <w:rPr>
                <w:rFonts w:cs="Arial"/>
                <w:szCs w:val="22"/>
              </w:rPr>
              <w:t>C</w:t>
            </w:r>
          </w:p>
        </w:tc>
        <w:tc>
          <w:tcPr>
            <w:tcW w:w="7825" w:type="dxa"/>
            <w:shd w:val="clear" w:color="auto" w:fill="auto"/>
          </w:tcPr>
          <w:p w14:paraId="21CA3ACA" w14:textId="77777777" w:rsidR="00021530" w:rsidRPr="00292CD6" w:rsidRDefault="00021530" w:rsidP="00021530">
            <w:pPr>
              <w:spacing w:line="276" w:lineRule="auto"/>
              <w:rPr>
                <w:rFonts w:cs="Arial"/>
                <w:szCs w:val="22"/>
              </w:rPr>
            </w:pPr>
            <w:r w:rsidRPr="00292CD6">
              <w:rPr>
                <w:rFonts w:cs="Arial"/>
                <w:szCs w:val="22"/>
              </w:rPr>
              <w:t>How will the colleague communicate with the service to ensure that neither their role as relative nor colleague / manager is compromised? Is it appropriate for another relative to function as spokesperson for the family?</w:t>
            </w:r>
          </w:p>
        </w:tc>
      </w:tr>
      <w:tr w:rsidR="00021530" w:rsidRPr="00292CD6" w14:paraId="34DA8C4C" w14:textId="77777777" w:rsidTr="00256A26">
        <w:tc>
          <w:tcPr>
            <w:tcW w:w="1673" w:type="dxa"/>
            <w:shd w:val="clear" w:color="auto" w:fill="FFFFFF"/>
          </w:tcPr>
          <w:p w14:paraId="74E2EF36" w14:textId="77777777" w:rsidR="00021530" w:rsidRPr="00292CD6" w:rsidRDefault="00021530" w:rsidP="00021530">
            <w:pPr>
              <w:spacing w:line="276" w:lineRule="auto"/>
              <w:rPr>
                <w:rFonts w:cs="Arial"/>
                <w:szCs w:val="22"/>
              </w:rPr>
            </w:pPr>
            <w:r w:rsidRPr="00292CD6">
              <w:rPr>
                <w:rFonts w:cs="Arial"/>
                <w:szCs w:val="22"/>
              </w:rPr>
              <w:t>D</w:t>
            </w:r>
          </w:p>
        </w:tc>
        <w:tc>
          <w:tcPr>
            <w:tcW w:w="7825" w:type="dxa"/>
            <w:shd w:val="clear" w:color="auto" w:fill="auto"/>
          </w:tcPr>
          <w:p w14:paraId="40FFEAAB" w14:textId="77777777" w:rsidR="00021530" w:rsidRPr="00292CD6" w:rsidRDefault="00021530" w:rsidP="00021530">
            <w:pPr>
              <w:spacing w:line="276" w:lineRule="auto"/>
              <w:rPr>
                <w:rFonts w:cs="Arial"/>
                <w:szCs w:val="22"/>
              </w:rPr>
            </w:pPr>
            <w:r w:rsidRPr="00292CD6">
              <w:rPr>
                <w:rFonts w:cs="Arial"/>
                <w:szCs w:val="22"/>
              </w:rPr>
              <w:t xml:space="preserve">What effect will it have on </w:t>
            </w:r>
            <w:r>
              <w:rPr>
                <w:rFonts w:cs="Arial"/>
                <w:szCs w:val="22"/>
              </w:rPr>
              <w:t>colleagues</w:t>
            </w:r>
            <w:r w:rsidRPr="00292CD6">
              <w:rPr>
                <w:rFonts w:cs="Arial"/>
                <w:szCs w:val="22"/>
              </w:rPr>
              <w:t xml:space="preserve"> who provide the service if the relative is in a managerial / executive position?</w:t>
            </w:r>
          </w:p>
        </w:tc>
      </w:tr>
      <w:tr w:rsidR="00021530" w:rsidRPr="00292CD6" w14:paraId="1208239C" w14:textId="77777777" w:rsidTr="00256A26">
        <w:tc>
          <w:tcPr>
            <w:tcW w:w="1673" w:type="dxa"/>
            <w:shd w:val="clear" w:color="auto" w:fill="FFFFFF"/>
          </w:tcPr>
          <w:p w14:paraId="3F4501D9" w14:textId="77777777" w:rsidR="00021530" w:rsidRPr="00292CD6" w:rsidRDefault="00021530" w:rsidP="00021530">
            <w:pPr>
              <w:spacing w:line="276" w:lineRule="auto"/>
              <w:rPr>
                <w:rFonts w:cs="Arial"/>
                <w:szCs w:val="22"/>
              </w:rPr>
            </w:pPr>
            <w:r w:rsidRPr="00292CD6">
              <w:rPr>
                <w:rFonts w:cs="Arial"/>
                <w:szCs w:val="22"/>
              </w:rPr>
              <w:t>E</w:t>
            </w:r>
          </w:p>
        </w:tc>
        <w:tc>
          <w:tcPr>
            <w:tcW w:w="7825" w:type="dxa"/>
            <w:shd w:val="clear" w:color="auto" w:fill="auto"/>
          </w:tcPr>
          <w:p w14:paraId="5564AB30" w14:textId="77777777" w:rsidR="00021530" w:rsidRPr="00292CD6" w:rsidRDefault="00021530" w:rsidP="00021530">
            <w:pPr>
              <w:spacing w:line="276" w:lineRule="auto"/>
              <w:rPr>
                <w:rFonts w:cs="Arial"/>
                <w:szCs w:val="22"/>
              </w:rPr>
            </w:pPr>
            <w:r w:rsidRPr="00292CD6">
              <w:rPr>
                <w:rFonts w:cs="Arial"/>
                <w:szCs w:val="22"/>
              </w:rPr>
              <w:t>What access they will have to care and support files and to ensure they are aware of MHA’s confidentiality policy?</w:t>
            </w:r>
          </w:p>
        </w:tc>
      </w:tr>
    </w:tbl>
    <w:p w14:paraId="5D4AE2F9" w14:textId="77777777" w:rsidR="00021530" w:rsidRPr="00292CD6" w:rsidRDefault="00021530" w:rsidP="00021530">
      <w:pPr>
        <w:rPr>
          <w:rFonts w:eastAsia="PMingLiU" w:cs="Arial"/>
          <w:szCs w:val="22"/>
        </w:rPr>
      </w:pPr>
    </w:p>
    <w:p w14:paraId="1CF2595A" w14:textId="77777777" w:rsidR="00021530" w:rsidRDefault="00021530" w:rsidP="00021530">
      <w:pPr>
        <w:pStyle w:val="Text1Numbered"/>
      </w:pPr>
      <w:r w:rsidRPr="00292CD6">
        <w:t xml:space="preserve">Approval or refusal </w:t>
      </w:r>
      <w:r>
        <w:t>(by approving colleague see table 1) must</w:t>
      </w:r>
      <w:r w:rsidRPr="00292CD6">
        <w:t xml:space="preserve"> be made in writing </w:t>
      </w:r>
      <w:r>
        <w:t xml:space="preserve">(by email or letter, text message is not acceptable) </w:t>
      </w:r>
      <w:r w:rsidRPr="00292CD6">
        <w:t>to all parties concerned, with apparent reasons for the decision.</w:t>
      </w:r>
    </w:p>
    <w:p w14:paraId="185AA4F2" w14:textId="77777777" w:rsidR="00021530" w:rsidRPr="00AE24F6" w:rsidRDefault="00021530" w:rsidP="00021530">
      <w:pPr>
        <w:pStyle w:val="Text1Numbered"/>
        <w:numPr>
          <w:ilvl w:val="0"/>
          <w:numId w:val="0"/>
        </w:numPr>
        <w:ind w:left="1135"/>
      </w:pPr>
    </w:p>
    <w:p w14:paraId="687683D2" w14:textId="77777777" w:rsidR="00021530" w:rsidRDefault="00021530" w:rsidP="00021530">
      <w:pPr>
        <w:pStyle w:val="Text1Numbered"/>
      </w:pPr>
      <w:r w:rsidRPr="00A92F7F">
        <w:t>If the declaration is granted and approval is given, as an additional precaution the</w:t>
      </w:r>
      <w:r>
        <w:t xml:space="preserve"> line manager must review the relationship and risks of the relationship on a regular basis</w:t>
      </w:r>
      <w:r w:rsidRPr="00A92F7F">
        <w:t xml:space="preserve"> review</w:t>
      </w:r>
      <w:r>
        <w:t xml:space="preserve">ed regularly through 1:1 and supervision meetings </w:t>
      </w:r>
      <w:r w:rsidRPr="00A92F7F">
        <w:t>(or sooner if a specific problem arises)</w:t>
      </w:r>
      <w:r>
        <w:t>. Line managers must seek support from the relevant Area Manager if needed.</w:t>
      </w:r>
    </w:p>
    <w:p w14:paraId="25ABFA10" w14:textId="77777777" w:rsidR="00021530" w:rsidRPr="00AE24F6" w:rsidRDefault="00021530" w:rsidP="00021530">
      <w:pPr>
        <w:pStyle w:val="Text1Numbered"/>
        <w:numPr>
          <w:ilvl w:val="0"/>
          <w:numId w:val="0"/>
        </w:numPr>
      </w:pPr>
    </w:p>
    <w:p w14:paraId="51A50B6F" w14:textId="77777777" w:rsidR="00021530" w:rsidRDefault="00021530" w:rsidP="00021530">
      <w:pPr>
        <w:pStyle w:val="Text1Numbered"/>
      </w:pPr>
      <w:r w:rsidRPr="00292CD6">
        <w:t>If a review</w:t>
      </w:r>
      <w:r>
        <w:t xml:space="preserve"> of the relationship</w:t>
      </w:r>
      <w:r w:rsidRPr="00292CD6">
        <w:t xml:space="preserve"> identifies that the arrangement is having a negative impact</w:t>
      </w:r>
      <w:r>
        <w:t>,</w:t>
      </w:r>
      <w:r w:rsidRPr="00292CD6">
        <w:t xml:space="preserve"> the </w:t>
      </w:r>
      <w:r>
        <w:t xml:space="preserve">approving colleague (table 1) </w:t>
      </w:r>
      <w:r w:rsidRPr="00292CD6">
        <w:t>will need to take appropriate action. This might include a review of rotas or communication channels, relocation of either party within MHA, changes to visiting arrangements, or in situations of serious actual / potential harm to someone, consideration of an individual service contract or disciplinary action.</w:t>
      </w:r>
    </w:p>
    <w:p w14:paraId="43B47013" w14:textId="77777777" w:rsidR="00021530" w:rsidRPr="002E4B12" w:rsidRDefault="00021530" w:rsidP="00021530">
      <w:pPr>
        <w:pStyle w:val="Text1Numbered"/>
        <w:numPr>
          <w:ilvl w:val="0"/>
          <w:numId w:val="0"/>
        </w:numPr>
      </w:pPr>
    </w:p>
    <w:p w14:paraId="7C3C5F11" w14:textId="77777777" w:rsidR="00021530" w:rsidRPr="00964881" w:rsidRDefault="00021530" w:rsidP="00021530">
      <w:pPr>
        <w:pStyle w:val="Heading1Numbered"/>
      </w:pPr>
      <w:bookmarkStart w:id="18" w:name="_Toc136337912"/>
      <w:bookmarkStart w:id="19" w:name="_Toc189553825"/>
      <w:r w:rsidRPr="00964881">
        <w:t>Roles and Responsibilities</w:t>
      </w:r>
      <w:bookmarkEnd w:id="18"/>
      <w:bookmarkEnd w:id="19"/>
    </w:p>
    <w:tbl>
      <w:tblPr>
        <w:tblStyle w:val="MHATable"/>
        <w:tblW w:w="0" w:type="auto"/>
        <w:tblLook w:val="04A0" w:firstRow="1" w:lastRow="0" w:firstColumn="1" w:lastColumn="0" w:noHBand="0" w:noVBand="1"/>
      </w:tblPr>
      <w:tblGrid>
        <w:gridCol w:w="2830"/>
        <w:gridCol w:w="6663"/>
      </w:tblGrid>
      <w:tr w:rsidR="00021530" w:rsidRPr="004C3545" w14:paraId="19811F40" w14:textId="77777777" w:rsidTr="00021530">
        <w:trPr>
          <w:cnfStyle w:val="100000000000" w:firstRow="1" w:lastRow="0" w:firstColumn="0" w:lastColumn="0" w:oddVBand="0" w:evenVBand="0" w:oddHBand="0" w:evenHBand="0" w:firstRowFirstColumn="0" w:firstRowLastColumn="0" w:lastRowFirstColumn="0" w:lastRowLastColumn="0"/>
          <w:tblHeader/>
        </w:trPr>
        <w:tc>
          <w:tcPr>
            <w:tcW w:w="2830" w:type="dxa"/>
          </w:tcPr>
          <w:p w14:paraId="33180B09" w14:textId="77777777" w:rsidR="00021530" w:rsidRPr="004C3545" w:rsidRDefault="00021530" w:rsidP="00021530">
            <w:pPr>
              <w:spacing w:line="276" w:lineRule="auto"/>
            </w:pPr>
            <w:bookmarkStart w:id="20" w:name="_Hlk133499111"/>
            <w:r w:rsidRPr="004C3545">
              <w:t>Role</w:t>
            </w:r>
          </w:p>
        </w:tc>
        <w:tc>
          <w:tcPr>
            <w:tcW w:w="6663" w:type="dxa"/>
          </w:tcPr>
          <w:p w14:paraId="3C6C157D" w14:textId="77777777" w:rsidR="00021530" w:rsidRPr="004C3545" w:rsidRDefault="00021530" w:rsidP="00021530">
            <w:pPr>
              <w:spacing w:line="276" w:lineRule="auto"/>
            </w:pPr>
            <w:r w:rsidRPr="004C3545">
              <w:t>Responsibilities</w:t>
            </w:r>
          </w:p>
        </w:tc>
      </w:tr>
      <w:tr w:rsidR="00021530" w:rsidRPr="004C3545" w14:paraId="64C312AA" w14:textId="77777777" w:rsidTr="00256A26">
        <w:tc>
          <w:tcPr>
            <w:tcW w:w="2830" w:type="dxa"/>
          </w:tcPr>
          <w:p w14:paraId="09988EA1" w14:textId="77777777" w:rsidR="00021530" w:rsidRPr="00021530" w:rsidRDefault="00021530" w:rsidP="00021530">
            <w:pPr>
              <w:spacing w:line="276" w:lineRule="auto"/>
              <w:rPr>
                <w:b/>
                <w:bCs/>
              </w:rPr>
            </w:pPr>
            <w:r w:rsidRPr="00021530">
              <w:rPr>
                <w:b/>
                <w:bCs/>
              </w:rPr>
              <w:t>All Colleagues</w:t>
            </w:r>
          </w:p>
        </w:tc>
        <w:tc>
          <w:tcPr>
            <w:tcW w:w="6663" w:type="dxa"/>
          </w:tcPr>
          <w:p w14:paraId="3CA468B1" w14:textId="77777777" w:rsidR="00021530" w:rsidRPr="00030524" w:rsidRDefault="00021530" w:rsidP="00021530">
            <w:pPr>
              <w:spacing w:line="276" w:lineRule="auto"/>
            </w:pPr>
            <w:r>
              <w:t>Read and understand this policy and the procedures set out in the policy.</w:t>
            </w:r>
          </w:p>
          <w:p w14:paraId="0A511C9B" w14:textId="77777777" w:rsidR="00021530" w:rsidRPr="004C3545" w:rsidRDefault="00021530" w:rsidP="00021530">
            <w:pPr>
              <w:spacing w:line="276" w:lineRule="auto"/>
            </w:pPr>
            <w:r>
              <w:t>Disclose</w:t>
            </w:r>
            <w:r w:rsidRPr="00030524">
              <w:t xml:space="preserve"> any </w:t>
            </w:r>
            <w:r>
              <w:t>relationships at work</w:t>
            </w:r>
            <w:r w:rsidRPr="00030524">
              <w:t xml:space="preserve"> immediately following the procedures set out in this policy.</w:t>
            </w:r>
          </w:p>
        </w:tc>
      </w:tr>
      <w:tr w:rsidR="00021530" w:rsidRPr="004C3545" w14:paraId="2D7B0144" w14:textId="77777777" w:rsidTr="00256A26">
        <w:tc>
          <w:tcPr>
            <w:tcW w:w="2830" w:type="dxa"/>
          </w:tcPr>
          <w:p w14:paraId="2AAFF1FB" w14:textId="77777777" w:rsidR="00021530" w:rsidRPr="00021530" w:rsidRDefault="00021530" w:rsidP="00021530">
            <w:pPr>
              <w:spacing w:line="276" w:lineRule="auto"/>
              <w:rPr>
                <w:b/>
                <w:bCs/>
              </w:rPr>
            </w:pPr>
            <w:r w:rsidRPr="00021530">
              <w:rPr>
                <w:b/>
                <w:bCs/>
              </w:rPr>
              <w:t>Line Management</w:t>
            </w:r>
          </w:p>
        </w:tc>
        <w:tc>
          <w:tcPr>
            <w:tcW w:w="6663" w:type="dxa"/>
          </w:tcPr>
          <w:p w14:paraId="3AE2E514" w14:textId="77777777" w:rsidR="00021530" w:rsidRPr="00030524" w:rsidRDefault="00021530" w:rsidP="00021530">
            <w:pPr>
              <w:spacing w:line="276" w:lineRule="auto"/>
            </w:pPr>
            <w:r>
              <w:t>To ensure all colleagues understand this policy and follow the correct procedures for disclosing relationships at work.</w:t>
            </w:r>
          </w:p>
        </w:tc>
      </w:tr>
      <w:tr w:rsidR="00021530" w:rsidRPr="004C3545" w14:paraId="6C8D8E33" w14:textId="77777777" w:rsidTr="00256A26">
        <w:tc>
          <w:tcPr>
            <w:tcW w:w="2830" w:type="dxa"/>
          </w:tcPr>
          <w:p w14:paraId="62EC4EBD" w14:textId="77777777" w:rsidR="00021530" w:rsidRPr="00021530" w:rsidRDefault="00021530" w:rsidP="00021530">
            <w:pPr>
              <w:spacing w:line="276" w:lineRule="auto"/>
              <w:rPr>
                <w:b/>
                <w:bCs/>
              </w:rPr>
            </w:pPr>
            <w:r w:rsidRPr="00021530">
              <w:rPr>
                <w:b/>
                <w:bCs/>
              </w:rPr>
              <w:t>Location and Senior Managers</w:t>
            </w:r>
          </w:p>
        </w:tc>
        <w:tc>
          <w:tcPr>
            <w:tcW w:w="6663" w:type="dxa"/>
          </w:tcPr>
          <w:p w14:paraId="1E959BFA" w14:textId="77777777" w:rsidR="00021530" w:rsidRPr="00030524" w:rsidRDefault="00021530" w:rsidP="00021530">
            <w:pPr>
              <w:spacing w:line="276" w:lineRule="auto"/>
            </w:pPr>
            <w:r>
              <w:t>To approve and or disclose relationships at work in line with table 1 and 2 of the procedure for declaring and approving relationships at work.</w:t>
            </w:r>
          </w:p>
        </w:tc>
      </w:tr>
      <w:tr w:rsidR="00021530" w:rsidRPr="004C3545" w14:paraId="1D864288" w14:textId="77777777" w:rsidTr="00256A26">
        <w:tc>
          <w:tcPr>
            <w:tcW w:w="2830" w:type="dxa"/>
          </w:tcPr>
          <w:p w14:paraId="0D952634" w14:textId="77777777" w:rsidR="00021530" w:rsidRPr="00021530" w:rsidRDefault="00021530" w:rsidP="00021530">
            <w:pPr>
              <w:spacing w:line="276" w:lineRule="auto"/>
              <w:rPr>
                <w:b/>
                <w:bCs/>
              </w:rPr>
            </w:pPr>
            <w:r w:rsidRPr="00021530">
              <w:rPr>
                <w:b/>
                <w:bCs/>
              </w:rPr>
              <w:t>Talent Acquisition Team and Recruiting Manager</w:t>
            </w:r>
          </w:p>
        </w:tc>
        <w:tc>
          <w:tcPr>
            <w:tcW w:w="6663" w:type="dxa"/>
          </w:tcPr>
          <w:p w14:paraId="2DE74D1E" w14:textId="77777777" w:rsidR="00021530" w:rsidRPr="004C3545" w:rsidRDefault="00021530" w:rsidP="00021530">
            <w:pPr>
              <w:spacing w:line="276" w:lineRule="auto"/>
            </w:pPr>
            <w:r w:rsidRPr="00030524">
              <w:t>Ensuring that applicants are aware of MHA’s policy on colleagues working with relatives.</w:t>
            </w:r>
          </w:p>
        </w:tc>
      </w:tr>
      <w:tr w:rsidR="00021530" w:rsidRPr="004C3545" w14:paraId="76EBE320" w14:textId="77777777" w:rsidTr="00256A26">
        <w:tc>
          <w:tcPr>
            <w:tcW w:w="2830" w:type="dxa"/>
          </w:tcPr>
          <w:p w14:paraId="42B30B96" w14:textId="77777777" w:rsidR="00021530" w:rsidRPr="00021530" w:rsidRDefault="00021530" w:rsidP="00021530">
            <w:pPr>
              <w:spacing w:line="276" w:lineRule="auto"/>
              <w:rPr>
                <w:b/>
                <w:bCs/>
              </w:rPr>
            </w:pPr>
            <w:r w:rsidRPr="00021530">
              <w:rPr>
                <w:b/>
                <w:bCs/>
              </w:rPr>
              <w:t>CEO</w:t>
            </w:r>
          </w:p>
        </w:tc>
        <w:tc>
          <w:tcPr>
            <w:tcW w:w="6663" w:type="dxa"/>
          </w:tcPr>
          <w:p w14:paraId="69D04B76" w14:textId="77777777" w:rsidR="00021530" w:rsidRPr="00030524" w:rsidRDefault="00021530" w:rsidP="00021530">
            <w:pPr>
              <w:spacing w:line="276" w:lineRule="auto"/>
            </w:pPr>
            <w:r>
              <w:t>To follow approval procedures for relationships at work.</w:t>
            </w:r>
          </w:p>
        </w:tc>
      </w:tr>
      <w:bookmarkEnd w:id="20"/>
    </w:tbl>
    <w:p w14:paraId="52754D17" w14:textId="77777777" w:rsidR="00021530" w:rsidRDefault="00021530" w:rsidP="00021530">
      <w:pPr>
        <w:rPr>
          <w:rFonts w:cs="Arial"/>
          <w:spacing w:val="7"/>
        </w:rPr>
      </w:pPr>
    </w:p>
    <w:p w14:paraId="791B5EF7" w14:textId="77777777" w:rsidR="00021530" w:rsidRDefault="00021530" w:rsidP="00021530">
      <w:pPr>
        <w:pStyle w:val="Heading1Numbered"/>
      </w:pPr>
      <w:bookmarkStart w:id="21" w:name="_Toc136337913"/>
      <w:bookmarkStart w:id="22" w:name="_Toc189553826"/>
      <w:r w:rsidRPr="00B2494E">
        <w:t>Training and Monitoring</w:t>
      </w:r>
      <w:bookmarkEnd w:id="21"/>
      <w:bookmarkEnd w:id="22"/>
    </w:p>
    <w:p w14:paraId="2A173459" w14:textId="77777777" w:rsidR="00021530" w:rsidRDefault="00021530" w:rsidP="00021530">
      <w:pPr>
        <w:pStyle w:val="Text1Numbered"/>
      </w:pPr>
      <w:r>
        <w:t>Compliance is assessed through direct observation, monitoring, and supervision of MHA colleagues.</w:t>
      </w:r>
    </w:p>
    <w:p w14:paraId="574015AB" w14:textId="77777777" w:rsidR="00021530" w:rsidRDefault="00021530" w:rsidP="00021530">
      <w:pPr>
        <w:pStyle w:val="Text1Numbered"/>
        <w:numPr>
          <w:ilvl w:val="0"/>
          <w:numId w:val="0"/>
        </w:numPr>
        <w:ind w:left="1135"/>
      </w:pPr>
    </w:p>
    <w:p w14:paraId="508C2B12" w14:textId="77777777" w:rsidR="00021530" w:rsidRPr="002E4B12" w:rsidRDefault="00021530" w:rsidP="00021530">
      <w:pPr>
        <w:pStyle w:val="Text1Numbered"/>
      </w:pPr>
      <w:r>
        <w:t>There is no specific training required for disclosing relationships at work.</w:t>
      </w:r>
    </w:p>
    <w:p w14:paraId="2C5D253C" w14:textId="77777777" w:rsidR="00021530" w:rsidRDefault="00021530" w:rsidP="00021530">
      <w:pPr>
        <w:pStyle w:val="Heading1Numbered"/>
      </w:pPr>
      <w:bookmarkStart w:id="23" w:name="_Toc136337914"/>
      <w:bookmarkStart w:id="24" w:name="_Toc189553827"/>
      <w:r w:rsidRPr="000C7997">
        <w:t>Communication and Dissemination</w:t>
      </w:r>
      <w:bookmarkEnd w:id="23"/>
      <w:bookmarkEnd w:id="24"/>
    </w:p>
    <w:p w14:paraId="0C6A4485" w14:textId="77777777" w:rsidR="00021530" w:rsidRDefault="00021530" w:rsidP="00021530">
      <w:pPr>
        <w:pStyle w:val="Text1Numbered"/>
      </w:pPr>
      <w:r>
        <w:t>This policy is disseminated and implemented within all MHA services through MHA’s channels of communication.</w:t>
      </w:r>
    </w:p>
    <w:p w14:paraId="63D34DFF" w14:textId="77777777" w:rsidR="00021530" w:rsidRDefault="00021530" w:rsidP="00021530">
      <w:pPr>
        <w:pStyle w:val="Text1Numbered"/>
        <w:numPr>
          <w:ilvl w:val="0"/>
          <w:numId w:val="0"/>
        </w:numPr>
      </w:pPr>
    </w:p>
    <w:p w14:paraId="3C642BDE" w14:textId="77777777" w:rsidR="00021530" w:rsidRDefault="00021530" w:rsidP="00021530">
      <w:pPr>
        <w:pStyle w:val="Text1Numbered"/>
      </w:pPr>
      <w:r>
        <w:t>Each colleague’s line manager must ensure that all teams are aware of their roles, responsibilities to disclose relationships at work.</w:t>
      </w:r>
    </w:p>
    <w:p w14:paraId="69F3C3A1" w14:textId="77777777" w:rsidR="00021530" w:rsidRDefault="00021530" w:rsidP="00021530">
      <w:pPr>
        <w:pStyle w:val="Text1Numbered"/>
        <w:numPr>
          <w:ilvl w:val="0"/>
          <w:numId w:val="0"/>
        </w:numPr>
      </w:pPr>
    </w:p>
    <w:p w14:paraId="47A4EB7A" w14:textId="77777777" w:rsidR="00021530" w:rsidRDefault="00021530" w:rsidP="00021530">
      <w:pPr>
        <w:pStyle w:val="Text1Numbered"/>
      </w:pPr>
      <w:r>
        <w:t>This policy will be available to the people we support and their representatives in alternate formats, as required.</w:t>
      </w:r>
    </w:p>
    <w:p w14:paraId="1CEA880E" w14:textId="77777777" w:rsidR="00021530" w:rsidRDefault="00021530" w:rsidP="00021530">
      <w:pPr>
        <w:pStyle w:val="Text1Numbered"/>
        <w:numPr>
          <w:ilvl w:val="0"/>
          <w:numId w:val="0"/>
        </w:numPr>
      </w:pPr>
    </w:p>
    <w:p w14:paraId="6C7247AA" w14:textId="77777777" w:rsidR="00021530" w:rsidRDefault="00021530" w:rsidP="00021530">
      <w:pPr>
        <w:pStyle w:val="Text1Numbered"/>
      </w:pPr>
      <w:r>
        <w:t xml:space="preserve">Queries and issues relating to this policy should be referred to the Standards and Policy Team at </w:t>
      </w:r>
      <w:hyperlink r:id="rId9" w:history="1">
        <w:r w:rsidRPr="00030C88">
          <w:rPr>
            <w:rStyle w:val="Hyperlink"/>
          </w:rPr>
          <w:t>policies@mha.org.uk</w:t>
        </w:r>
      </w:hyperlink>
    </w:p>
    <w:p w14:paraId="77344901" w14:textId="77777777" w:rsidR="00021530" w:rsidRDefault="00021530" w:rsidP="00021530">
      <w:pPr>
        <w:pStyle w:val="Heading1Numbered"/>
      </w:pPr>
      <w:bookmarkStart w:id="25" w:name="_Toc136337915"/>
      <w:bookmarkStart w:id="26" w:name="_Toc189553828"/>
      <w:r>
        <w:t>EDI Impact Assessment</w:t>
      </w:r>
      <w:bookmarkEnd w:id="25"/>
      <w:bookmarkEnd w:id="26"/>
    </w:p>
    <w:p w14:paraId="2BE19C22" w14:textId="77777777" w:rsidR="00021530" w:rsidRPr="002E4B12" w:rsidRDefault="00021530" w:rsidP="00021530">
      <w:pPr>
        <w:pStyle w:val="Text1Numbered"/>
      </w:pPr>
      <w:r>
        <w:t>Impact assessment to be confirmed.</w:t>
      </w:r>
    </w:p>
    <w:p w14:paraId="092F8611" w14:textId="77777777" w:rsidR="00021530" w:rsidRDefault="00021530" w:rsidP="00021530">
      <w:pPr>
        <w:pStyle w:val="Heading1Numbered"/>
      </w:pPr>
      <w:bookmarkStart w:id="27" w:name="_Toc136337916"/>
      <w:bookmarkStart w:id="28" w:name="_Toc189553829"/>
      <w:r w:rsidRPr="00B2494E">
        <w:t>Resources</w:t>
      </w:r>
      <w:bookmarkEnd w:id="27"/>
      <w:bookmarkEnd w:id="28"/>
    </w:p>
    <w:p w14:paraId="2518E155" w14:textId="77777777" w:rsidR="00021530" w:rsidRDefault="00021530" w:rsidP="00021530">
      <w:pPr>
        <w:pStyle w:val="Text1Numbered"/>
      </w:pPr>
      <w:r>
        <w:t>MHA policy documents, procedures, and guidance:</w:t>
      </w:r>
    </w:p>
    <w:p w14:paraId="7F36F91D" w14:textId="3AD714FC" w:rsidR="00021530" w:rsidRDefault="00021530" w:rsidP="00021530">
      <w:pPr>
        <w:pStyle w:val="Textlistindented-bullet"/>
      </w:pPr>
      <w:r w:rsidRPr="00021530">
        <w:t>Recruitment and Selection Policy</w:t>
      </w:r>
    </w:p>
    <w:p w14:paraId="41E0A796" w14:textId="3B4A83EE" w:rsidR="009F78E6" w:rsidRPr="00021530" w:rsidRDefault="009F78E6" w:rsidP="00021530">
      <w:pPr>
        <w:pStyle w:val="Textlistindented-bullet"/>
      </w:pPr>
      <w:r>
        <w:t>Recommend a Friend Policy and Procedure</w:t>
      </w:r>
    </w:p>
    <w:p w14:paraId="7AFFBD8D" w14:textId="309A4CB6" w:rsidR="00021530" w:rsidRPr="00021530" w:rsidRDefault="00021530" w:rsidP="00021530">
      <w:pPr>
        <w:pStyle w:val="Textlistindented-bullet"/>
      </w:pPr>
      <w:hyperlink r:id="rId10" w:history="1">
        <w:r w:rsidRPr="00021530">
          <w:rPr>
            <w:rStyle w:val="Hyperlink"/>
            <w:color w:val="auto"/>
          </w:rPr>
          <w:t xml:space="preserve">Code of Conduct </w:t>
        </w:r>
        <w:r w:rsidR="003640C9">
          <w:rPr>
            <w:rStyle w:val="Hyperlink"/>
            <w:color w:val="auto"/>
          </w:rPr>
          <w:t xml:space="preserve">and Professional Behaviours </w:t>
        </w:r>
        <w:r w:rsidRPr="00021530">
          <w:rPr>
            <w:rStyle w:val="Hyperlink"/>
            <w:color w:val="auto"/>
          </w:rPr>
          <w:t>Policy</w:t>
        </w:r>
      </w:hyperlink>
    </w:p>
    <w:p w14:paraId="4017B957" w14:textId="35AA7EB6" w:rsidR="00021530" w:rsidRPr="00021530" w:rsidRDefault="00021530" w:rsidP="00021530">
      <w:pPr>
        <w:pStyle w:val="Textlistindented-bullet"/>
      </w:pPr>
      <w:hyperlink r:id="rId11" w:history="1">
        <w:r>
          <w:rPr>
            <w:rStyle w:val="Hyperlink"/>
            <w:color w:val="auto"/>
          </w:rPr>
          <w:t>Resolution</w:t>
        </w:r>
        <w:r w:rsidRPr="00021530">
          <w:rPr>
            <w:rStyle w:val="Hyperlink"/>
            <w:color w:val="auto"/>
          </w:rPr>
          <w:t xml:space="preserve"> Policy</w:t>
        </w:r>
      </w:hyperlink>
    </w:p>
    <w:p w14:paraId="692E26D4" w14:textId="61BE0726" w:rsidR="00021530" w:rsidRPr="00021530" w:rsidRDefault="00021530" w:rsidP="00021530">
      <w:pPr>
        <w:pStyle w:val="Textlistindented-bullet"/>
      </w:pPr>
      <w:hyperlink r:id="rId12" w:history="1">
        <w:r w:rsidRPr="00021530">
          <w:rPr>
            <w:rStyle w:val="Hyperlink"/>
            <w:color w:val="auto"/>
          </w:rPr>
          <w:t xml:space="preserve">Data Subject Rights </w:t>
        </w:r>
        <w:r>
          <w:rPr>
            <w:rStyle w:val="Hyperlink"/>
            <w:color w:val="auto"/>
          </w:rPr>
          <w:t>Policy</w:t>
        </w:r>
      </w:hyperlink>
    </w:p>
    <w:p w14:paraId="1EEF5364" w14:textId="3BD552E2" w:rsidR="00021530" w:rsidRPr="00021530" w:rsidRDefault="00021530" w:rsidP="00021530">
      <w:pPr>
        <w:pStyle w:val="Textlistindented-bullet"/>
      </w:pPr>
      <w:hyperlink r:id="rId13" w:history="1">
        <w:r w:rsidRPr="00021530">
          <w:rPr>
            <w:rStyle w:val="Hyperlink"/>
            <w:color w:val="auto"/>
          </w:rPr>
          <w:t>Volunteer - Recruitment and Selection Policy</w:t>
        </w:r>
      </w:hyperlink>
    </w:p>
    <w:p w14:paraId="5E5EECC2" w14:textId="19B2F5A0" w:rsidR="00021530" w:rsidRPr="00021530" w:rsidRDefault="00021530" w:rsidP="00021530">
      <w:pPr>
        <w:pStyle w:val="Textlistindented-bullet"/>
      </w:pPr>
      <w:hyperlink r:id="rId14" w:history="1">
        <w:r w:rsidRPr="00021530">
          <w:rPr>
            <w:rStyle w:val="Hyperlink"/>
            <w:color w:val="auto"/>
          </w:rPr>
          <w:t>Equal</w:t>
        </w:r>
        <w:r>
          <w:rPr>
            <w:rStyle w:val="Hyperlink"/>
            <w:color w:val="auto"/>
          </w:rPr>
          <w:t>ity</w:t>
        </w:r>
      </w:hyperlink>
      <w:r>
        <w:t xml:space="preserve"> Diversity and Inclusion Policy</w:t>
      </w:r>
    </w:p>
    <w:p w14:paraId="7AADA89D" w14:textId="77777777" w:rsidR="00021530" w:rsidRDefault="00021530" w:rsidP="00021530">
      <w:pPr>
        <w:pStyle w:val="Heading1Numbered"/>
      </w:pPr>
      <w:bookmarkStart w:id="29" w:name="_Toc136337917"/>
      <w:bookmarkStart w:id="30" w:name="_Toc189553830"/>
      <w:r w:rsidRPr="00DC7F16">
        <w:t>Version Control</w:t>
      </w:r>
      <w:bookmarkEnd w:id="29"/>
      <w:bookmarkEnd w:id="30"/>
    </w:p>
    <w:tbl>
      <w:tblPr>
        <w:tblStyle w:val="MHATable"/>
        <w:tblW w:w="9493" w:type="dxa"/>
        <w:tblLook w:val="04A0" w:firstRow="1" w:lastRow="0" w:firstColumn="1" w:lastColumn="0" w:noHBand="0" w:noVBand="1"/>
      </w:tblPr>
      <w:tblGrid>
        <w:gridCol w:w="1132"/>
        <w:gridCol w:w="1177"/>
        <w:gridCol w:w="2822"/>
        <w:gridCol w:w="3154"/>
        <w:gridCol w:w="1208"/>
      </w:tblGrid>
      <w:tr w:rsidR="00021530" w:rsidRPr="005E08A1" w14:paraId="3A860775" w14:textId="77777777" w:rsidTr="00021530">
        <w:trPr>
          <w:cnfStyle w:val="100000000000" w:firstRow="1" w:lastRow="0" w:firstColumn="0" w:lastColumn="0" w:oddVBand="0" w:evenVBand="0" w:oddHBand="0" w:evenHBand="0" w:firstRowFirstColumn="0" w:firstRowLastColumn="0" w:lastRowFirstColumn="0" w:lastRowLastColumn="0"/>
          <w:trHeight w:val="830"/>
          <w:tblHeader/>
        </w:trPr>
        <w:tc>
          <w:tcPr>
            <w:tcW w:w="1133" w:type="dxa"/>
          </w:tcPr>
          <w:p w14:paraId="732A7C94" w14:textId="584B8E86" w:rsidR="00021530" w:rsidRPr="005E08A1" w:rsidRDefault="00021530" w:rsidP="00021530">
            <w:pPr>
              <w:spacing w:line="276" w:lineRule="auto"/>
            </w:pPr>
            <w:r w:rsidRPr="005E08A1">
              <w:t>Version</w:t>
            </w:r>
          </w:p>
        </w:tc>
        <w:tc>
          <w:tcPr>
            <w:tcW w:w="1112" w:type="dxa"/>
          </w:tcPr>
          <w:p w14:paraId="3FFA292F" w14:textId="66239908" w:rsidR="00021530" w:rsidRPr="005E08A1" w:rsidRDefault="00021530" w:rsidP="00021530">
            <w:pPr>
              <w:spacing w:line="276" w:lineRule="auto"/>
            </w:pPr>
            <w:r w:rsidRPr="005E08A1">
              <w:t>Version Date</w:t>
            </w:r>
          </w:p>
        </w:tc>
        <w:tc>
          <w:tcPr>
            <w:tcW w:w="2853" w:type="dxa"/>
          </w:tcPr>
          <w:p w14:paraId="7B0ACDCE" w14:textId="26F9824B" w:rsidR="00021530" w:rsidRPr="005E08A1" w:rsidRDefault="00021530" w:rsidP="00021530">
            <w:pPr>
              <w:spacing w:line="276" w:lineRule="auto"/>
            </w:pPr>
            <w:r w:rsidRPr="005E08A1">
              <w:t xml:space="preserve">Revision Description / Summary of Changes </w:t>
            </w:r>
          </w:p>
        </w:tc>
        <w:tc>
          <w:tcPr>
            <w:tcW w:w="3182" w:type="dxa"/>
          </w:tcPr>
          <w:p w14:paraId="688660F4" w14:textId="4E97FEA7" w:rsidR="00021530" w:rsidRPr="005E08A1" w:rsidRDefault="00021530" w:rsidP="00021530">
            <w:pPr>
              <w:spacing w:line="276" w:lineRule="auto"/>
            </w:pPr>
            <w:r w:rsidRPr="005E08A1">
              <w:t>Author</w:t>
            </w:r>
            <w:r>
              <w:t xml:space="preserve"> and Review Panel</w:t>
            </w:r>
          </w:p>
        </w:tc>
        <w:tc>
          <w:tcPr>
            <w:tcW w:w="1213" w:type="dxa"/>
          </w:tcPr>
          <w:p w14:paraId="06425A12" w14:textId="05FC0F86" w:rsidR="00021530" w:rsidRPr="005E08A1" w:rsidRDefault="00021530" w:rsidP="00021530">
            <w:pPr>
              <w:spacing w:line="276" w:lineRule="auto"/>
            </w:pPr>
            <w:r w:rsidRPr="005E08A1">
              <w:t>Next Review Date</w:t>
            </w:r>
          </w:p>
        </w:tc>
      </w:tr>
      <w:tr w:rsidR="00021530" w:rsidRPr="004C3545" w14:paraId="5651F2B0" w14:textId="77777777" w:rsidTr="00021530">
        <w:trPr>
          <w:trHeight w:val="407"/>
        </w:trPr>
        <w:tc>
          <w:tcPr>
            <w:tcW w:w="1133" w:type="dxa"/>
          </w:tcPr>
          <w:p w14:paraId="42D8DFB5" w14:textId="77777777" w:rsidR="00021530" w:rsidRDefault="00021530" w:rsidP="00021530">
            <w:pPr>
              <w:spacing w:line="276" w:lineRule="auto"/>
            </w:pPr>
            <w:r>
              <w:t>4</w:t>
            </w:r>
          </w:p>
        </w:tc>
        <w:tc>
          <w:tcPr>
            <w:tcW w:w="1112" w:type="dxa"/>
          </w:tcPr>
          <w:p w14:paraId="150AF22E" w14:textId="77777777" w:rsidR="00021530" w:rsidRPr="004C3545" w:rsidRDefault="00021530" w:rsidP="00021530">
            <w:pPr>
              <w:spacing w:line="276" w:lineRule="auto"/>
            </w:pPr>
            <w:r>
              <w:t>May 2023</w:t>
            </w:r>
          </w:p>
        </w:tc>
        <w:tc>
          <w:tcPr>
            <w:tcW w:w="2853" w:type="dxa"/>
          </w:tcPr>
          <w:p w14:paraId="5FF996DE" w14:textId="77777777" w:rsidR="00021530" w:rsidRDefault="00021530" w:rsidP="00021530">
            <w:pPr>
              <w:spacing w:line="276" w:lineRule="auto"/>
            </w:pPr>
            <w:r>
              <w:t>This policy was previously named “Colleagues working with Relatives.” During the review in April 2023, the policy was developed to be inclusive of all relationships at work as well as relatives.</w:t>
            </w:r>
          </w:p>
          <w:p w14:paraId="051D996B" w14:textId="77777777" w:rsidR="00021530" w:rsidRDefault="00021530" w:rsidP="00021530">
            <w:pPr>
              <w:spacing w:line="276" w:lineRule="auto"/>
            </w:pPr>
            <w:r>
              <w:t>Consultation was sought from a representative of each role included under the roles and responsibilities section of this policy. The Equality, Diversity, and Inclusion Manager advised on the EDI statement (Introduction).</w:t>
            </w:r>
          </w:p>
          <w:p w14:paraId="6D7B1A1E" w14:textId="5D4BA353" w:rsidR="00021530" w:rsidRPr="004C3545" w:rsidRDefault="00021530" w:rsidP="00021530">
            <w:pPr>
              <w:spacing w:line="276" w:lineRule="auto"/>
            </w:pPr>
          </w:p>
        </w:tc>
        <w:tc>
          <w:tcPr>
            <w:tcW w:w="3182" w:type="dxa"/>
          </w:tcPr>
          <w:p w14:paraId="1E01C8A3" w14:textId="77777777" w:rsidR="00021530" w:rsidRDefault="00021530" w:rsidP="00021530">
            <w:pPr>
              <w:spacing w:line="276" w:lineRule="auto"/>
              <w:rPr>
                <w:u w:val="single"/>
              </w:rPr>
            </w:pPr>
            <w:r>
              <w:rPr>
                <w:u w:val="single"/>
              </w:rPr>
              <w:t>Author</w:t>
            </w:r>
          </w:p>
          <w:p w14:paraId="457AC4F2" w14:textId="10BEAB8D" w:rsidR="00021530" w:rsidRDefault="00021530" w:rsidP="00021530">
            <w:pPr>
              <w:pStyle w:val="Textlist-bullet"/>
              <w:spacing w:line="276" w:lineRule="auto"/>
            </w:pPr>
            <w:r>
              <w:t>Standards and Policy Manager</w:t>
            </w:r>
          </w:p>
          <w:p w14:paraId="69DE9ABD" w14:textId="77777777" w:rsidR="00021530" w:rsidRDefault="00021530" w:rsidP="00021530">
            <w:pPr>
              <w:pStyle w:val="Textlist-bullet"/>
              <w:spacing w:line="276" w:lineRule="auto"/>
            </w:pPr>
            <w:r>
              <w:t>Talent Acquisition Advisor</w:t>
            </w:r>
          </w:p>
          <w:p w14:paraId="79617CC4" w14:textId="35D8998D" w:rsidR="00021530" w:rsidRPr="00021530" w:rsidRDefault="00021530" w:rsidP="00021530">
            <w:pPr>
              <w:pStyle w:val="Textlist-bullet"/>
              <w:spacing w:line="276" w:lineRule="auto"/>
            </w:pPr>
            <w:r>
              <w:t>Talent Acquisition Lead</w:t>
            </w:r>
          </w:p>
          <w:p w14:paraId="6F795D6B" w14:textId="11E24671" w:rsidR="00021530" w:rsidRDefault="00021530" w:rsidP="00021530">
            <w:pPr>
              <w:pStyle w:val="Textlist-bullet"/>
              <w:numPr>
                <w:ilvl w:val="0"/>
                <w:numId w:val="0"/>
              </w:numPr>
              <w:spacing w:line="276" w:lineRule="auto"/>
            </w:pPr>
            <w:r w:rsidRPr="00F040DA">
              <w:rPr>
                <w:u w:val="single"/>
              </w:rPr>
              <w:t>Review Panel</w:t>
            </w:r>
          </w:p>
          <w:p w14:paraId="4318E6AF" w14:textId="77777777" w:rsidR="00021530" w:rsidRPr="00021530" w:rsidRDefault="00021530" w:rsidP="00021530">
            <w:pPr>
              <w:pStyle w:val="Textlist-bullet"/>
              <w:spacing w:line="276" w:lineRule="auto"/>
            </w:pPr>
            <w:r w:rsidRPr="00021530">
              <w:t>General Counsel / Company Secretary (Board Relevance)</w:t>
            </w:r>
          </w:p>
          <w:p w14:paraId="2D56B2A6" w14:textId="77777777" w:rsidR="00021530" w:rsidRPr="00021530" w:rsidRDefault="00021530" w:rsidP="00021530">
            <w:pPr>
              <w:pStyle w:val="Textlist-bullet"/>
              <w:spacing w:line="276" w:lineRule="auto"/>
            </w:pPr>
            <w:r w:rsidRPr="00021530">
              <w:t>Head of People Development (Training Requirements)</w:t>
            </w:r>
          </w:p>
          <w:p w14:paraId="7210536F" w14:textId="77777777" w:rsidR="00021530" w:rsidRPr="00021530" w:rsidRDefault="00021530" w:rsidP="00021530">
            <w:pPr>
              <w:pStyle w:val="Textlist-bullet"/>
              <w:spacing w:line="276" w:lineRule="auto"/>
            </w:pPr>
            <w:r w:rsidRPr="00021530">
              <w:t>Operations (Area Manager)</w:t>
            </w:r>
          </w:p>
          <w:p w14:paraId="775DADF3" w14:textId="77777777" w:rsidR="00021530" w:rsidRPr="00021530" w:rsidRDefault="00021530" w:rsidP="00021530">
            <w:pPr>
              <w:pStyle w:val="Textlist-bullet"/>
              <w:spacing w:line="276" w:lineRule="auto"/>
            </w:pPr>
            <w:r w:rsidRPr="00021530">
              <w:t>Head of People (HR)</w:t>
            </w:r>
          </w:p>
          <w:p w14:paraId="706C1616" w14:textId="5FE74161" w:rsidR="00021530" w:rsidRPr="004C3545" w:rsidRDefault="00021530" w:rsidP="00021530">
            <w:pPr>
              <w:pStyle w:val="Textlist-bullet"/>
              <w:spacing w:line="276" w:lineRule="auto"/>
            </w:pPr>
            <w:r>
              <w:t xml:space="preserve">Head of </w:t>
            </w:r>
            <w:r w:rsidRPr="00021530">
              <w:t>Volunteering</w:t>
            </w:r>
            <w:r>
              <w:t xml:space="preserve"> (Volunteering)</w:t>
            </w:r>
          </w:p>
        </w:tc>
        <w:tc>
          <w:tcPr>
            <w:tcW w:w="1213" w:type="dxa"/>
          </w:tcPr>
          <w:p w14:paraId="7D9849BE" w14:textId="77777777" w:rsidR="00021530" w:rsidRPr="004C3545" w:rsidRDefault="00021530" w:rsidP="00021530">
            <w:pPr>
              <w:spacing w:line="276" w:lineRule="auto"/>
            </w:pPr>
            <w:r>
              <w:t>May 2025</w:t>
            </w:r>
          </w:p>
        </w:tc>
      </w:tr>
      <w:tr w:rsidR="00021530" w:rsidRPr="004C3545" w14:paraId="5ED2D4D5" w14:textId="77777777" w:rsidTr="00021530">
        <w:trPr>
          <w:trHeight w:val="407"/>
        </w:trPr>
        <w:tc>
          <w:tcPr>
            <w:tcW w:w="1133" w:type="dxa"/>
          </w:tcPr>
          <w:p w14:paraId="244ECFBF" w14:textId="157A47DA" w:rsidR="00021530" w:rsidRDefault="00021530" w:rsidP="00021530">
            <w:pPr>
              <w:spacing w:line="276" w:lineRule="auto"/>
            </w:pPr>
            <w:r>
              <w:t>5</w:t>
            </w:r>
          </w:p>
        </w:tc>
        <w:tc>
          <w:tcPr>
            <w:tcW w:w="1112" w:type="dxa"/>
          </w:tcPr>
          <w:p w14:paraId="7E8489AE" w14:textId="60E203F1" w:rsidR="00021530" w:rsidRDefault="00021530" w:rsidP="00021530">
            <w:pPr>
              <w:spacing w:line="276" w:lineRule="auto"/>
            </w:pPr>
            <w:r>
              <w:t>February 2025</w:t>
            </w:r>
          </w:p>
        </w:tc>
        <w:tc>
          <w:tcPr>
            <w:tcW w:w="2853" w:type="dxa"/>
          </w:tcPr>
          <w:p w14:paraId="3DA2DA5D" w14:textId="4753EAE2" w:rsidR="00021530" w:rsidRDefault="00021530" w:rsidP="00021530">
            <w:pPr>
              <w:spacing w:line="276" w:lineRule="auto"/>
            </w:pPr>
            <w:r>
              <w:t>Interim statutory review completed. Reformatted to MHA’s standard policy template.</w:t>
            </w:r>
          </w:p>
        </w:tc>
        <w:tc>
          <w:tcPr>
            <w:tcW w:w="3182" w:type="dxa"/>
          </w:tcPr>
          <w:p w14:paraId="3A3BCB99" w14:textId="77777777" w:rsidR="00021530" w:rsidRDefault="00021530" w:rsidP="00021530">
            <w:pPr>
              <w:spacing w:line="276" w:lineRule="auto"/>
              <w:rPr>
                <w:u w:val="single"/>
              </w:rPr>
            </w:pPr>
            <w:r>
              <w:rPr>
                <w:u w:val="single"/>
              </w:rPr>
              <w:t>Author</w:t>
            </w:r>
          </w:p>
          <w:p w14:paraId="2B9FE8E5" w14:textId="1C8ACC30" w:rsidR="00021530" w:rsidRPr="00021530" w:rsidRDefault="00021530" w:rsidP="00021530">
            <w:pPr>
              <w:pStyle w:val="Textlist-bullet"/>
              <w:spacing w:line="276" w:lineRule="auto"/>
            </w:pPr>
            <w:r>
              <w:t>Standards and Policy Manager</w:t>
            </w:r>
          </w:p>
        </w:tc>
        <w:tc>
          <w:tcPr>
            <w:tcW w:w="1213" w:type="dxa"/>
          </w:tcPr>
          <w:p w14:paraId="30B65B21" w14:textId="4EC3E696" w:rsidR="00021530" w:rsidRDefault="00021530" w:rsidP="00021530">
            <w:pPr>
              <w:spacing w:line="276" w:lineRule="auto"/>
            </w:pPr>
            <w:r>
              <w:t>May 2025</w:t>
            </w:r>
          </w:p>
        </w:tc>
      </w:tr>
    </w:tbl>
    <w:p w14:paraId="0D6A3F8A" w14:textId="4C71DC1D" w:rsidR="002D47FD" w:rsidRPr="00021530" w:rsidRDefault="002D47FD" w:rsidP="00021530">
      <w:pPr>
        <w:rPr>
          <w:rFonts w:eastAsiaTheme="majorEastAsia" w:cstheme="majorBidi"/>
          <w:b/>
          <w:color w:val="000000" w:themeColor="text1"/>
          <w:spacing w:val="7"/>
          <w:sz w:val="28"/>
          <w:szCs w:val="32"/>
        </w:rPr>
      </w:pPr>
    </w:p>
    <w:sectPr w:rsidR="002D47FD" w:rsidRPr="00021530" w:rsidSect="00FD6BD4">
      <w:headerReference w:type="default" r:id="rId15"/>
      <w:footerReference w:type="default" r:id="rId16"/>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15433" w14:textId="77777777" w:rsidR="00D30B20" w:rsidRDefault="00D30B20" w:rsidP="001876E7">
      <w:pPr>
        <w:spacing w:line="240" w:lineRule="auto"/>
      </w:pPr>
      <w:r>
        <w:separator/>
      </w:r>
    </w:p>
  </w:endnote>
  <w:endnote w:type="continuationSeparator" w:id="0">
    <w:p w14:paraId="09FD18F9" w14:textId="77777777" w:rsidR="00D30B20" w:rsidRDefault="00D30B20"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1F3DFC16" w14:textId="77777777" w:rsidR="00764B4C" w:rsidRPr="00764B4C" w:rsidRDefault="00764B4C" w:rsidP="00966903">
            <w:pPr>
              <w:pStyle w:val="FooterText"/>
              <w:jc w:val="center"/>
              <w:rPr>
                <w:rFonts w:cs="Arial"/>
                <w:spacing w:val="7"/>
              </w:rPr>
            </w:pPr>
          </w:p>
          <w:p w14:paraId="27FC87E0" w14:textId="36165EAD" w:rsidR="003865D9" w:rsidRDefault="002F13EB" w:rsidP="00454821">
            <w:pPr>
              <w:pStyle w:val="FooterText"/>
              <w:tabs>
                <w:tab w:val="right" w:pos="9498"/>
              </w:tabs>
              <w:jc w:val="left"/>
            </w:pPr>
            <w:r w:rsidRPr="002F13EB">
              <w:t>Disclosing Relationships at Work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E9774" w14:textId="77777777" w:rsidR="00D30B20" w:rsidRDefault="00D30B20" w:rsidP="001876E7">
      <w:pPr>
        <w:spacing w:line="240" w:lineRule="auto"/>
      </w:pPr>
      <w:r>
        <w:separator/>
      </w:r>
    </w:p>
  </w:footnote>
  <w:footnote w:type="continuationSeparator" w:id="0">
    <w:p w14:paraId="39B37725" w14:textId="77777777" w:rsidR="00D30B20" w:rsidRDefault="00D30B20"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88C79"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7FE3296D" wp14:editId="48B9290B">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97168C92"/>
    <w:lvl w:ilvl="0" w:tplc="2528CB28">
      <w:start w:val="1"/>
      <w:numFmt w:val="lowerLetter"/>
      <w:pStyle w:val="Textlistindented-letters"/>
      <w:lvlText w:val="%1)"/>
      <w:lvlJc w:val="left"/>
      <w:pPr>
        <w:ind w:left="1559" w:hanging="425"/>
      </w:pPr>
      <w:rPr>
        <w:rFonts w:ascii="Arial" w:hAnsi="Arial" w:hint="default"/>
        <w:b/>
        <w:bCs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5"/>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6"/>
  </w:num>
  <w:num w:numId="23" w16cid:durableId="673651929">
    <w:abstractNumId w:val="14"/>
  </w:num>
  <w:num w:numId="24" w16cid:durableId="1700010823">
    <w:abstractNumId w:val="0"/>
  </w:num>
  <w:num w:numId="25" w16cid:durableId="929629248">
    <w:abstractNumId w:val="14"/>
    <w:lvlOverride w:ilvl="0">
      <w:startOverride w:val="1"/>
    </w:lvlOverride>
  </w:num>
  <w:num w:numId="26" w16cid:durableId="593829245">
    <w:abstractNumId w:val="14"/>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EB"/>
    <w:rsid w:val="000038CD"/>
    <w:rsid w:val="00010148"/>
    <w:rsid w:val="00011E5A"/>
    <w:rsid w:val="00021530"/>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2F13EB"/>
    <w:rsid w:val="00302641"/>
    <w:rsid w:val="00322ED2"/>
    <w:rsid w:val="003256F1"/>
    <w:rsid w:val="003266FD"/>
    <w:rsid w:val="00345825"/>
    <w:rsid w:val="003510EE"/>
    <w:rsid w:val="003640C9"/>
    <w:rsid w:val="00365642"/>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96D49"/>
    <w:rsid w:val="006B0609"/>
    <w:rsid w:val="006B4F33"/>
    <w:rsid w:val="00711D55"/>
    <w:rsid w:val="00717A8D"/>
    <w:rsid w:val="00723627"/>
    <w:rsid w:val="007256EF"/>
    <w:rsid w:val="00730CA5"/>
    <w:rsid w:val="00744A83"/>
    <w:rsid w:val="007539BA"/>
    <w:rsid w:val="00764B4C"/>
    <w:rsid w:val="00776701"/>
    <w:rsid w:val="0078642D"/>
    <w:rsid w:val="007914A2"/>
    <w:rsid w:val="0079374B"/>
    <w:rsid w:val="007B2919"/>
    <w:rsid w:val="007C2DAF"/>
    <w:rsid w:val="007E112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2662C"/>
    <w:rsid w:val="00947D46"/>
    <w:rsid w:val="009655E2"/>
    <w:rsid w:val="00966903"/>
    <w:rsid w:val="00973E48"/>
    <w:rsid w:val="009A0ED4"/>
    <w:rsid w:val="009E3487"/>
    <w:rsid w:val="009F78E6"/>
    <w:rsid w:val="00A17E0E"/>
    <w:rsid w:val="00A24DA1"/>
    <w:rsid w:val="00A34D37"/>
    <w:rsid w:val="00A36714"/>
    <w:rsid w:val="00A43329"/>
    <w:rsid w:val="00A52F66"/>
    <w:rsid w:val="00A61E40"/>
    <w:rsid w:val="00A92CD7"/>
    <w:rsid w:val="00AA0D99"/>
    <w:rsid w:val="00AB2FBF"/>
    <w:rsid w:val="00AB4A71"/>
    <w:rsid w:val="00AD5FD5"/>
    <w:rsid w:val="00AE5E04"/>
    <w:rsid w:val="00AE689A"/>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30B20"/>
    <w:rsid w:val="00D4040D"/>
    <w:rsid w:val="00D558F5"/>
    <w:rsid w:val="00D77D91"/>
    <w:rsid w:val="00DB2058"/>
    <w:rsid w:val="00DB24AA"/>
    <w:rsid w:val="00DC7F16"/>
    <w:rsid w:val="00DF67AA"/>
    <w:rsid w:val="00E04B72"/>
    <w:rsid w:val="00E06E01"/>
    <w:rsid w:val="00E3506D"/>
    <w:rsid w:val="00E365D6"/>
    <w:rsid w:val="00E40653"/>
    <w:rsid w:val="00E561CE"/>
    <w:rsid w:val="00E63A82"/>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1DB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character" w:styleId="FollowedHyperlink">
    <w:name w:val="FollowedHyperlink"/>
    <w:basedOn w:val="DefaultParagraphFont"/>
    <w:uiPriority w:val="99"/>
    <w:semiHidden/>
    <w:unhideWhenUsed/>
    <w:rsid w:val="00021530"/>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Content/Document.aspx?id=2845&amp;utm_source=interact&amp;utm_medium=quick_search&amp;utm_term=VP002%3a+Volunteer+-+Recruitment+and+Selection+Policy"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intranet.mha.org.uk/Interact/Pages/Content/Document.aspx?id=12068&amp;utm_source=interact&amp;utm_medium=quick_search&amp;utm_term=ig00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Content/Document.aspx?id=2491&amp;SearchId=674097&amp;utm_source=interact&amp;utm_medium=general_search&amp;utm_term=grievance&am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ntranet.mha.org.uk/Interact/Pages/Content/Document.aspx?id=2486&amp;utm_source=interact&amp;utm_medium=quick_search&amp;utm_term=code+of+conduct"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hyperlink" Target="https://intranet.mha.org.uk/Interact/Pages/Content/Document.aspx?id=2457&amp;utm_source=interact&amp;utm_medium=quick_search&amp;utm_term=equal+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E4AC7776-5500-4306-9FDB-E2C832C639A4}"/>
</file>

<file path=customXml/itemProps3.xml><?xml version="1.0" encoding="utf-8"?>
<ds:datastoreItem xmlns:ds="http://schemas.openxmlformats.org/officeDocument/2006/customXml" ds:itemID="{62BC62F3-C2FB-4E70-AA58-2D619C047E6D}"/>
</file>

<file path=customXml/itemProps4.xml><?xml version="1.0" encoding="utf-8"?>
<ds:datastoreItem xmlns:ds="http://schemas.openxmlformats.org/officeDocument/2006/customXml" ds:itemID="{E715000E-275A-4090-87B3-BBCE8C3F487F}"/>
</file>

<file path=docProps/app.xml><?xml version="1.0" encoding="utf-8"?>
<Properties xmlns="http://schemas.openxmlformats.org/officeDocument/2006/extended-properties" xmlns:vt="http://schemas.openxmlformats.org/officeDocument/2006/docPropsVTypes">
  <Template>Normal</Template>
  <TotalTime>0</TotalTime>
  <Pages>1</Pages>
  <Words>2316</Words>
  <Characters>13203</Characters>
  <Application>Microsoft Office Word</Application>
  <DocSecurity>0</DocSecurity>
  <Lines>110</Lines>
  <Paragraphs>30</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2025-02-04T09:32:00Z</dcterms:created>
  <dcterms:modified xsi:type="dcterms:W3CDTF">2025-02-04T09:36:00Z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