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FD4C" w14:textId="77777777" w:rsidR="00DF67AA" w:rsidRDefault="00DF67AA" w:rsidP="00903AA2">
      <w:pPr>
        <w:rPr>
          <w:spacing w:val="10"/>
        </w:rPr>
      </w:pPr>
    </w:p>
    <w:p w14:paraId="45504A90" w14:textId="77777777" w:rsidR="00DF67AA" w:rsidRDefault="00DF67AA" w:rsidP="00903AA2">
      <w:pPr>
        <w:rPr>
          <w:spacing w:val="10"/>
        </w:rPr>
      </w:pPr>
    </w:p>
    <w:p w14:paraId="34495D31" w14:textId="77777777" w:rsidR="00FA1162" w:rsidRDefault="00FA1162" w:rsidP="00903AA2">
      <w:pPr>
        <w:rPr>
          <w:spacing w:val="10"/>
        </w:rPr>
      </w:pPr>
    </w:p>
    <w:p w14:paraId="7D88E355" w14:textId="77777777" w:rsidR="00DF67AA" w:rsidRDefault="00306ED7" w:rsidP="00FA1162">
      <w:pPr>
        <w:rPr>
          <w:spacing w:val="10"/>
        </w:rPr>
      </w:pPr>
      <w:r w:rsidRPr="0063326C">
        <w:rPr>
          <w:noProof/>
          <w:spacing w:val="10"/>
        </w:rPr>
        <mc:AlternateContent>
          <mc:Choice Requires="wps">
            <w:drawing>
              <wp:inline distT="0" distB="0" distL="0" distR="0" wp14:anchorId="44C3FE44" wp14:editId="2DFE5BB5">
                <wp:extent cx="6058894" cy="1932167"/>
                <wp:effectExtent l="0" t="0" r="1841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1"/>
                        </a:solidFill>
                        <a:ln w="9525">
                          <a:solidFill>
                            <a:schemeClr val="accent1"/>
                          </a:solidFill>
                          <a:miter lim="800000"/>
                          <a:headEnd/>
                          <a:tailEnd/>
                        </a:ln>
                      </wps:spPr>
                      <wps:txbx>
                        <w:txbxContent>
                          <w:p w14:paraId="537BDCE0" w14:textId="77777777" w:rsidR="00AD7D3D" w:rsidRDefault="00AD7D3D" w:rsidP="00306ED7">
                            <w:pPr>
                              <w:pStyle w:val="PolicyCode"/>
                              <w:rPr>
                                <w:b/>
                                <w:bCs/>
                                <w:sz w:val="72"/>
                                <w:szCs w:val="72"/>
                              </w:rPr>
                            </w:pPr>
                            <w:r w:rsidRPr="00AD7D3D">
                              <w:rPr>
                                <w:b/>
                                <w:bCs/>
                                <w:sz w:val="72"/>
                                <w:szCs w:val="72"/>
                              </w:rPr>
                              <w:t>Work Experience Placements Policy</w:t>
                            </w:r>
                          </w:p>
                          <w:p w14:paraId="35816C62" w14:textId="39858CEB" w:rsidR="00306ED7" w:rsidRPr="00847753" w:rsidRDefault="00306ED7" w:rsidP="00306ED7">
                            <w:pPr>
                              <w:pStyle w:val="PolicyCode"/>
                            </w:pPr>
                            <w:r>
                              <w:t>HR</w:t>
                            </w:r>
                            <w:r w:rsidR="0025569A">
                              <w:t>6.8</w:t>
                            </w:r>
                            <w:r w:rsidRPr="00847753">
                              <w:t xml:space="preserve"> </w:t>
                            </w:r>
                            <w:r>
                              <w:t>Employment Policies</w:t>
                            </w:r>
                          </w:p>
                          <w:p w14:paraId="4127B0D6" w14:textId="3B0EADA7" w:rsidR="00306ED7" w:rsidRPr="00847753" w:rsidRDefault="00C47650" w:rsidP="00306ED7">
                            <w:pPr>
                              <w:pStyle w:val="PolicyDate"/>
                            </w:pPr>
                            <w:r>
                              <w:t>July</w:t>
                            </w:r>
                            <w:r w:rsidR="00306ED7">
                              <w:t xml:space="preserve"> 2023</w:t>
                            </w:r>
                          </w:p>
                        </w:txbxContent>
                      </wps:txbx>
                      <wps:bodyPr rot="0" vert="horz" wrap="square" lIns="91440" tIns="45720" rIns="91440" bIns="45720" anchor="t" anchorCtr="0">
                        <a:spAutoFit/>
                      </wps:bodyPr>
                    </wps:wsp>
                  </a:graphicData>
                </a:graphic>
              </wp:inline>
            </w:drawing>
          </mc:Choice>
          <mc:Fallback>
            <w:pict>
              <v:shapetype w14:anchorId="44C3FE44"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" fillcolor="#4f868e [3204]" strokecolor="#4f868e [3204]">
                <v:textbox style="mso-fit-shape-to-text:t">
                  <w:txbxContent>
                    <w:p w14:paraId="537BDCE0" w14:textId="77777777" w:rsidR="00AD7D3D" w:rsidRDefault="00AD7D3D" w:rsidP="00306ED7">
                      <w:pPr>
                        <w:pStyle w:val="PolicyCode"/>
                        <w:rPr>
                          <w:b/>
                          <w:bCs/>
                          <w:sz w:val="72"/>
                          <w:szCs w:val="72"/>
                        </w:rPr>
                      </w:pPr>
                      <w:r w:rsidRPr="00AD7D3D">
                        <w:rPr>
                          <w:b/>
                          <w:bCs/>
                          <w:sz w:val="72"/>
                          <w:szCs w:val="72"/>
                        </w:rPr>
                        <w:t>Work Experience Placements Policy</w:t>
                      </w:r>
                    </w:p>
                    <w:p w14:paraId="35816C62" w14:textId="39858CEB" w:rsidR="00306ED7" w:rsidRPr="00847753" w:rsidRDefault="00306ED7" w:rsidP="00306ED7">
                      <w:pPr>
                        <w:pStyle w:val="PolicyCode"/>
                      </w:pPr>
                      <w:r>
                        <w:t>HR</w:t>
                      </w:r>
                      <w:r w:rsidR="0025569A">
                        <w:t>6.8</w:t>
                      </w:r>
                      <w:r w:rsidRPr="00847753">
                        <w:t xml:space="preserve"> </w:t>
                      </w:r>
                      <w:r>
                        <w:t>Employment Policies</w:t>
                      </w:r>
                    </w:p>
                    <w:p w14:paraId="4127B0D6" w14:textId="3B0EADA7" w:rsidR="00306ED7" w:rsidRPr="00847753" w:rsidRDefault="00C47650" w:rsidP="00306ED7">
                      <w:pPr>
                        <w:pStyle w:val="PolicyDate"/>
                      </w:pPr>
                      <w:r>
                        <w:t>July</w:t>
                      </w:r>
                      <w:r w:rsidR="00306ED7">
                        <w:t xml:space="preserve"> 2023</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121102E7" wp14:editId="31A90AB8">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7863F79" w14:textId="77777777" w:rsidR="00DF67AA" w:rsidRDefault="00471203" w:rsidP="00070650">
          <w:pPr>
            <w:rPr>
              <w:rFonts w:cs="Arial"/>
              <w:b/>
              <w:bCs/>
              <w:sz w:val="28"/>
              <w:szCs w:val="28"/>
            </w:rPr>
          </w:pPr>
          <w:r w:rsidRPr="00070650">
            <w:rPr>
              <w:rFonts w:cs="Arial"/>
              <w:b/>
              <w:bCs/>
              <w:sz w:val="28"/>
              <w:szCs w:val="28"/>
            </w:rPr>
            <w:t>Contents</w:t>
          </w:r>
        </w:p>
        <w:p w14:paraId="504670D7" w14:textId="15667829" w:rsidR="00AD7D3D" w:rsidRDefault="00F91DD0">
          <w:pPr>
            <w:pStyle w:val="TOC1"/>
            <w:rPr>
              <w:rFonts w:asciiTheme="minorHAnsi" w:eastAsiaTheme="minorEastAsia" w:hAnsiTheme="minorHAnsi"/>
              <w:sz w:val="22"/>
              <w:szCs w:val="22"/>
              <w:lang w:eastAsia="en-GB"/>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38059682" w:history="1">
            <w:r w:rsidR="00AD7D3D" w:rsidRPr="009059B9">
              <w:rPr>
                <w:rStyle w:val="Hyperlink"/>
              </w:rPr>
              <w:t>1</w:t>
            </w:r>
            <w:r w:rsidR="00AD7D3D">
              <w:rPr>
                <w:rFonts w:asciiTheme="minorHAnsi" w:eastAsiaTheme="minorEastAsia" w:hAnsiTheme="minorHAnsi"/>
                <w:sz w:val="22"/>
                <w:szCs w:val="22"/>
                <w:lang w:eastAsia="en-GB"/>
              </w:rPr>
              <w:tab/>
            </w:r>
            <w:r w:rsidR="00AD7D3D" w:rsidRPr="009059B9">
              <w:rPr>
                <w:rStyle w:val="Hyperlink"/>
              </w:rPr>
              <w:t>Introduction</w:t>
            </w:r>
            <w:r w:rsidR="00AD7D3D">
              <w:rPr>
                <w:webHidden/>
              </w:rPr>
              <w:tab/>
            </w:r>
            <w:r w:rsidR="00AD7D3D">
              <w:rPr>
                <w:webHidden/>
              </w:rPr>
              <w:fldChar w:fldCharType="begin"/>
            </w:r>
            <w:r w:rsidR="00AD7D3D">
              <w:rPr>
                <w:webHidden/>
              </w:rPr>
              <w:instrText xml:space="preserve"> PAGEREF _Toc138059682 \h </w:instrText>
            </w:r>
            <w:r w:rsidR="00AD7D3D">
              <w:rPr>
                <w:webHidden/>
              </w:rPr>
            </w:r>
            <w:r w:rsidR="00AD7D3D">
              <w:rPr>
                <w:webHidden/>
              </w:rPr>
              <w:fldChar w:fldCharType="separate"/>
            </w:r>
            <w:r w:rsidR="007637E8">
              <w:rPr>
                <w:webHidden/>
              </w:rPr>
              <w:t>2</w:t>
            </w:r>
            <w:r w:rsidR="00AD7D3D">
              <w:rPr>
                <w:webHidden/>
              </w:rPr>
              <w:fldChar w:fldCharType="end"/>
            </w:r>
          </w:hyperlink>
        </w:p>
        <w:p w14:paraId="3963BE1B" w14:textId="1C20B4ED" w:rsidR="00AD7D3D" w:rsidRDefault="008C25C5">
          <w:pPr>
            <w:pStyle w:val="TOC1"/>
            <w:rPr>
              <w:rFonts w:asciiTheme="minorHAnsi" w:eastAsiaTheme="minorEastAsia" w:hAnsiTheme="minorHAnsi"/>
              <w:sz w:val="22"/>
              <w:szCs w:val="22"/>
              <w:lang w:eastAsia="en-GB"/>
            </w:rPr>
          </w:pPr>
          <w:hyperlink w:anchor="_Toc138059683" w:history="1">
            <w:r w:rsidR="00AD7D3D" w:rsidRPr="009059B9">
              <w:rPr>
                <w:rStyle w:val="Hyperlink"/>
              </w:rPr>
              <w:t>2</w:t>
            </w:r>
            <w:r w:rsidR="00AD7D3D">
              <w:rPr>
                <w:rFonts w:asciiTheme="minorHAnsi" w:eastAsiaTheme="minorEastAsia" w:hAnsiTheme="minorHAnsi"/>
                <w:sz w:val="22"/>
                <w:szCs w:val="22"/>
                <w:lang w:eastAsia="en-GB"/>
              </w:rPr>
              <w:tab/>
            </w:r>
            <w:r w:rsidR="00AD7D3D" w:rsidRPr="009059B9">
              <w:rPr>
                <w:rStyle w:val="Hyperlink"/>
              </w:rPr>
              <w:t>Scope and Purpose</w:t>
            </w:r>
            <w:r w:rsidR="00AD7D3D">
              <w:rPr>
                <w:webHidden/>
              </w:rPr>
              <w:tab/>
            </w:r>
            <w:r w:rsidR="00AD7D3D">
              <w:rPr>
                <w:webHidden/>
              </w:rPr>
              <w:fldChar w:fldCharType="begin"/>
            </w:r>
            <w:r w:rsidR="00AD7D3D">
              <w:rPr>
                <w:webHidden/>
              </w:rPr>
              <w:instrText xml:space="preserve"> PAGEREF _Toc138059683 \h </w:instrText>
            </w:r>
            <w:r w:rsidR="00AD7D3D">
              <w:rPr>
                <w:webHidden/>
              </w:rPr>
            </w:r>
            <w:r w:rsidR="00AD7D3D">
              <w:rPr>
                <w:webHidden/>
              </w:rPr>
              <w:fldChar w:fldCharType="separate"/>
            </w:r>
            <w:r w:rsidR="007637E8">
              <w:rPr>
                <w:webHidden/>
              </w:rPr>
              <w:t>2</w:t>
            </w:r>
            <w:r w:rsidR="00AD7D3D">
              <w:rPr>
                <w:webHidden/>
              </w:rPr>
              <w:fldChar w:fldCharType="end"/>
            </w:r>
          </w:hyperlink>
        </w:p>
        <w:p w14:paraId="4280E13C" w14:textId="18AC6B3C" w:rsidR="00AD7D3D" w:rsidRDefault="008C25C5">
          <w:pPr>
            <w:pStyle w:val="TOC1"/>
            <w:rPr>
              <w:rFonts w:asciiTheme="minorHAnsi" w:eastAsiaTheme="minorEastAsia" w:hAnsiTheme="minorHAnsi"/>
              <w:sz w:val="22"/>
              <w:szCs w:val="22"/>
              <w:lang w:eastAsia="en-GB"/>
            </w:rPr>
          </w:pPr>
          <w:hyperlink w:anchor="_Toc138059684" w:history="1">
            <w:r w:rsidR="00AD7D3D" w:rsidRPr="009059B9">
              <w:rPr>
                <w:rStyle w:val="Hyperlink"/>
              </w:rPr>
              <w:t>3</w:t>
            </w:r>
            <w:r w:rsidR="00AD7D3D">
              <w:rPr>
                <w:rFonts w:asciiTheme="minorHAnsi" w:eastAsiaTheme="minorEastAsia" w:hAnsiTheme="minorHAnsi"/>
                <w:sz w:val="22"/>
                <w:szCs w:val="22"/>
                <w:lang w:eastAsia="en-GB"/>
              </w:rPr>
              <w:tab/>
            </w:r>
            <w:r w:rsidR="00AD7D3D" w:rsidRPr="009059B9">
              <w:rPr>
                <w:rStyle w:val="Hyperlink"/>
              </w:rPr>
              <w:t>Definitions</w:t>
            </w:r>
            <w:r w:rsidR="00AD7D3D">
              <w:rPr>
                <w:webHidden/>
              </w:rPr>
              <w:tab/>
            </w:r>
            <w:r w:rsidR="00AD7D3D">
              <w:rPr>
                <w:webHidden/>
              </w:rPr>
              <w:fldChar w:fldCharType="begin"/>
            </w:r>
            <w:r w:rsidR="00AD7D3D">
              <w:rPr>
                <w:webHidden/>
              </w:rPr>
              <w:instrText xml:space="preserve"> PAGEREF _Toc138059684 \h </w:instrText>
            </w:r>
            <w:r w:rsidR="00AD7D3D">
              <w:rPr>
                <w:webHidden/>
              </w:rPr>
            </w:r>
            <w:r w:rsidR="00AD7D3D">
              <w:rPr>
                <w:webHidden/>
              </w:rPr>
              <w:fldChar w:fldCharType="separate"/>
            </w:r>
            <w:r w:rsidR="007637E8">
              <w:rPr>
                <w:webHidden/>
              </w:rPr>
              <w:t>2</w:t>
            </w:r>
            <w:r w:rsidR="00AD7D3D">
              <w:rPr>
                <w:webHidden/>
              </w:rPr>
              <w:fldChar w:fldCharType="end"/>
            </w:r>
          </w:hyperlink>
        </w:p>
        <w:p w14:paraId="654D82F3" w14:textId="339D7680" w:rsidR="00AD7D3D" w:rsidRDefault="008C25C5">
          <w:pPr>
            <w:pStyle w:val="TOC1"/>
            <w:rPr>
              <w:rFonts w:asciiTheme="minorHAnsi" w:eastAsiaTheme="minorEastAsia" w:hAnsiTheme="minorHAnsi"/>
              <w:sz w:val="22"/>
              <w:szCs w:val="22"/>
              <w:lang w:eastAsia="en-GB"/>
            </w:rPr>
          </w:pPr>
          <w:hyperlink w:anchor="_Toc138059685" w:history="1">
            <w:r w:rsidR="00AD7D3D" w:rsidRPr="009059B9">
              <w:rPr>
                <w:rStyle w:val="Hyperlink"/>
              </w:rPr>
              <w:t>4</w:t>
            </w:r>
            <w:r w:rsidR="00AD7D3D">
              <w:rPr>
                <w:rFonts w:asciiTheme="minorHAnsi" w:eastAsiaTheme="minorEastAsia" w:hAnsiTheme="minorHAnsi"/>
                <w:sz w:val="22"/>
                <w:szCs w:val="22"/>
                <w:lang w:eastAsia="en-GB"/>
              </w:rPr>
              <w:tab/>
            </w:r>
            <w:r w:rsidR="00AD7D3D" w:rsidRPr="009059B9">
              <w:rPr>
                <w:rStyle w:val="Hyperlink"/>
              </w:rPr>
              <w:t>Work Experience Placement Principles</w:t>
            </w:r>
            <w:r w:rsidR="00AD7D3D">
              <w:rPr>
                <w:webHidden/>
              </w:rPr>
              <w:tab/>
            </w:r>
            <w:r w:rsidR="00AD7D3D">
              <w:rPr>
                <w:webHidden/>
              </w:rPr>
              <w:fldChar w:fldCharType="begin"/>
            </w:r>
            <w:r w:rsidR="00AD7D3D">
              <w:rPr>
                <w:webHidden/>
              </w:rPr>
              <w:instrText xml:space="preserve"> PAGEREF _Toc138059685 \h </w:instrText>
            </w:r>
            <w:r w:rsidR="00AD7D3D">
              <w:rPr>
                <w:webHidden/>
              </w:rPr>
            </w:r>
            <w:r w:rsidR="00AD7D3D">
              <w:rPr>
                <w:webHidden/>
              </w:rPr>
              <w:fldChar w:fldCharType="separate"/>
            </w:r>
            <w:r w:rsidR="007637E8">
              <w:rPr>
                <w:webHidden/>
              </w:rPr>
              <w:t>3</w:t>
            </w:r>
            <w:r w:rsidR="00AD7D3D">
              <w:rPr>
                <w:webHidden/>
              </w:rPr>
              <w:fldChar w:fldCharType="end"/>
            </w:r>
          </w:hyperlink>
        </w:p>
        <w:p w14:paraId="69A5A168" w14:textId="17045C89" w:rsidR="00AD7D3D" w:rsidRDefault="008C25C5">
          <w:pPr>
            <w:pStyle w:val="TOC1"/>
            <w:rPr>
              <w:rFonts w:asciiTheme="minorHAnsi" w:eastAsiaTheme="minorEastAsia" w:hAnsiTheme="minorHAnsi"/>
              <w:sz w:val="22"/>
              <w:szCs w:val="22"/>
              <w:lang w:eastAsia="en-GB"/>
            </w:rPr>
          </w:pPr>
          <w:hyperlink w:anchor="_Toc138059686" w:history="1">
            <w:r w:rsidR="00AD7D3D" w:rsidRPr="009059B9">
              <w:rPr>
                <w:rStyle w:val="Hyperlink"/>
              </w:rPr>
              <w:t>5</w:t>
            </w:r>
            <w:r w:rsidR="00AD7D3D">
              <w:rPr>
                <w:rFonts w:asciiTheme="minorHAnsi" w:eastAsiaTheme="minorEastAsia" w:hAnsiTheme="minorHAnsi"/>
                <w:sz w:val="22"/>
                <w:szCs w:val="22"/>
                <w:lang w:eastAsia="en-GB"/>
              </w:rPr>
              <w:tab/>
            </w:r>
            <w:r w:rsidR="00AD7D3D" w:rsidRPr="009059B9">
              <w:rPr>
                <w:rStyle w:val="Hyperlink"/>
              </w:rPr>
              <w:t>Roles and Responsibilities</w:t>
            </w:r>
            <w:r w:rsidR="00AD7D3D">
              <w:rPr>
                <w:webHidden/>
              </w:rPr>
              <w:tab/>
            </w:r>
            <w:r w:rsidR="00AD7D3D">
              <w:rPr>
                <w:webHidden/>
              </w:rPr>
              <w:fldChar w:fldCharType="begin"/>
            </w:r>
            <w:r w:rsidR="00AD7D3D">
              <w:rPr>
                <w:webHidden/>
              </w:rPr>
              <w:instrText xml:space="preserve"> PAGEREF _Toc138059686 \h </w:instrText>
            </w:r>
            <w:r w:rsidR="00AD7D3D">
              <w:rPr>
                <w:webHidden/>
              </w:rPr>
            </w:r>
            <w:r w:rsidR="00AD7D3D">
              <w:rPr>
                <w:webHidden/>
              </w:rPr>
              <w:fldChar w:fldCharType="separate"/>
            </w:r>
            <w:r w:rsidR="007637E8">
              <w:rPr>
                <w:webHidden/>
              </w:rPr>
              <w:t>4</w:t>
            </w:r>
            <w:r w:rsidR="00AD7D3D">
              <w:rPr>
                <w:webHidden/>
              </w:rPr>
              <w:fldChar w:fldCharType="end"/>
            </w:r>
          </w:hyperlink>
        </w:p>
        <w:p w14:paraId="122DF9A9" w14:textId="13DC2D62" w:rsidR="00AD7D3D" w:rsidRDefault="008C25C5">
          <w:pPr>
            <w:pStyle w:val="TOC1"/>
            <w:rPr>
              <w:rFonts w:asciiTheme="minorHAnsi" w:eastAsiaTheme="minorEastAsia" w:hAnsiTheme="minorHAnsi"/>
              <w:sz w:val="22"/>
              <w:szCs w:val="22"/>
              <w:lang w:eastAsia="en-GB"/>
            </w:rPr>
          </w:pPr>
          <w:hyperlink w:anchor="_Toc138059687" w:history="1">
            <w:r w:rsidR="00AD7D3D" w:rsidRPr="009059B9">
              <w:rPr>
                <w:rStyle w:val="Hyperlink"/>
              </w:rPr>
              <w:t>6</w:t>
            </w:r>
            <w:r w:rsidR="00AD7D3D">
              <w:rPr>
                <w:rFonts w:asciiTheme="minorHAnsi" w:eastAsiaTheme="minorEastAsia" w:hAnsiTheme="minorHAnsi"/>
                <w:sz w:val="22"/>
                <w:szCs w:val="22"/>
                <w:lang w:eastAsia="en-GB"/>
              </w:rPr>
              <w:tab/>
            </w:r>
            <w:r w:rsidR="00AD7D3D" w:rsidRPr="009059B9">
              <w:rPr>
                <w:rStyle w:val="Hyperlink"/>
              </w:rPr>
              <w:t>Policy Training and Monitoring</w:t>
            </w:r>
            <w:r w:rsidR="00AD7D3D">
              <w:rPr>
                <w:webHidden/>
              </w:rPr>
              <w:tab/>
            </w:r>
            <w:r w:rsidR="00AD7D3D">
              <w:rPr>
                <w:webHidden/>
              </w:rPr>
              <w:fldChar w:fldCharType="begin"/>
            </w:r>
            <w:r w:rsidR="00AD7D3D">
              <w:rPr>
                <w:webHidden/>
              </w:rPr>
              <w:instrText xml:space="preserve"> PAGEREF _Toc138059687 \h </w:instrText>
            </w:r>
            <w:r w:rsidR="00AD7D3D">
              <w:rPr>
                <w:webHidden/>
              </w:rPr>
            </w:r>
            <w:r w:rsidR="00AD7D3D">
              <w:rPr>
                <w:webHidden/>
              </w:rPr>
              <w:fldChar w:fldCharType="separate"/>
            </w:r>
            <w:r w:rsidR="007637E8">
              <w:rPr>
                <w:webHidden/>
              </w:rPr>
              <w:t>9</w:t>
            </w:r>
            <w:r w:rsidR="00AD7D3D">
              <w:rPr>
                <w:webHidden/>
              </w:rPr>
              <w:fldChar w:fldCharType="end"/>
            </w:r>
          </w:hyperlink>
        </w:p>
        <w:p w14:paraId="08CF8AEF" w14:textId="40D112AA" w:rsidR="00AD7D3D" w:rsidRDefault="008C25C5">
          <w:pPr>
            <w:pStyle w:val="TOC1"/>
            <w:rPr>
              <w:rFonts w:asciiTheme="minorHAnsi" w:eastAsiaTheme="minorEastAsia" w:hAnsiTheme="minorHAnsi"/>
              <w:sz w:val="22"/>
              <w:szCs w:val="22"/>
              <w:lang w:eastAsia="en-GB"/>
            </w:rPr>
          </w:pPr>
          <w:hyperlink w:anchor="_Toc138059688" w:history="1">
            <w:r w:rsidR="00AD7D3D" w:rsidRPr="009059B9">
              <w:rPr>
                <w:rStyle w:val="Hyperlink"/>
              </w:rPr>
              <w:t>7</w:t>
            </w:r>
            <w:r w:rsidR="00AD7D3D">
              <w:rPr>
                <w:rFonts w:asciiTheme="minorHAnsi" w:eastAsiaTheme="minorEastAsia" w:hAnsiTheme="minorHAnsi"/>
                <w:sz w:val="22"/>
                <w:szCs w:val="22"/>
                <w:lang w:eastAsia="en-GB"/>
              </w:rPr>
              <w:tab/>
            </w:r>
            <w:r w:rsidR="00AD7D3D" w:rsidRPr="009059B9">
              <w:rPr>
                <w:rStyle w:val="Hyperlink"/>
              </w:rPr>
              <w:t>Policy Communication and Dissemination</w:t>
            </w:r>
            <w:r w:rsidR="00AD7D3D">
              <w:rPr>
                <w:webHidden/>
              </w:rPr>
              <w:tab/>
            </w:r>
            <w:r w:rsidR="00AD7D3D">
              <w:rPr>
                <w:webHidden/>
              </w:rPr>
              <w:fldChar w:fldCharType="begin"/>
            </w:r>
            <w:r w:rsidR="00AD7D3D">
              <w:rPr>
                <w:webHidden/>
              </w:rPr>
              <w:instrText xml:space="preserve"> PAGEREF _Toc138059688 \h </w:instrText>
            </w:r>
            <w:r w:rsidR="00AD7D3D">
              <w:rPr>
                <w:webHidden/>
              </w:rPr>
            </w:r>
            <w:r w:rsidR="00AD7D3D">
              <w:rPr>
                <w:webHidden/>
              </w:rPr>
              <w:fldChar w:fldCharType="separate"/>
            </w:r>
            <w:r w:rsidR="007637E8">
              <w:rPr>
                <w:webHidden/>
              </w:rPr>
              <w:t>9</w:t>
            </w:r>
            <w:r w:rsidR="00AD7D3D">
              <w:rPr>
                <w:webHidden/>
              </w:rPr>
              <w:fldChar w:fldCharType="end"/>
            </w:r>
          </w:hyperlink>
        </w:p>
        <w:p w14:paraId="1D11B1B1" w14:textId="20EB27BD" w:rsidR="00AD7D3D" w:rsidRDefault="008C25C5">
          <w:pPr>
            <w:pStyle w:val="TOC1"/>
            <w:rPr>
              <w:rFonts w:asciiTheme="minorHAnsi" w:eastAsiaTheme="minorEastAsia" w:hAnsiTheme="minorHAnsi"/>
              <w:sz w:val="22"/>
              <w:szCs w:val="22"/>
              <w:lang w:eastAsia="en-GB"/>
            </w:rPr>
          </w:pPr>
          <w:hyperlink w:anchor="_Toc138059689" w:history="1">
            <w:r w:rsidR="00AD7D3D" w:rsidRPr="009059B9">
              <w:rPr>
                <w:rStyle w:val="Hyperlink"/>
              </w:rPr>
              <w:t>8</w:t>
            </w:r>
            <w:r w:rsidR="00AD7D3D">
              <w:rPr>
                <w:rFonts w:asciiTheme="minorHAnsi" w:eastAsiaTheme="minorEastAsia" w:hAnsiTheme="minorHAnsi"/>
                <w:sz w:val="22"/>
                <w:szCs w:val="22"/>
                <w:lang w:eastAsia="en-GB"/>
              </w:rPr>
              <w:tab/>
            </w:r>
            <w:r w:rsidR="00AD7D3D" w:rsidRPr="009059B9">
              <w:rPr>
                <w:rStyle w:val="Hyperlink"/>
              </w:rPr>
              <w:t>EDI Impact Assessments</w:t>
            </w:r>
            <w:r w:rsidR="00AD7D3D">
              <w:rPr>
                <w:webHidden/>
              </w:rPr>
              <w:tab/>
            </w:r>
            <w:r w:rsidR="00AD7D3D">
              <w:rPr>
                <w:webHidden/>
              </w:rPr>
              <w:fldChar w:fldCharType="begin"/>
            </w:r>
            <w:r w:rsidR="00AD7D3D">
              <w:rPr>
                <w:webHidden/>
              </w:rPr>
              <w:instrText xml:space="preserve"> PAGEREF _Toc138059689 \h </w:instrText>
            </w:r>
            <w:r w:rsidR="00AD7D3D">
              <w:rPr>
                <w:webHidden/>
              </w:rPr>
            </w:r>
            <w:r w:rsidR="00AD7D3D">
              <w:rPr>
                <w:webHidden/>
              </w:rPr>
              <w:fldChar w:fldCharType="separate"/>
            </w:r>
            <w:r w:rsidR="007637E8">
              <w:rPr>
                <w:webHidden/>
              </w:rPr>
              <w:t>10</w:t>
            </w:r>
            <w:r w:rsidR="00AD7D3D">
              <w:rPr>
                <w:webHidden/>
              </w:rPr>
              <w:fldChar w:fldCharType="end"/>
            </w:r>
          </w:hyperlink>
        </w:p>
        <w:p w14:paraId="4ADA95FD" w14:textId="6F9FE7D8" w:rsidR="00AD7D3D" w:rsidRDefault="008C25C5">
          <w:pPr>
            <w:pStyle w:val="TOC1"/>
            <w:rPr>
              <w:rFonts w:asciiTheme="minorHAnsi" w:eastAsiaTheme="minorEastAsia" w:hAnsiTheme="minorHAnsi"/>
              <w:sz w:val="22"/>
              <w:szCs w:val="22"/>
              <w:lang w:eastAsia="en-GB"/>
            </w:rPr>
          </w:pPr>
          <w:hyperlink w:anchor="_Toc138059690" w:history="1">
            <w:r w:rsidR="00AD7D3D" w:rsidRPr="009059B9">
              <w:rPr>
                <w:rStyle w:val="Hyperlink"/>
              </w:rPr>
              <w:t>9</w:t>
            </w:r>
            <w:r w:rsidR="00AD7D3D">
              <w:rPr>
                <w:rFonts w:asciiTheme="minorHAnsi" w:eastAsiaTheme="minorEastAsia" w:hAnsiTheme="minorHAnsi"/>
                <w:sz w:val="22"/>
                <w:szCs w:val="22"/>
                <w:lang w:eastAsia="en-GB"/>
              </w:rPr>
              <w:tab/>
            </w:r>
            <w:r w:rsidR="00AD7D3D" w:rsidRPr="009059B9">
              <w:rPr>
                <w:rStyle w:val="Hyperlink"/>
              </w:rPr>
              <w:t>Resources</w:t>
            </w:r>
            <w:r w:rsidR="00AD7D3D">
              <w:rPr>
                <w:webHidden/>
              </w:rPr>
              <w:tab/>
            </w:r>
            <w:r w:rsidR="00AD7D3D">
              <w:rPr>
                <w:webHidden/>
              </w:rPr>
              <w:fldChar w:fldCharType="begin"/>
            </w:r>
            <w:r w:rsidR="00AD7D3D">
              <w:rPr>
                <w:webHidden/>
              </w:rPr>
              <w:instrText xml:space="preserve"> PAGEREF _Toc138059690 \h </w:instrText>
            </w:r>
            <w:r w:rsidR="00AD7D3D">
              <w:rPr>
                <w:webHidden/>
              </w:rPr>
            </w:r>
            <w:r w:rsidR="00AD7D3D">
              <w:rPr>
                <w:webHidden/>
              </w:rPr>
              <w:fldChar w:fldCharType="separate"/>
            </w:r>
            <w:r w:rsidR="007637E8">
              <w:rPr>
                <w:webHidden/>
              </w:rPr>
              <w:t>10</w:t>
            </w:r>
            <w:r w:rsidR="00AD7D3D">
              <w:rPr>
                <w:webHidden/>
              </w:rPr>
              <w:fldChar w:fldCharType="end"/>
            </w:r>
          </w:hyperlink>
        </w:p>
        <w:p w14:paraId="3EB8D7B6" w14:textId="25DF9E4B" w:rsidR="00AD7D3D" w:rsidRDefault="008C25C5">
          <w:pPr>
            <w:pStyle w:val="TOC1"/>
            <w:rPr>
              <w:rFonts w:asciiTheme="minorHAnsi" w:eastAsiaTheme="minorEastAsia" w:hAnsiTheme="minorHAnsi"/>
              <w:sz w:val="22"/>
              <w:szCs w:val="22"/>
              <w:lang w:eastAsia="en-GB"/>
            </w:rPr>
          </w:pPr>
          <w:hyperlink w:anchor="_Toc138059691" w:history="1">
            <w:r w:rsidR="00AD7D3D" w:rsidRPr="009059B9">
              <w:rPr>
                <w:rStyle w:val="Hyperlink"/>
              </w:rPr>
              <w:t>10</w:t>
            </w:r>
            <w:r w:rsidR="00AD7D3D">
              <w:rPr>
                <w:rFonts w:asciiTheme="minorHAnsi" w:eastAsiaTheme="minorEastAsia" w:hAnsiTheme="minorHAnsi"/>
                <w:sz w:val="22"/>
                <w:szCs w:val="22"/>
                <w:lang w:eastAsia="en-GB"/>
              </w:rPr>
              <w:tab/>
            </w:r>
            <w:r w:rsidR="00AD7D3D" w:rsidRPr="009059B9">
              <w:rPr>
                <w:rStyle w:val="Hyperlink"/>
              </w:rPr>
              <w:t>Version Control</w:t>
            </w:r>
            <w:r w:rsidR="00AD7D3D">
              <w:rPr>
                <w:webHidden/>
              </w:rPr>
              <w:tab/>
            </w:r>
            <w:r w:rsidR="00AD7D3D">
              <w:rPr>
                <w:webHidden/>
              </w:rPr>
              <w:fldChar w:fldCharType="begin"/>
            </w:r>
            <w:r w:rsidR="00AD7D3D">
              <w:rPr>
                <w:webHidden/>
              </w:rPr>
              <w:instrText xml:space="preserve"> PAGEREF _Toc138059691 \h </w:instrText>
            </w:r>
            <w:r w:rsidR="00AD7D3D">
              <w:rPr>
                <w:webHidden/>
              </w:rPr>
            </w:r>
            <w:r w:rsidR="00AD7D3D">
              <w:rPr>
                <w:webHidden/>
              </w:rPr>
              <w:fldChar w:fldCharType="separate"/>
            </w:r>
            <w:r w:rsidR="007637E8">
              <w:rPr>
                <w:webHidden/>
              </w:rPr>
              <w:t>11</w:t>
            </w:r>
            <w:r w:rsidR="00AD7D3D">
              <w:rPr>
                <w:webHidden/>
              </w:rPr>
              <w:fldChar w:fldCharType="end"/>
            </w:r>
          </w:hyperlink>
        </w:p>
        <w:p w14:paraId="33FB1A61" w14:textId="543841EC" w:rsidR="00DF67AA" w:rsidRPr="002E4B12" w:rsidRDefault="00F91DD0" w:rsidP="002E4B12">
          <w:pPr>
            <w:pStyle w:val="TOC1"/>
          </w:pPr>
          <w:r>
            <w:rPr>
              <w:rFonts w:cs="Arial"/>
              <w:spacing w:val="7"/>
            </w:rPr>
            <w:fldChar w:fldCharType="end"/>
          </w:r>
        </w:p>
      </w:sdtContent>
    </w:sdt>
    <w:p w14:paraId="0AA86803" w14:textId="77777777" w:rsidR="00AD7D3D" w:rsidRDefault="00AD7D3D" w:rsidP="00AD7D3D">
      <w:pPr>
        <w:pStyle w:val="Text"/>
      </w:pPr>
    </w:p>
    <w:p w14:paraId="654935CB" w14:textId="77777777" w:rsidR="00AD7D3D" w:rsidRDefault="00AD7D3D" w:rsidP="00AD7D3D">
      <w:pPr>
        <w:pStyle w:val="Text"/>
      </w:pPr>
    </w:p>
    <w:p w14:paraId="05EB40B1" w14:textId="77777777" w:rsidR="00AD7D3D" w:rsidRDefault="00AD7D3D" w:rsidP="00AD7D3D">
      <w:pPr>
        <w:pStyle w:val="Text"/>
      </w:pPr>
    </w:p>
    <w:p w14:paraId="5DD5C479" w14:textId="77777777" w:rsidR="00AD7D3D" w:rsidRDefault="00AD7D3D" w:rsidP="00AD7D3D">
      <w:pPr>
        <w:pStyle w:val="Text"/>
      </w:pPr>
    </w:p>
    <w:p w14:paraId="4C613271" w14:textId="77777777" w:rsidR="00AD7D3D" w:rsidRDefault="00AD7D3D" w:rsidP="00AD7D3D">
      <w:pPr>
        <w:pStyle w:val="Text"/>
      </w:pPr>
    </w:p>
    <w:p w14:paraId="67CB736E" w14:textId="77777777" w:rsidR="00AD7D3D" w:rsidRDefault="00AD7D3D" w:rsidP="00AD7D3D">
      <w:pPr>
        <w:pStyle w:val="Text"/>
      </w:pPr>
    </w:p>
    <w:p w14:paraId="432FC2B8" w14:textId="3C224B1D" w:rsidR="009A0ED4" w:rsidRDefault="009A0ED4" w:rsidP="00D558F5">
      <w:pPr>
        <w:pStyle w:val="Heading1Numbered"/>
      </w:pPr>
      <w:bookmarkStart w:id="6" w:name="_Toc138059682"/>
      <w:r w:rsidRPr="00D558F5">
        <w:t>Introduction</w:t>
      </w:r>
      <w:bookmarkEnd w:id="6"/>
    </w:p>
    <w:p w14:paraId="3CBB1328" w14:textId="6316B4BE" w:rsidR="00AD7D3D" w:rsidRPr="002E4B12" w:rsidRDefault="00AD7D3D" w:rsidP="00AD7D3D">
      <w:pPr>
        <w:pStyle w:val="Text1Numbered"/>
      </w:pPr>
      <w:r w:rsidRPr="00AD7D3D">
        <w:t>MHA is committed to supporting work placement opportunities and recognises the value of welcoming people to discover more about Health and Social Care and the Charity Sector that MHA operates in and put their academic learning into skills development.</w:t>
      </w:r>
    </w:p>
    <w:p w14:paraId="3B3B465D" w14:textId="77777777" w:rsidR="002E4B12" w:rsidRDefault="009A0ED4" w:rsidP="002E4B12">
      <w:pPr>
        <w:pStyle w:val="Heading1Numbered"/>
      </w:pPr>
      <w:bookmarkStart w:id="7" w:name="_Toc138059683"/>
      <w:r w:rsidRPr="00EF3699">
        <w:t xml:space="preserve">Scope </w:t>
      </w:r>
      <w:r w:rsidR="001310BB" w:rsidRPr="00EF3699">
        <w:t>and</w:t>
      </w:r>
      <w:r w:rsidRPr="00EF3699">
        <w:t xml:space="preserve"> </w:t>
      </w:r>
      <w:r w:rsidRPr="00D558F5">
        <w:t>Purpose</w:t>
      </w:r>
      <w:bookmarkEnd w:id="7"/>
    </w:p>
    <w:p w14:paraId="6C074350" w14:textId="5491A1C2" w:rsidR="00D40DD9" w:rsidRPr="00AD7D3D" w:rsidRDefault="00AD7D3D" w:rsidP="00AD7D3D">
      <w:pPr>
        <w:pStyle w:val="Text1Numbered"/>
      </w:pPr>
      <w:r w:rsidRPr="00AD7D3D">
        <w:t xml:space="preserve">This policy is relevant for all colleagues across all MHA’s services. The purpose of this policy is to provide key information and guidance, and define roles and responsibilities for the successful implementation, </w:t>
      </w:r>
      <w:r w:rsidR="00275013" w:rsidRPr="00AD7D3D">
        <w:t>delivery,</w:t>
      </w:r>
      <w:r w:rsidRPr="00AD7D3D">
        <w:t xml:space="preserve"> and completion of work experience placements within MHA’s services.</w:t>
      </w:r>
    </w:p>
    <w:p w14:paraId="6DAE329F" w14:textId="77777777" w:rsidR="00DF67AA" w:rsidRPr="00EF3699" w:rsidRDefault="009A0ED4" w:rsidP="00EC4F61">
      <w:pPr>
        <w:pStyle w:val="Heading1Numbered"/>
      </w:pPr>
      <w:bookmarkStart w:id="8" w:name="_Toc138059684"/>
      <w:r w:rsidRPr="00EF3699">
        <w:t>Definitions</w:t>
      </w:r>
      <w:bookmarkEnd w:id="8"/>
    </w:p>
    <w:tbl>
      <w:tblPr>
        <w:tblStyle w:val="MHATable"/>
        <w:tblW w:w="0" w:type="auto"/>
        <w:tblLook w:val="04A0" w:firstRow="1" w:lastRow="0" w:firstColumn="1" w:lastColumn="0" w:noHBand="0" w:noVBand="1"/>
      </w:tblPr>
      <w:tblGrid>
        <w:gridCol w:w="2830"/>
        <w:gridCol w:w="6663"/>
      </w:tblGrid>
      <w:tr w:rsidR="00D40DD9" w:rsidRPr="004C3545" w14:paraId="642D0989" w14:textId="77777777" w:rsidTr="00737EDE">
        <w:trPr>
          <w:cnfStyle w:val="100000000000" w:firstRow="1" w:lastRow="0" w:firstColumn="0" w:lastColumn="0" w:oddVBand="0" w:evenVBand="0" w:oddHBand="0" w:evenHBand="0" w:firstRowFirstColumn="0" w:firstRowLastColumn="0" w:lastRowFirstColumn="0" w:lastRowLastColumn="0"/>
        </w:trPr>
        <w:tc>
          <w:tcPr>
            <w:tcW w:w="2830" w:type="dxa"/>
          </w:tcPr>
          <w:p w14:paraId="4ED8E097" w14:textId="77777777" w:rsidR="00D40DD9" w:rsidRPr="004C3545" w:rsidRDefault="00D40DD9" w:rsidP="00737EDE">
            <w:r>
              <w:t>Term</w:t>
            </w:r>
          </w:p>
        </w:tc>
        <w:tc>
          <w:tcPr>
            <w:tcW w:w="6663" w:type="dxa"/>
          </w:tcPr>
          <w:p w14:paraId="712CF12C" w14:textId="77777777" w:rsidR="00D40DD9" w:rsidRPr="004C3545" w:rsidRDefault="00D40DD9" w:rsidP="00737EDE">
            <w:r>
              <w:t>Definition</w:t>
            </w:r>
          </w:p>
        </w:tc>
      </w:tr>
      <w:tr w:rsidR="00AD7D3D" w:rsidRPr="004C3545" w14:paraId="1239AE80" w14:textId="77777777" w:rsidTr="00737EDE">
        <w:tc>
          <w:tcPr>
            <w:tcW w:w="2830" w:type="dxa"/>
          </w:tcPr>
          <w:p w14:paraId="2ED3C3FB" w14:textId="23862E5A" w:rsidR="00AD7D3D" w:rsidRPr="00AD7D3D" w:rsidRDefault="00AD7D3D" w:rsidP="00AD7D3D">
            <w:pPr>
              <w:rPr>
                <w:b/>
                <w:bCs/>
              </w:rPr>
            </w:pPr>
            <w:r w:rsidRPr="00AD7D3D">
              <w:rPr>
                <w:b/>
                <w:bCs/>
              </w:rPr>
              <w:t>Work Experience</w:t>
            </w:r>
          </w:p>
        </w:tc>
        <w:tc>
          <w:tcPr>
            <w:tcW w:w="6663" w:type="dxa"/>
          </w:tcPr>
          <w:p w14:paraId="0D124DA7" w14:textId="6DACFB26" w:rsidR="00AD7D3D" w:rsidRPr="004C3545" w:rsidRDefault="00AD7D3D" w:rsidP="00AD7D3D">
            <w:r w:rsidRPr="00A901B4">
              <w:t>A specified period of time during which a person works in an organisation during which they have an opportunity to learn about working life and the working environment. This could be undertaking particular tasks or simply observing.</w:t>
            </w:r>
          </w:p>
        </w:tc>
      </w:tr>
      <w:tr w:rsidR="00AD7D3D" w:rsidRPr="004C3545" w14:paraId="5C4636C0" w14:textId="77777777" w:rsidTr="00737EDE">
        <w:tc>
          <w:tcPr>
            <w:tcW w:w="2830" w:type="dxa"/>
          </w:tcPr>
          <w:p w14:paraId="49E82C22" w14:textId="74FF3F24" w:rsidR="00AD7D3D" w:rsidRPr="00AD7D3D" w:rsidRDefault="00AD7D3D" w:rsidP="00AD7D3D">
            <w:pPr>
              <w:rPr>
                <w:b/>
                <w:bCs/>
              </w:rPr>
            </w:pPr>
            <w:r w:rsidRPr="00AD7D3D">
              <w:rPr>
                <w:b/>
                <w:bCs/>
              </w:rPr>
              <w:t>Work Placement</w:t>
            </w:r>
          </w:p>
        </w:tc>
        <w:tc>
          <w:tcPr>
            <w:tcW w:w="6663" w:type="dxa"/>
          </w:tcPr>
          <w:p w14:paraId="6AF1E0B4" w14:textId="64AA1A4F" w:rsidR="00AD7D3D" w:rsidRPr="004C3545" w:rsidRDefault="00AD7D3D" w:rsidP="00AD7D3D">
            <w:r w:rsidRPr="00AD7D3D">
              <w:t>A more considered period of pre-career full time work experience</w:t>
            </w:r>
          </w:p>
        </w:tc>
      </w:tr>
      <w:tr w:rsidR="00AD7D3D" w:rsidRPr="004C3545" w14:paraId="14461CFA" w14:textId="77777777" w:rsidTr="00737EDE">
        <w:tc>
          <w:tcPr>
            <w:tcW w:w="2830" w:type="dxa"/>
          </w:tcPr>
          <w:p w14:paraId="30D415A3" w14:textId="332D14B2" w:rsidR="00AD7D3D" w:rsidRPr="00AD7D3D" w:rsidRDefault="00AD7D3D" w:rsidP="00AD7D3D">
            <w:pPr>
              <w:rPr>
                <w:b/>
                <w:bCs/>
              </w:rPr>
            </w:pPr>
            <w:r w:rsidRPr="00AD7D3D">
              <w:rPr>
                <w:b/>
                <w:bCs/>
              </w:rPr>
              <w:t>Placement Organiser</w:t>
            </w:r>
          </w:p>
        </w:tc>
        <w:tc>
          <w:tcPr>
            <w:tcW w:w="6663" w:type="dxa"/>
          </w:tcPr>
          <w:p w14:paraId="534EE222" w14:textId="205F268F" w:rsidR="00AD7D3D" w:rsidRPr="00AD7D3D" w:rsidRDefault="00AD7D3D" w:rsidP="00AD7D3D">
            <w:r w:rsidRPr="00AD7D3D">
              <w:t xml:space="preserve">This is usually the educational establishment or employability scheme that organises the employer placement and will therefore want to check health and safety and risk assessment arrangements with the home, </w:t>
            </w:r>
            <w:r w:rsidR="00275013" w:rsidRPr="00AD7D3D">
              <w:t>scheme,</w:t>
            </w:r>
            <w:r w:rsidRPr="00AD7D3D">
              <w:t xml:space="preserve"> or department.</w:t>
            </w:r>
          </w:p>
        </w:tc>
      </w:tr>
      <w:tr w:rsidR="00AD7D3D" w:rsidRPr="004C3545" w14:paraId="303AEDFA" w14:textId="77777777" w:rsidTr="00737EDE">
        <w:tc>
          <w:tcPr>
            <w:tcW w:w="2830" w:type="dxa"/>
          </w:tcPr>
          <w:p w14:paraId="60D26880" w14:textId="4A7EC5B9" w:rsidR="00AD7D3D" w:rsidRPr="00AD7D3D" w:rsidRDefault="00AD7D3D" w:rsidP="00AD7D3D">
            <w:pPr>
              <w:rPr>
                <w:b/>
                <w:bCs/>
              </w:rPr>
            </w:pPr>
            <w:r w:rsidRPr="00AD7D3D">
              <w:rPr>
                <w:b/>
                <w:bCs/>
              </w:rPr>
              <w:t>Volunteer</w:t>
            </w:r>
          </w:p>
        </w:tc>
        <w:tc>
          <w:tcPr>
            <w:tcW w:w="6663" w:type="dxa"/>
          </w:tcPr>
          <w:p w14:paraId="4310EEF2" w14:textId="77777777" w:rsidR="00AD7D3D" w:rsidRDefault="00AD7D3D" w:rsidP="00AD7D3D">
            <w:r>
              <w:t>A person who voluntarily undertakes a service whilst having no legal concern or interest.</w:t>
            </w:r>
          </w:p>
          <w:p w14:paraId="02FFF3DC" w14:textId="53FCAA34" w:rsidR="00AD7D3D" w:rsidRPr="00AD7D3D" w:rsidRDefault="00AD7D3D" w:rsidP="00AD7D3D">
            <w:r>
              <w:t>Has an arrangement with MHA that does not entitle them to financial reward or benefit in kind for the activities they perform under this arrangement</w:t>
            </w:r>
            <w:r w:rsidR="00275013">
              <w:t xml:space="preserve">. </w:t>
            </w:r>
            <w:r>
              <w:t>Does not have to turn up for work if they don’t want to</w:t>
            </w:r>
            <w:r w:rsidR="00275013">
              <w:t xml:space="preserve">. </w:t>
            </w:r>
            <w:r>
              <w:t>Cannot be dismissed in the legal sense but they can have their position withdrawn.</w:t>
            </w:r>
          </w:p>
        </w:tc>
      </w:tr>
    </w:tbl>
    <w:p w14:paraId="2E974228" w14:textId="77777777" w:rsidR="00AD7D3D" w:rsidRDefault="00AD7D3D" w:rsidP="00903AA2">
      <w:pPr>
        <w:rPr>
          <w:rFonts w:cs="Arial"/>
          <w:spacing w:val="7"/>
        </w:rPr>
      </w:pPr>
    </w:p>
    <w:p w14:paraId="3BBD85CD" w14:textId="049BDBEA" w:rsidR="00D40DD9" w:rsidRDefault="00AD7D3D" w:rsidP="00D40DD9">
      <w:pPr>
        <w:pStyle w:val="Heading1Numbered"/>
      </w:pPr>
      <w:bookmarkStart w:id="9" w:name="_Toc138059685"/>
      <w:r>
        <w:t>Work Experience Placement Principles</w:t>
      </w:r>
      <w:bookmarkEnd w:id="9"/>
    </w:p>
    <w:p w14:paraId="15BED04D" w14:textId="77777777" w:rsidR="00AD7D3D" w:rsidRDefault="00AD7D3D" w:rsidP="00AD7D3D">
      <w:pPr>
        <w:pStyle w:val="Text1Numbered"/>
      </w:pPr>
      <w:r>
        <w:t>MHA only accepts students over the age of 18 years.</w:t>
      </w:r>
    </w:p>
    <w:p w14:paraId="5449E905" w14:textId="77777777" w:rsidR="00AD7D3D" w:rsidRDefault="00AD7D3D" w:rsidP="00AD7D3D">
      <w:pPr>
        <w:pStyle w:val="Text1Numbered"/>
        <w:numPr>
          <w:ilvl w:val="0"/>
          <w:numId w:val="0"/>
        </w:numPr>
        <w:ind w:left="1135"/>
      </w:pPr>
    </w:p>
    <w:p w14:paraId="327D56DC" w14:textId="4FD1B6AD" w:rsidR="00AD7D3D" w:rsidRDefault="00AD7D3D" w:rsidP="00AD7D3D">
      <w:pPr>
        <w:pStyle w:val="Text1Numbered"/>
      </w:pPr>
      <w:r>
        <w:t xml:space="preserve">Work experience placements must be formally agreed, </w:t>
      </w:r>
      <w:r w:rsidR="00275013">
        <w:t>planned,</w:t>
      </w:r>
      <w:r>
        <w:t xml:space="preserve"> and organised between MHA and the educational or employability established and not be ad hoc arrangements</w:t>
      </w:r>
      <w:r w:rsidR="00275013">
        <w:t xml:space="preserve">. </w:t>
      </w:r>
      <w:r>
        <w:t>This ensures the safety of the student, MHA and our residents and members.</w:t>
      </w:r>
    </w:p>
    <w:p w14:paraId="0D79FAEF" w14:textId="77777777" w:rsidR="00AD7D3D" w:rsidRDefault="00AD7D3D" w:rsidP="00AD7D3D">
      <w:pPr>
        <w:pStyle w:val="Text1Numbered"/>
        <w:numPr>
          <w:ilvl w:val="0"/>
          <w:numId w:val="0"/>
        </w:numPr>
        <w:ind w:left="1135"/>
      </w:pPr>
    </w:p>
    <w:p w14:paraId="1B9C6178" w14:textId="43E39265" w:rsidR="00AD7D3D" w:rsidRDefault="00AD7D3D" w:rsidP="00AD7D3D">
      <w:pPr>
        <w:pStyle w:val="Text1Numbered"/>
      </w:pPr>
      <w:r>
        <w:t xml:space="preserve">MHA is regularly approached by schools, </w:t>
      </w:r>
      <w:r w:rsidR="00275013">
        <w:t>colleges,</w:t>
      </w:r>
      <w:r>
        <w:t xml:space="preserve"> and universities to request placements for students for work experience or to enable them to complete activities towards Duke of Edinburgh Awards etc. </w:t>
      </w:r>
    </w:p>
    <w:p w14:paraId="5953E660" w14:textId="77777777" w:rsidR="00AD7D3D" w:rsidRDefault="00AD7D3D" w:rsidP="00AD7D3D">
      <w:pPr>
        <w:pStyle w:val="Text1Numbered"/>
        <w:numPr>
          <w:ilvl w:val="0"/>
          <w:numId w:val="0"/>
        </w:numPr>
        <w:ind w:left="1135"/>
      </w:pPr>
    </w:p>
    <w:p w14:paraId="02B9CA0B" w14:textId="5BAC8FBF" w:rsidR="00AD7D3D" w:rsidRDefault="00AD7D3D" w:rsidP="00AD7D3D">
      <w:pPr>
        <w:pStyle w:val="Text1Numbered"/>
      </w:pPr>
      <w:r>
        <w:t>Students on work experience placements are normally given the opportunity to undertake a particular role whilst being directly supervised by a person(s) who is (are) employed by MHA in the same role, a work experience student must not undertake tasks without supervision</w:t>
      </w:r>
      <w:r w:rsidR="00275013">
        <w:t xml:space="preserve">. </w:t>
      </w:r>
      <w:r>
        <w:t>The Manager must assume overall responsibility for the placement.</w:t>
      </w:r>
    </w:p>
    <w:p w14:paraId="2C88C151" w14:textId="77777777" w:rsidR="00AD7D3D" w:rsidRDefault="00AD7D3D" w:rsidP="00AD7D3D">
      <w:pPr>
        <w:pStyle w:val="Text1Numbered"/>
        <w:numPr>
          <w:ilvl w:val="0"/>
          <w:numId w:val="0"/>
        </w:numPr>
        <w:ind w:left="1135"/>
      </w:pPr>
    </w:p>
    <w:p w14:paraId="156D188C" w14:textId="77777777" w:rsidR="00AD7D3D" w:rsidRDefault="00AD7D3D" w:rsidP="00AD7D3D">
      <w:pPr>
        <w:pStyle w:val="Text1Numbered"/>
      </w:pPr>
      <w:r>
        <w:t>Students may find themselves outside the disciplined educational environment, in the company of strangers and with unfamiliar chains of command. They may be particularly at risk from:</w:t>
      </w:r>
    </w:p>
    <w:p w14:paraId="15536E5B" w14:textId="77777777" w:rsidR="00AD7D3D" w:rsidRDefault="00AD7D3D" w:rsidP="00AD7D3D">
      <w:pPr>
        <w:pStyle w:val="Textlistindented-bullet"/>
      </w:pPr>
      <w:r>
        <w:t>their possible physical and psychological immaturity and inexperience of work</w:t>
      </w:r>
    </w:p>
    <w:p w14:paraId="3CBD5514" w14:textId="77777777" w:rsidR="00AD7D3D" w:rsidRDefault="00AD7D3D" w:rsidP="00AD7D3D">
      <w:pPr>
        <w:pStyle w:val="Textlistindented-bullet"/>
      </w:pPr>
      <w:r>
        <w:t>being unaware of the potential risks to their health and safety – both from the tasks they will be doing and from their working environment,</w:t>
      </w:r>
    </w:p>
    <w:p w14:paraId="4675A6B3" w14:textId="77777777" w:rsidR="00AD7D3D" w:rsidRDefault="00AD7D3D" w:rsidP="00AD7D3D">
      <w:pPr>
        <w:pStyle w:val="Textlistindented-bullet"/>
      </w:pPr>
      <w:r>
        <w:t>being eager to impress or please other people.</w:t>
      </w:r>
    </w:p>
    <w:p w14:paraId="2A88F0FA" w14:textId="77777777" w:rsidR="00AD7D3D" w:rsidRDefault="00AD7D3D" w:rsidP="00AD7D3D">
      <w:pPr>
        <w:pStyle w:val="Text1Numbered"/>
        <w:numPr>
          <w:ilvl w:val="0"/>
          <w:numId w:val="0"/>
        </w:numPr>
        <w:ind w:left="1135"/>
      </w:pPr>
    </w:p>
    <w:p w14:paraId="70C2E110" w14:textId="5FDE0EE4" w:rsidR="00D40DD9" w:rsidRPr="00D40DD9" w:rsidRDefault="00AD7D3D" w:rsidP="00FB1088">
      <w:pPr>
        <w:pStyle w:val="Text1Numbered"/>
      </w:pPr>
      <w:r>
        <w:t xml:space="preserve">Should students wish to complete a research project at MHA to support a qualification they are studying they will be required to complete and submit form Request for MHA Participation in Research, which will then be reviewed by our Research Committee (refer to Research Policy, </w:t>
      </w:r>
      <w:r w:rsidR="00737421">
        <w:t>G108</w:t>
      </w:r>
      <w:r>
        <w:t xml:space="preserve"> for more information).</w:t>
      </w:r>
    </w:p>
    <w:p w14:paraId="7F41099C" w14:textId="77777777" w:rsidR="00A92CD7" w:rsidRPr="004C3545" w:rsidRDefault="009A0ED4" w:rsidP="00914FC1">
      <w:pPr>
        <w:pStyle w:val="Heading1Numbered"/>
      </w:pPr>
      <w:bookmarkStart w:id="10" w:name="_Toc138059686"/>
      <w:r w:rsidRPr="004C3545">
        <w:t xml:space="preserve">Roles </w:t>
      </w:r>
      <w:r w:rsidR="001310BB">
        <w:t>and</w:t>
      </w:r>
      <w:r w:rsidRPr="004C3545">
        <w:t xml:space="preserve"> Responsibilities</w:t>
      </w:r>
      <w:bookmarkEnd w:id="10"/>
    </w:p>
    <w:tbl>
      <w:tblPr>
        <w:tblStyle w:val="MHATable"/>
        <w:tblW w:w="0" w:type="auto"/>
        <w:tblLook w:val="04A0" w:firstRow="1" w:lastRow="0" w:firstColumn="1" w:lastColumn="0" w:noHBand="0" w:noVBand="1"/>
      </w:tblPr>
      <w:tblGrid>
        <w:gridCol w:w="2263"/>
        <w:gridCol w:w="7230"/>
      </w:tblGrid>
      <w:tr w:rsidR="00A92CD7" w:rsidRPr="004C3545" w14:paraId="640EB5E2" w14:textId="77777777" w:rsidTr="00AD7D3D">
        <w:trPr>
          <w:cnfStyle w:val="100000000000" w:firstRow="1" w:lastRow="0" w:firstColumn="0" w:lastColumn="0" w:oddVBand="0" w:evenVBand="0" w:oddHBand="0" w:evenHBand="0" w:firstRowFirstColumn="0" w:firstRowLastColumn="0" w:lastRowFirstColumn="0" w:lastRowLastColumn="0"/>
        </w:trPr>
        <w:tc>
          <w:tcPr>
            <w:tcW w:w="2263" w:type="dxa"/>
          </w:tcPr>
          <w:p w14:paraId="7D1AADF7" w14:textId="77777777" w:rsidR="00A92CD7" w:rsidRPr="004C3545" w:rsidRDefault="00A92CD7" w:rsidP="002D47FD">
            <w:r w:rsidRPr="004C3545">
              <w:t>Role</w:t>
            </w:r>
          </w:p>
        </w:tc>
        <w:tc>
          <w:tcPr>
            <w:tcW w:w="7230" w:type="dxa"/>
          </w:tcPr>
          <w:p w14:paraId="0390C629" w14:textId="77777777" w:rsidR="00A92CD7" w:rsidRPr="004C3545" w:rsidRDefault="00A92CD7" w:rsidP="002D47FD">
            <w:r w:rsidRPr="004C3545">
              <w:t>Responsibilities</w:t>
            </w:r>
          </w:p>
        </w:tc>
      </w:tr>
      <w:tr w:rsidR="00AD7D3D" w:rsidRPr="004C3545" w14:paraId="742966D8" w14:textId="77777777" w:rsidTr="00AD7D3D">
        <w:tc>
          <w:tcPr>
            <w:tcW w:w="2263" w:type="dxa"/>
          </w:tcPr>
          <w:p w14:paraId="236498A3" w14:textId="590B3D63" w:rsidR="00AD7D3D" w:rsidRPr="00AD7D3D" w:rsidRDefault="00AD7D3D" w:rsidP="00AD7D3D">
            <w:pPr>
              <w:rPr>
                <w:b/>
                <w:bCs/>
              </w:rPr>
            </w:pPr>
            <w:bookmarkStart w:id="11" w:name="_Hlk138320378"/>
            <w:r w:rsidRPr="00AD7D3D">
              <w:rPr>
                <w:b/>
                <w:bCs/>
              </w:rPr>
              <w:t>Work Experience Learner</w:t>
            </w:r>
          </w:p>
        </w:tc>
        <w:tc>
          <w:tcPr>
            <w:tcW w:w="7230" w:type="dxa"/>
          </w:tcPr>
          <w:p w14:paraId="7618E723" w14:textId="371CD01F" w:rsidR="00AD7D3D" w:rsidRPr="00AD7D3D" w:rsidRDefault="00AD7D3D" w:rsidP="00AD7D3D">
            <w:pPr>
              <w:rPr>
                <w:b/>
                <w:bCs/>
              </w:rPr>
            </w:pPr>
            <w:r w:rsidRPr="00AD7D3D">
              <w:rPr>
                <w:b/>
                <w:bCs/>
              </w:rPr>
              <w:t xml:space="preserve">Health </w:t>
            </w:r>
            <w:r>
              <w:rPr>
                <w:b/>
                <w:bCs/>
              </w:rPr>
              <w:t>and</w:t>
            </w:r>
            <w:r w:rsidRPr="00AD7D3D">
              <w:rPr>
                <w:b/>
                <w:bCs/>
              </w:rPr>
              <w:t xml:space="preserve"> Safety for the Learner</w:t>
            </w:r>
          </w:p>
          <w:p w14:paraId="198FDA11" w14:textId="448EC31B" w:rsidR="00AD7D3D" w:rsidRDefault="00AD7D3D" w:rsidP="00AD7D3D">
            <w:pPr>
              <w:pStyle w:val="Textlist-bullet"/>
              <w:spacing w:before="0"/>
            </w:pPr>
            <w:r>
              <w:t xml:space="preserve">Students participating in work experience have the same duties as other </w:t>
            </w:r>
            <w:r w:rsidR="00275013">
              <w:t>colleagues</w:t>
            </w:r>
            <w:r>
              <w:t xml:space="preserve"> in the workplace - it is important that they understand these duties: see MHA’s Health and Safety Policies.</w:t>
            </w:r>
          </w:p>
          <w:p w14:paraId="5EB630F8" w14:textId="74A3BF4E" w:rsidR="00AD7D3D" w:rsidRDefault="00AD7D3D" w:rsidP="00AD7D3D">
            <w:pPr>
              <w:pStyle w:val="Textlist-bullet"/>
            </w:pPr>
            <w:r>
              <w:t>Students will be expected to co-operate by completing appropriate health and safety induction training relevant to the role they will be undertaking</w:t>
            </w:r>
            <w:r w:rsidR="00275013">
              <w:t xml:space="preserve">. </w:t>
            </w:r>
            <w:r>
              <w:t xml:space="preserve">Further information can be found in the Work Placement Information Pack </w:t>
            </w:r>
            <w:r w:rsidR="008C470E">
              <w:t>[HR6.8a].</w:t>
            </w:r>
          </w:p>
          <w:p w14:paraId="0E818339" w14:textId="77777777" w:rsidR="00AD7D3D" w:rsidRPr="00AD7D3D" w:rsidRDefault="00AD7D3D" w:rsidP="00AD7D3D">
            <w:pPr>
              <w:rPr>
                <w:b/>
                <w:bCs/>
              </w:rPr>
            </w:pPr>
            <w:r w:rsidRPr="00AD7D3D">
              <w:rPr>
                <w:b/>
                <w:bCs/>
              </w:rPr>
              <w:t>Additional Support Arrangements</w:t>
            </w:r>
          </w:p>
          <w:p w14:paraId="6790A9A4" w14:textId="77777777" w:rsidR="00AD7D3D" w:rsidRDefault="00AD7D3D" w:rsidP="00AD7D3D">
            <w:pPr>
              <w:pStyle w:val="Textlist-bullet"/>
              <w:spacing w:before="0"/>
            </w:pPr>
            <w:r>
              <w:t>An EHCP is an Education, Health &amp; Care Plan and is a legal document which describes a young person’s special educational needs, the support they need, and the outcomes they would like to achieve. This can be in place up to age 25.</w:t>
            </w:r>
          </w:p>
          <w:p w14:paraId="33F73AC1" w14:textId="77777777" w:rsidR="00AD7D3D" w:rsidRDefault="00AD7D3D" w:rsidP="00AD7D3D">
            <w:pPr>
              <w:pStyle w:val="Textlist-bullet"/>
              <w:spacing w:before="0"/>
            </w:pPr>
            <w:r>
              <w:t xml:space="preserve">If an EHCP is in place, learners and or their parent/guardian can help by providing any relevant information about </w:t>
            </w:r>
            <w:r w:rsidR="00B92C06">
              <w:t>their</w:t>
            </w:r>
            <w:r>
              <w:t xml:space="preserve"> medical or behavioural conditions if they are subject to an EHCP so that MHA can support them effectively in the workplace.</w:t>
            </w:r>
          </w:p>
          <w:p w14:paraId="74146701" w14:textId="71ABFBC8" w:rsidR="007C73D5" w:rsidRDefault="007C73D5" w:rsidP="00AD7D3D">
            <w:pPr>
              <w:pStyle w:val="Textlist-bullet"/>
              <w:spacing w:before="0"/>
            </w:pPr>
            <w:r>
              <w:t xml:space="preserve">A full risk assessment must take place to ensure when an EHCP is in place, even for learners over 18, to ensure that all potential risk have been identified and managed. </w:t>
            </w:r>
          </w:p>
          <w:p w14:paraId="555332E0" w14:textId="2C6FDC8C" w:rsidR="007C73D5" w:rsidRDefault="007C73D5" w:rsidP="00AD7D3D">
            <w:pPr>
              <w:pStyle w:val="Textlist-bullet"/>
              <w:spacing w:before="0"/>
            </w:pPr>
            <w:r>
              <w:t>In some circumstances, where risk cannot be sufficiently managed, the placement should not be offered.</w:t>
            </w:r>
          </w:p>
          <w:p w14:paraId="65407084" w14:textId="3341B9F8" w:rsidR="00B92C06" w:rsidRPr="004C3545" w:rsidRDefault="00B92C06" w:rsidP="00B92C06">
            <w:pPr>
              <w:pStyle w:val="Textlist-bullet"/>
              <w:numPr>
                <w:ilvl w:val="0"/>
                <w:numId w:val="0"/>
              </w:numPr>
              <w:spacing w:before="0"/>
              <w:ind w:left="357"/>
            </w:pPr>
          </w:p>
        </w:tc>
      </w:tr>
      <w:tr w:rsidR="00772CA5" w:rsidRPr="004C3545" w14:paraId="6FFA557C" w14:textId="77777777" w:rsidTr="00AD7D3D">
        <w:tc>
          <w:tcPr>
            <w:tcW w:w="2263" w:type="dxa"/>
          </w:tcPr>
          <w:p w14:paraId="735B6613" w14:textId="77777777" w:rsidR="00772CA5" w:rsidRPr="00AD7D3D" w:rsidRDefault="00772CA5" w:rsidP="00772CA5">
            <w:pPr>
              <w:rPr>
                <w:b/>
                <w:bCs/>
              </w:rPr>
            </w:pPr>
            <w:r w:rsidRPr="00AD7D3D">
              <w:rPr>
                <w:rFonts w:cs="Arial"/>
                <w:b/>
                <w:bCs/>
                <w:szCs w:val="22"/>
              </w:rPr>
              <w:t>Line Management</w:t>
            </w:r>
          </w:p>
        </w:tc>
        <w:tc>
          <w:tcPr>
            <w:tcW w:w="7230" w:type="dxa"/>
          </w:tcPr>
          <w:p w14:paraId="2F916DB9" w14:textId="77777777" w:rsidR="00AD7D3D" w:rsidRPr="00AD7D3D" w:rsidRDefault="00AD7D3D" w:rsidP="00AD7D3D">
            <w:pPr>
              <w:rPr>
                <w:b/>
                <w:bCs/>
              </w:rPr>
            </w:pPr>
            <w:r w:rsidRPr="00AD7D3D">
              <w:rPr>
                <w:b/>
                <w:bCs/>
              </w:rPr>
              <w:t>Requirements</w:t>
            </w:r>
          </w:p>
          <w:p w14:paraId="33705464" w14:textId="7788E65F" w:rsidR="00AD7D3D" w:rsidRDefault="00AD7D3D" w:rsidP="00AD7D3D">
            <w:pPr>
              <w:pStyle w:val="Textlist-bullet"/>
              <w:spacing w:before="0"/>
            </w:pPr>
            <w:r>
              <w:t>An Enhanced DBS check may be required for any learner on work experience placement at MHA – depending on the location in which they are working and the tasks they will be undertaking</w:t>
            </w:r>
            <w:r w:rsidR="00275013">
              <w:t xml:space="preserve">. </w:t>
            </w:r>
          </w:p>
          <w:p w14:paraId="77DA5B73" w14:textId="03AD3256" w:rsidR="00AD7D3D" w:rsidRDefault="00AD7D3D" w:rsidP="00AD7D3D">
            <w:pPr>
              <w:pStyle w:val="Textlist-bullet"/>
              <w:spacing w:before="0"/>
            </w:pPr>
            <w:r>
              <w:t>This check is normally provided by the training provider, remember it can take time to arrive and must be completed by the training provider in sufficient time for the placement</w:t>
            </w:r>
            <w:r w:rsidR="00275013">
              <w:t xml:space="preserve">. </w:t>
            </w:r>
          </w:p>
          <w:p w14:paraId="5EA2ECD8" w14:textId="77777777" w:rsidR="00AD7D3D" w:rsidRDefault="00AD7D3D" w:rsidP="00AD7D3D">
            <w:pPr>
              <w:pStyle w:val="Textlist-bullet"/>
              <w:spacing w:before="0"/>
            </w:pPr>
            <w:r>
              <w:t>For more information and guidance on DBS checks refer to policy – HR4.13</w:t>
            </w:r>
          </w:p>
          <w:p w14:paraId="65953B32" w14:textId="1C7F3C88" w:rsidR="00AD7D3D" w:rsidRDefault="00AD7D3D" w:rsidP="00AD7D3D">
            <w:pPr>
              <w:pStyle w:val="Textlist-bullet"/>
            </w:pPr>
            <w:r>
              <w:t>Managers must ensure that the following documents are completed prior to or on day 1 of the work experience placement</w:t>
            </w:r>
            <w:r w:rsidR="007637E8">
              <w:t>. Completed documents are to be kept at the location of the placement (</w:t>
            </w:r>
            <w:proofErr w:type="gramStart"/>
            <w:r w:rsidR="007637E8">
              <w:t>e.g.</w:t>
            </w:r>
            <w:proofErr w:type="gramEnd"/>
            <w:r w:rsidR="007637E8">
              <w:t xml:space="preserve"> home or scheme)</w:t>
            </w:r>
            <w:r>
              <w:t>:</w:t>
            </w:r>
          </w:p>
          <w:p w14:paraId="15AC1FB5" w14:textId="77777777" w:rsidR="00AD7D3D" w:rsidRDefault="00AD7D3D" w:rsidP="00AD7D3D">
            <w:pPr>
              <w:pStyle w:val="Textlist-letters"/>
              <w:spacing w:before="0"/>
            </w:pPr>
            <w:r>
              <w:t>IG003a – Data Subject Rights Colleagues Privacy Notice</w:t>
            </w:r>
          </w:p>
          <w:p w14:paraId="2D832B5F" w14:textId="75B34084" w:rsidR="00AD7D3D" w:rsidRDefault="00AD7D3D" w:rsidP="00AD7D3D">
            <w:pPr>
              <w:pStyle w:val="Textlist-letters"/>
            </w:pPr>
            <w:r>
              <w:t>Work Experience Placement Agreement</w:t>
            </w:r>
            <w:r w:rsidR="008C470E">
              <w:t xml:space="preserve"> [HR6.8b].</w:t>
            </w:r>
          </w:p>
          <w:p w14:paraId="5775B92E" w14:textId="3CE2C385" w:rsidR="00AD7D3D" w:rsidRPr="00AD7D3D" w:rsidRDefault="00AD7D3D" w:rsidP="00AD7D3D">
            <w:pPr>
              <w:rPr>
                <w:b/>
                <w:bCs/>
              </w:rPr>
            </w:pPr>
            <w:r w:rsidRPr="00AD7D3D">
              <w:rPr>
                <w:b/>
                <w:bCs/>
              </w:rPr>
              <w:t xml:space="preserve">MHA Health </w:t>
            </w:r>
            <w:r>
              <w:rPr>
                <w:b/>
                <w:bCs/>
              </w:rPr>
              <w:t>and</w:t>
            </w:r>
            <w:r w:rsidRPr="00AD7D3D">
              <w:rPr>
                <w:b/>
                <w:bCs/>
              </w:rPr>
              <w:t xml:space="preserve"> Safety</w:t>
            </w:r>
          </w:p>
          <w:p w14:paraId="00717C7A" w14:textId="3BBDEE3C" w:rsidR="00AD7D3D" w:rsidRDefault="00AD7D3D" w:rsidP="00AD7D3D">
            <w:pPr>
              <w:pStyle w:val="Textlist-bullet"/>
              <w:spacing w:before="0"/>
            </w:pPr>
            <w:r>
              <w:t xml:space="preserve">Under the Health and Safety (Training for Employment) Regulations 1990, students participating in work experience are regarded as colleagues for the purposes of health and safety. This means that we must ensure, so far as is reasonably practicable, the health, </w:t>
            </w:r>
            <w:r w:rsidR="00275013">
              <w:t>safety,</w:t>
            </w:r>
            <w:r>
              <w:t xml:space="preserve"> and welfare at work of work experience students.</w:t>
            </w:r>
          </w:p>
          <w:p w14:paraId="68F4BEC3" w14:textId="6E48F87B" w:rsidR="00AD7D3D" w:rsidRDefault="00AD7D3D" w:rsidP="00AD7D3D">
            <w:pPr>
              <w:pStyle w:val="Textlist-bullet"/>
            </w:pPr>
            <w:r>
              <w:t>In addition, there are specific requirements in the Management of Health and Safety at Work Regulations, 1999 which mean that MHA has a duty to:</w:t>
            </w:r>
          </w:p>
          <w:p w14:paraId="2C30E181" w14:textId="77777777" w:rsidR="00AD7D3D" w:rsidRDefault="00AD7D3D" w:rsidP="00AD7D3D">
            <w:pPr>
              <w:pStyle w:val="Textlist-letters"/>
              <w:numPr>
                <w:ilvl w:val="0"/>
                <w:numId w:val="35"/>
              </w:numPr>
              <w:spacing w:before="0"/>
            </w:pPr>
            <w:r>
              <w:t>assess the risks to which students are exposed at work, before they start work placement at MHA</w:t>
            </w:r>
          </w:p>
          <w:p w14:paraId="353E7AE2" w14:textId="77777777" w:rsidR="00AD7D3D" w:rsidRDefault="00AD7D3D" w:rsidP="00AD7D3D">
            <w:pPr>
              <w:pStyle w:val="Textlist-letters"/>
              <w:numPr>
                <w:ilvl w:val="0"/>
                <w:numId w:val="35"/>
              </w:numPr>
              <w:spacing w:before="0"/>
            </w:pPr>
            <w:r>
              <w:t>ensure that the risk assessment takes special account of immaturity, inexperience, lack of awareness, etc.</w:t>
            </w:r>
          </w:p>
          <w:p w14:paraId="0268FA0F" w14:textId="77777777" w:rsidR="00AD7D3D" w:rsidRDefault="00AD7D3D" w:rsidP="00AD7D3D">
            <w:pPr>
              <w:pStyle w:val="Textlist-letters"/>
              <w:numPr>
                <w:ilvl w:val="0"/>
                <w:numId w:val="35"/>
              </w:numPr>
              <w:spacing w:before="0"/>
            </w:pPr>
            <w:r>
              <w:t>control the risks to a tolerable level</w:t>
            </w:r>
          </w:p>
          <w:p w14:paraId="1709F95E" w14:textId="480BA941" w:rsidR="00AD7D3D" w:rsidRDefault="00AD7D3D" w:rsidP="00AD7D3D">
            <w:pPr>
              <w:pStyle w:val="Textlist-letters"/>
              <w:numPr>
                <w:ilvl w:val="0"/>
                <w:numId w:val="35"/>
              </w:numPr>
            </w:pPr>
            <w:r>
              <w:t>provide adequate training and direct supervision</w:t>
            </w:r>
          </w:p>
          <w:p w14:paraId="3A72DE60" w14:textId="74C4AD67" w:rsidR="00AD7D3D" w:rsidRDefault="00AD7D3D" w:rsidP="00AD7D3D">
            <w:pPr>
              <w:pStyle w:val="Textlist-bullet"/>
            </w:pPr>
            <w:r>
              <w:t xml:space="preserve">These considerations should be straightforward in a low-risk workplace such as an office. However, in higher risk workplaces </w:t>
            </w:r>
            <w:r w:rsidR="00275013">
              <w:t>e.g.,</w:t>
            </w:r>
            <w:r>
              <w:t xml:space="preserve"> a care home, to ensure the protection (safeguarding) of people using our services the organiser of the placement may require a copy of any risk assessment which the manager carries out.</w:t>
            </w:r>
          </w:p>
          <w:p w14:paraId="63C9D3CD" w14:textId="77777777" w:rsidR="00AD7D3D" w:rsidRPr="00AD7D3D" w:rsidRDefault="00AD7D3D" w:rsidP="00AD7D3D">
            <w:pPr>
              <w:rPr>
                <w:b/>
                <w:bCs/>
              </w:rPr>
            </w:pPr>
            <w:r w:rsidRPr="00AD7D3D">
              <w:rPr>
                <w:b/>
                <w:bCs/>
              </w:rPr>
              <w:t>Induction &amp; Training</w:t>
            </w:r>
          </w:p>
          <w:p w14:paraId="101DE8F9" w14:textId="46A3B6BC" w:rsidR="00AD7D3D" w:rsidRDefault="00AD7D3D" w:rsidP="00AD7D3D">
            <w:pPr>
              <w:pStyle w:val="Textlist-bullet"/>
              <w:spacing w:before="0"/>
            </w:pPr>
            <w:r>
              <w:t xml:space="preserve">Homes and schemes must also complete a comprehensive induction with each student including any additional any role specific training they may require. Further information is included in the Work Placement Information Pack </w:t>
            </w:r>
            <w:r w:rsidR="008C470E">
              <w:t xml:space="preserve">[HR6.8a]. </w:t>
            </w:r>
            <w:r>
              <w:t>which can be found on the MHA intranet</w:t>
            </w:r>
          </w:p>
          <w:p w14:paraId="62C048D2" w14:textId="60DA4EA5" w:rsidR="00AD7D3D" w:rsidRDefault="00AD7D3D" w:rsidP="00AD7D3D">
            <w:pPr>
              <w:pStyle w:val="Textlist-bullet"/>
            </w:pPr>
            <w:r>
              <w:t>All home or scheme managers must ensure that any work experience/work placement student is able to complete mandatory learning on the Learning Zone</w:t>
            </w:r>
            <w:r w:rsidR="00275013">
              <w:t xml:space="preserve">. </w:t>
            </w:r>
            <w:r>
              <w:t>Managers will need to email: peopledevelopment@mha.org.uk with the following information prior to the learner starting on placement.</w:t>
            </w:r>
          </w:p>
          <w:p w14:paraId="49A53A0A" w14:textId="77777777" w:rsidR="00AD7D3D" w:rsidRDefault="00AD7D3D" w:rsidP="00AD7D3D">
            <w:pPr>
              <w:jc w:val="center"/>
            </w:pPr>
            <w:r>
              <w:t>Learner Name</w:t>
            </w:r>
          </w:p>
          <w:p w14:paraId="62B07D61" w14:textId="77777777" w:rsidR="00AD7D3D" w:rsidRDefault="00AD7D3D" w:rsidP="00AD7D3D">
            <w:pPr>
              <w:jc w:val="center"/>
            </w:pPr>
            <w:r>
              <w:t>Learner Email</w:t>
            </w:r>
          </w:p>
          <w:p w14:paraId="27C6D3B9" w14:textId="77777777" w:rsidR="00AD7D3D" w:rsidRDefault="00AD7D3D" w:rsidP="00AD7D3D">
            <w:pPr>
              <w:jc w:val="center"/>
            </w:pPr>
            <w:r>
              <w:t>Start Date</w:t>
            </w:r>
          </w:p>
          <w:p w14:paraId="11B51FC0" w14:textId="77777777" w:rsidR="00AD7D3D" w:rsidRDefault="00AD7D3D" w:rsidP="00AD7D3D">
            <w:pPr>
              <w:jc w:val="center"/>
            </w:pPr>
            <w:r>
              <w:t>End Date</w:t>
            </w:r>
          </w:p>
          <w:p w14:paraId="6C8FBD6C" w14:textId="77777777" w:rsidR="00AD7D3D" w:rsidRDefault="00AD7D3D" w:rsidP="00AD7D3D">
            <w:pPr>
              <w:jc w:val="center"/>
            </w:pPr>
            <w:r>
              <w:t>Manager Name</w:t>
            </w:r>
          </w:p>
          <w:p w14:paraId="6162CCAC" w14:textId="77777777" w:rsidR="00AD7D3D" w:rsidRDefault="00AD7D3D" w:rsidP="00AD7D3D">
            <w:pPr>
              <w:jc w:val="center"/>
            </w:pPr>
            <w:r>
              <w:t>Location Name</w:t>
            </w:r>
          </w:p>
          <w:p w14:paraId="0E45C8A3" w14:textId="77777777" w:rsidR="00B92C06" w:rsidRDefault="00B92C06" w:rsidP="00AD7D3D">
            <w:pPr>
              <w:jc w:val="center"/>
            </w:pPr>
          </w:p>
          <w:p w14:paraId="714299BB" w14:textId="12C26661" w:rsidR="00AD7D3D" w:rsidRDefault="00AD7D3D" w:rsidP="00AD7D3D">
            <w:pPr>
              <w:pStyle w:val="Textlist-bullet"/>
            </w:pPr>
            <w:r>
              <w:t xml:space="preserve">This will enable the allocation of mandatory training on Altura, which includes: </w:t>
            </w:r>
          </w:p>
          <w:p w14:paraId="3E2D8294" w14:textId="77777777" w:rsidR="00AD7D3D" w:rsidRDefault="00AD7D3D" w:rsidP="00AD7D3D">
            <w:pPr>
              <w:pStyle w:val="Textlist-letters"/>
              <w:numPr>
                <w:ilvl w:val="0"/>
                <w:numId w:val="36"/>
              </w:numPr>
              <w:spacing w:before="0"/>
            </w:pPr>
            <w:r>
              <w:t>Confidentiality &amp; Information Handling</w:t>
            </w:r>
          </w:p>
          <w:p w14:paraId="79E19A22" w14:textId="77777777" w:rsidR="00AD7D3D" w:rsidRDefault="00AD7D3D" w:rsidP="00AD7D3D">
            <w:pPr>
              <w:pStyle w:val="Textlist-letters"/>
              <w:numPr>
                <w:ilvl w:val="0"/>
                <w:numId w:val="36"/>
              </w:numPr>
              <w:spacing w:before="0"/>
            </w:pPr>
            <w:r>
              <w:t xml:space="preserve">Health &amp; Safety Essentials  </w:t>
            </w:r>
          </w:p>
          <w:p w14:paraId="5F9AD557" w14:textId="77777777" w:rsidR="00AD7D3D" w:rsidRDefault="00AD7D3D" w:rsidP="00AD7D3D">
            <w:pPr>
              <w:pStyle w:val="Textlist-letters"/>
              <w:numPr>
                <w:ilvl w:val="0"/>
                <w:numId w:val="36"/>
              </w:numPr>
              <w:spacing w:before="0"/>
            </w:pPr>
            <w:r>
              <w:t>Safeguarding Adults</w:t>
            </w:r>
          </w:p>
          <w:p w14:paraId="0ADB8DAC" w14:textId="77777777" w:rsidR="00AD7D3D" w:rsidRDefault="00AD7D3D" w:rsidP="00AD7D3D">
            <w:pPr>
              <w:pStyle w:val="Textlist-letters"/>
              <w:numPr>
                <w:ilvl w:val="0"/>
                <w:numId w:val="36"/>
              </w:numPr>
              <w:spacing w:before="0"/>
            </w:pPr>
            <w:r>
              <w:t>Safeguarding Children</w:t>
            </w:r>
          </w:p>
          <w:p w14:paraId="0C471299" w14:textId="77777777" w:rsidR="00AD7D3D" w:rsidRDefault="00AD7D3D" w:rsidP="00AD7D3D">
            <w:pPr>
              <w:pStyle w:val="Textlist-letters"/>
              <w:numPr>
                <w:ilvl w:val="0"/>
                <w:numId w:val="36"/>
              </w:numPr>
              <w:spacing w:before="0"/>
            </w:pPr>
            <w:r>
              <w:t>Equality, Diversity &amp; Inclusion</w:t>
            </w:r>
          </w:p>
          <w:p w14:paraId="31F39E08" w14:textId="77777777" w:rsidR="00AD7D3D" w:rsidRDefault="00AD7D3D" w:rsidP="00AD7D3D">
            <w:pPr>
              <w:pStyle w:val="Textlist-letters"/>
              <w:numPr>
                <w:ilvl w:val="0"/>
                <w:numId w:val="36"/>
              </w:numPr>
              <w:spacing w:before="0"/>
            </w:pPr>
            <w:r>
              <w:t>Fire Safety Awareness</w:t>
            </w:r>
          </w:p>
          <w:p w14:paraId="07532ADA" w14:textId="77777777" w:rsidR="00AD7D3D" w:rsidRDefault="00AD7D3D" w:rsidP="00AD7D3D">
            <w:pPr>
              <w:pStyle w:val="Textlist-letters"/>
              <w:numPr>
                <w:ilvl w:val="0"/>
                <w:numId w:val="36"/>
              </w:numPr>
              <w:spacing w:before="0"/>
            </w:pPr>
            <w:r>
              <w:t>Infection Control</w:t>
            </w:r>
          </w:p>
          <w:p w14:paraId="715D9BFC" w14:textId="77777777" w:rsidR="00AD7D3D" w:rsidRDefault="00AD7D3D" w:rsidP="00AD7D3D">
            <w:pPr>
              <w:pStyle w:val="Textlist-letters"/>
              <w:numPr>
                <w:ilvl w:val="0"/>
                <w:numId w:val="36"/>
              </w:numPr>
              <w:spacing w:before="0"/>
            </w:pPr>
            <w:r>
              <w:t xml:space="preserve">Dementia: An Introduction </w:t>
            </w:r>
          </w:p>
          <w:p w14:paraId="18701854" w14:textId="67275345" w:rsidR="00AD7D3D" w:rsidRDefault="00AD7D3D" w:rsidP="00AD7D3D">
            <w:pPr>
              <w:pStyle w:val="Textlist-letters"/>
              <w:numPr>
                <w:ilvl w:val="0"/>
                <w:numId w:val="36"/>
              </w:numPr>
            </w:pPr>
            <w:r>
              <w:t>Manual Handling</w:t>
            </w:r>
          </w:p>
          <w:p w14:paraId="1BA33002" w14:textId="77777777" w:rsidR="00AD7D3D" w:rsidRDefault="00AD7D3D" w:rsidP="00AD7D3D">
            <w:pPr>
              <w:pStyle w:val="Textlist-bullet"/>
              <w:spacing w:before="0"/>
            </w:pPr>
            <w:r>
              <w:t>Managers must ensure they provide any additional,  placement specific health and safety information and instruction and make sure that the student understands that they have a duty to:</w:t>
            </w:r>
          </w:p>
          <w:p w14:paraId="6119F974" w14:textId="77777777" w:rsidR="00AD7D3D" w:rsidRDefault="00AD7D3D" w:rsidP="00AD7D3D">
            <w:pPr>
              <w:pStyle w:val="Textlist-letters"/>
              <w:numPr>
                <w:ilvl w:val="0"/>
                <w:numId w:val="37"/>
              </w:numPr>
              <w:spacing w:before="0"/>
            </w:pPr>
            <w:r>
              <w:t>take reasonable care of their own health and safety and that of other people who may be affected by their actions,</w:t>
            </w:r>
          </w:p>
          <w:p w14:paraId="69ABCC0F" w14:textId="2C310308" w:rsidR="00AD7D3D" w:rsidRDefault="00AD7D3D" w:rsidP="00AD7D3D">
            <w:pPr>
              <w:pStyle w:val="Textlist-letters"/>
              <w:numPr>
                <w:ilvl w:val="0"/>
                <w:numId w:val="37"/>
              </w:numPr>
            </w:pPr>
            <w:r>
              <w:t>co-operate with MHA in complying with our legal obligations which are relative to the role and location of the placement</w:t>
            </w:r>
          </w:p>
          <w:p w14:paraId="7EC0494A" w14:textId="77777777" w:rsidR="00AD7D3D" w:rsidRPr="00AD7D3D" w:rsidRDefault="00AD7D3D" w:rsidP="00AD7D3D">
            <w:pPr>
              <w:rPr>
                <w:b/>
                <w:bCs/>
              </w:rPr>
            </w:pPr>
            <w:r w:rsidRPr="00AD7D3D">
              <w:rPr>
                <w:b/>
                <w:bCs/>
              </w:rPr>
              <w:t>Prohibited Practices for Care related roles</w:t>
            </w:r>
          </w:p>
          <w:p w14:paraId="377D66F9" w14:textId="77777777" w:rsidR="00AD7D3D" w:rsidRDefault="00AD7D3D" w:rsidP="00AD7D3D">
            <w:pPr>
              <w:pStyle w:val="Textlist-bullet"/>
              <w:spacing w:before="0"/>
            </w:pPr>
            <w:r>
              <w:t>It’s important to remember that learners on work experience placements will have a wide range of existing experience and knowledge and for other learners this will be their first experience of working in a care environment.</w:t>
            </w:r>
          </w:p>
          <w:p w14:paraId="4E289C0E" w14:textId="143E5CDE" w:rsidR="00AD7D3D" w:rsidRDefault="00AD7D3D" w:rsidP="00AD7D3D">
            <w:pPr>
              <w:pStyle w:val="Textlist-bullet"/>
            </w:pPr>
            <w:r>
              <w:t>As we do not know the level of training they have received or their competence and in order to safeguarding our residents, colleagues and learners work experience learners should not:</w:t>
            </w:r>
          </w:p>
          <w:p w14:paraId="3157045F" w14:textId="77777777" w:rsidR="00AD7D3D" w:rsidRDefault="00AD7D3D" w:rsidP="00AD7D3D">
            <w:pPr>
              <w:pStyle w:val="Textlist-letters"/>
              <w:numPr>
                <w:ilvl w:val="0"/>
                <w:numId w:val="38"/>
              </w:numPr>
              <w:spacing w:before="0"/>
            </w:pPr>
            <w:r>
              <w:t>be alone in a resident’s room.</w:t>
            </w:r>
          </w:p>
          <w:p w14:paraId="3F64A617" w14:textId="77777777" w:rsidR="00AD7D3D" w:rsidRDefault="00AD7D3D" w:rsidP="00AD7D3D">
            <w:pPr>
              <w:pStyle w:val="Textlist-letters"/>
              <w:numPr>
                <w:ilvl w:val="0"/>
                <w:numId w:val="38"/>
              </w:numPr>
              <w:spacing w:before="0"/>
            </w:pPr>
            <w:r>
              <w:t>be involved in intimate (personal) care</w:t>
            </w:r>
          </w:p>
          <w:p w14:paraId="54F8D349" w14:textId="77777777" w:rsidR="00AD7D3D" w:rsidRDefault="00AD7D3D" w:rsidP="00AD7D3D">
            <w:pPr>
              <w:pStyle w:val="Textlist-letters"/>
              <w:numPr>
                <w:ilvl w:val="0"/>
                <w:numId w:val="38"/>
              </w:numPr>
              <w:spacing w:before="0"/>
            </w:pPr>
            <w:r>
              <w:t>assist a person with swallowing difficulties to eat,</w:t>
            </w:r>
          </w:p>
          <w:p w14:paraId="1AE63018" w14:textId="77777777" w:rsidR="00AD7D3D" w:rsidRDefault="00AD7D3D" w:rsidP="00AD7D3D">
            <w:pPr>
              <w:pStyle w:val="Textlist-letters"/>
              <w:numPr>
                <w:ilvl w:val="0"/>
                <w:numId w:val="38"/>
              </w:numPr>
              <w:spacing w:before="0"/>
            </w:pPr>
            <w:r>
              <w:t>count as the ‘second’ person in the use of equipment such as a hoist,</w:t>
            </w:r>
          </w:p>
          <w:p w14:paraId="4512AB6B" w14:textId="77777777" w:rsidR="00AD7D3D" w:rsidRDefault="00AD7D3D" w:rsidP="00AD7D3D">
            <w:pPr>
              <w:pStyle w:val="Textlist-letters"/>
              <w:numPr>
                <w:ilvl w:val="0"/>
                <w:numId w:val="38"/>
              </w:numPr>
              <w:spacing w:before="0"/>
            </w:pPr>
            <w:r>
              <w:t>administer medications,</w:t>
            </w:r>
          </w:p>
          <w:p w14:paraId="4B82CCC9" w14:textId="79C5027B" w:rsidR="00AD7D3D" w:rsidRDefault="00AD7D3D" w:rsidP="00AD7D3D">
            <w:pPr>
              <w:pStyle w:val="Textlist-letters"/>
              <w:numPr>
                <w:ilvl w:val="0"/>
                <w:numId w:val="38"/>
              </w:numPr>
              <w:spacing w:before="0"/>
            </w:pPr>
            <w:r>
              <w:t>leave the premises with a person as ‘escort</w:t>
            </w:r>
            <w:r w:rsidR="00275013">
              <w:t>,’</w:t>
            </w:r>
          </w:p>
          <w:p w14:paraId="28823BFA" w14:textId="77777777" w:rsidR="00AD7D3D" w:rsidRDefault="00AD7D3D" w:rsidP="00AD7D3D">
            <w:pPr>
              <w:pStyle w:val="Textlist-letters"/>
              <w:numPr>
                <w:ilvl w:val="0"/>
                <w:numId w:val="0"/>
              </w:numPr>
              <w:spacing w:before="0"/>
              <w:ind w:left="720"/>
            </w:pPr>
            <w:r>
              <w:t>be involved with any financial transactions,</w:t>
            </w:r>
          </w:p>
          <w:p w14:paraId="5332D922" w14:textId="77777777" w:rsidR="00AD7D3D" w:rsidRDefault="00AD7D3D" w:rsidP="00AD7D3D">
            <w:pPr>
              <w:pStyle w:val="Textlist-letters"/>
              <w:numPr>
                <w:ilvl w:val="0"/>
                <w:numId w:val="0"/>
              </w:numPr>
              <w:spacing w:before="0"/>
              <w:ind w:left="720"/>
            </w:pPr>
            <w:r>
              <w:t>breach confidentiality or data protection regulations (See Information Governance Policies).</w:t>
            </w:r>
          </w:p>
          <w:p w14:paraId="4561393E" w14:textId="58CC4B60" w:rsidR="00AD7D3D" w:rsidRDefault="00AD7D3D" w:rsidP="00AD7D3D">
            <w:pPr>
              <w:pStyle w:val="Textlist-letters"/>
              <w:numPr>
                <w:ilvl w:val="0"/>
                <w:numId w:val="0"/>
              </w:numPr>
              <w:ind w:left="720"/>
            </w:pPr>
            <w:r>
              <w:t>must be provided with suitable breaks during the day according to working time regulations.</w:t>
            </w:r>
          </w:p>
          <w:p w14:paraId="3DDDDCE2" w14:textId="77777777" w:rsidR="00AD7D3D" w:rsidRPr="00AD7D3D" w:rsidRDefault="00AD7D3D" w:rsidP="00AD7D3D">
            <w:pPr>
              <w:rPr>
                <w:b/>
                <w:bCs/>
              </w:rPr>
            </w:pPr>
            <w:r w:rsidRPr="00AD7D3D">
              <w:rPr>
                <w:b/>
                <w:bCs/>
              </w:rPr>
              <w:t>Working Hours for Work Experience Placements</w:t>
            </w:r>
          </w:p>
          <w:p w14:paraId="036FB062" w14:textId="2A27F475" w:rsidR="00AD7D3D" w:rsidRDefault="00AD7D3D" w:rsidP="00AD7D3D">
            <w:pPr>
              <w:pStyle w:val="Textlist-bullet"/>
            </w:pPr>
            <w:r>
              <w:t xml:space="preserve">Work Experience Placement learners have the same rights as </w:t>
            </w:r>
            <w:r w:rsidR="00275013">
              <w:t>a</w:t>
            </w:r>
            <w:r>
              <w:t xml:space="preserve"> </w:t>
            </w:r>
            <w:r w:rsidR="00275013">
              <w:t>colleague</w:t>
            </w:r>
            <w:r>
              <w:t xml:space="preserve"> or worker for working hours and rest breaks</w:t>
            </w:r>
            <w:r w:rsidR="00275013">
              <w:t xml:space="preserve">. </w:t>
            </w:r>
            <w:r>
              <w:t>As all learners participating in work placements will be aged 18 or over then the policy on Hours of Work will apply Hours of Work, HR5.1)</w:t>
            </w:r>
          </w:p>
          <w:p w14:paraId="48A706B2" w14:textId="77777777" w:rsidR="00F42A5B" w:rsidRPr="008C470E" w:rsidRDefault="008C470E" w:rsidP="00772CA5">
            <w:pPr>
              <w:rPr>
                <w:b/>
                <w:bCs/>
              </w:rPr>
            </w:pPr>
            <w:bookmarkStart w:id="12" w:name="_Hlk140831309"/>
            <w:r w:rsidRPr="008C470E">
              <w:rPr>
                <w:b/>
                <w:bCs/>
              </w:rPr>
              <w:t>Completion of Work Experience</w:t>
            </w:r>
          </w:p>
          <w:p w14:paraId="72228760" w14:textId="11D1F831" w:rsidR="008C470E" w:rsidRDefault="008C470E" w:rsidP="008C470E">
            <w:pPr>
              <w:pStyle w:val="Textlist-bullet"/>
            </w:pPr>
            <w:r>
              <w:t xml:space="preserve">Once the work experience placement has been completed, Managers </w:t>
            </w:r>
            <w:r w:rsidR="007637E8">
              <w:t>can</w:t>
            </w:r>
            <w:r>
              <w:t xml:space="preserve"> provide learners with a certificate of completion using the template in HR6.8c. </w:t>
            </w:r>
          </w:p>
          <w:p w14:paraId="1467DF9D" w14:textId="4294B1F2" w:rsidR="008C470E" w:rsidRPr="004C3545" w:rsidRDefault="008C470E" w:rsidP="008C470E">
            <w:pPr>
              <w:pStyle w:val="Textlist-bullet"/>
            </w:pPr>
            <w:r>
              <w:t xml:space="preserve">Managers </w:t>
            </w:r>
            <w:r w:rsidR="007637E8">
              <w:t>can</w:t>
            </w:r>
            <w:r>
              <w:t xml:space="preserve"> seek feedback on the placement from the learner using the evaluation questionnaire [HR6.8d]</w:t>
            </w:r>
            <w:r w:rsidR="007637E8">
              <w:t>, the completed questionnaire should be kept by the home or scheme</w:t>
            </w:r>
            <w:bookmarkEnd w:id="12"/>
            <w:r w:rsidR="007637E8">
              <w:t xml:space="preserve"> and feedback provided to the people development team in central support.</w:t>
            </w:r>
          </w:p>
        </w:tc>
      </w:tr>
      <w:tr w:rsidR="00AD7D3D" w:rsidRPr="004C3545" w14:paraId="30392011" w14:textId="77777777" w:rsidTr="00AD7D3D">
        <w:tc>
          <w:tcPr>
            <w:tcW w:w="2263" w:type="dxa"/>
          </w:tcPr>
          <w:p w14:paraId="2E907B9E" w14:textId="77777777" w:rsidR="00AD7D3D" w:rsidRDefault="00AD7D3D" w:rsidP="00AD7D3D">
            <w:pPr>
              <w:rPr>
                <w:rFonts w:cs="Arial"/>
                <w:b/>
                <w:bCs/>
                <w:szCs w:val="22"/>
              </w:rPr>
            </w:pPr>
            <w:r w:rsidRPr="00AD7D3D">
              <w:rPr>
                <w:rFonts w:cs="Arial"/>
                <w:b/>
                <w:bCs/>
                <w:szCs w:val="22"/>
              </w:rPr>
              <w:t xml:space="preserve">Placement Organiser </w:t>
            </w:r>
          </w:p>
          <w:p w14:paraId="1677AD10" w14:textId="77777777" w:rsidR="00AD7D3D" w:rsidRDefault="00AD7D3D" w:rsidP="00AD7D3D">
            <w:pPr>
              <w:rPr>
                <w:rFonts w:cs="Arial"/>
                <w:b/>
                <w:bCs/>
                <w:szCs w:val="22"/>
              </w:rPr>
            </w:pPr>
          </w:p>
          <w:p w14:paraId="7219A5FE" w14:textId="2DB4EA20" w:rsidR="00AD7D3D" w:rsidRPr="00AD7D3D" w:rsidRDefault="00AD7D3D" w:rsidP="00AD7D3D">
            <w:pPr>
              <w:rPr>
                <w:rFonts w:cs="Arial"/>
                <w:b/>
                <w:bCs/>
                <w:szCs w:val="22"/>
              </w:rPr>
            </w:pPr>
            <w:r>
              <w:rPr>
                <w:rFonts w:cs="Arial"/>
                <w:szCs w:val="22"/>
              </w:rPr>
              <w:t>(</w:t>
            </w:r>
            <w:r w:rsidRPr="00AD7D3D">
              <w:rPr>
                <w:rFonts w:cs="Arial"/>
                <w:szCs w:val="22"/>
              </w:rPr>
              <w:t>College, University, Training Provider, Employment initiative)</w:t>
            </w:r>
          </w:p>
        </w:tc>
        <w:tc>
          <w:tcPr>
            <w:tcW w:w="7230" w:type="dxa"/>
          </w:tcPr>
          <w:p w14:paraId="340700E1" w14:textId="77777777" w:rsidR="00AD7D3D" w:rsidRPr="00AD7D3D" w:rsidRDefault="00AD7D3D" w:rsidP="00AD7D3D">
            <w:pPr>
              <w:pStyle w:val="Textlist-bullet"/>
              <w:spacing w:before="0"/>
            </w:pPr>
            <w:r w:rsidRPr="00AD7D3D">
              <w:t>The placement organiser has a wide range of responsibilities, including that MHA, as placement providers, will discharge our legal duties with respect to the health and safety of the student. This may involve completion of a health &amp; safety placement assessment for the provider.</w:t>
            </w:r>
          </w:p>
          <w:p w14:paraId="5A1FAED8" w14:textId="77777777" w:rsidR="00AD7D3D" w:rsidRPr="00AD7D3D" w:rsidRDefault="00AD7D3D" w:rsidP="00AD7D3D">
            <w:pPr>
              <w:pStyle w:val="Textlist-bullet"/>
              <w:spacing w:before="0"/>
            </w:pPr>
            <w:r w:rsidRPr="00AD7D3D">
              <w:t>The organiser will usually ask the manager agreeing the student work experience placement to demonstrate that suitable risk assessments are in place and to sign a written statement to that effect. This will enable the organiser to understand what the significant risks are, and what has been done to control them.</w:t>
            </w:r>
          </w:p>
          <w:p w14:paraId="5D01FC4E" w14:textId="7BAA94E9" w:rsidR="00AD7D3D" w:rsidRPr="00AD7D3D" w:rsidRDefault="00AD7D3D" w:rsidP="00AD7D3D">
            <w:pPr>
              <w:pStyle w:val="Textlist-bullet"/>
              <w:spacing w:before="0"/>
            </w:pPr>
            <w:r w:rsidRPr="00AD7D3D">
              <w:t>You should also expect the placement organiser to provide you with key information regarding the learner, the learning outcomes for the placement and key contact information.</w:t>
            </w:r>
          </w:p>
        </w:tc>
      </w:tr>
      <w:bookmarkEnd w:id="11"/>
    </w:tbl>
    <w:p w14:paraId="71AE72E0" w14:textId="77777777" w:rsidR="00244765" w:rsidRPr="004C3545" w:rsidRDefault="00244765" w:rsidP="00903AA2">
      <w:pPr>
        <w:rPr>
          <w:rFonts w:cs="Arial"/>
          <w:spacing w:val="7"/>
        </w:rPr>
      </w:pPr>
    </w:p>
    <w:p w14:paraId="4C79ECE4" w14:textId="6EAFF46A" w:rsidR="00DF67AA" w:rsidRDefault="00AD7D3D" w:rsidP="00D558F5">
      <w:pPr>
        <w:pStyle w:val="Heading1Numbered"/>
      </w:pPr>
      <w:bookmarkStart w:id="13" w:name="_Toc138059687"/>
      <w:r>
        <w:t xml:space="preserve">Policy </w:t>
      </w:r>
      <w:r w:rsidR="009A0ED4" w:rsidRPr="00B2494E">
        <w:t>Training</w:t>
      </w:r>
      <w:r w:rsidR="002B5CDA" w:rsidRPr="00B2494E">
        <w:t xml:space="preserve"> </w:t>
      </w:r>
      <w:r w:rsidR="001310BB" w:rsidRPr="00B2494E">
        <w:t>and</w:t>
      </w:r>
      <w:r w:rsidR="002B5CDA" w:rsidRPr="00B2494E">
        <w:t xml:space="preserve"> Monitoring</w:t>
      </w:r>
      <w:bookmarkEnd w:id="13"/>
    </w:p>
    <w:p w14:paraId="7C81C7DB" w14:textId="77777777" w:rsidR="002E4B12" w:rsidRPr="002E4B12" w:rsidRDefault="00082857" w:rsidP="002E4B12">
      <w:pPr>
        <w:pStyle w:val="Text1Numbered"/>
      </w:pPr>
      <w:r>
        <w:t xml:space="preserve">Compliance is assessed through direct observation, </w:t>
      </w:r>
      <w:r w:rsidR="00306ED7">
        <w:t>monitoring,</w:t>
      </w:r>
      <w:r>
        <w:t xml:space="preserve"> and supervision of our colleagues.</w:t>
      </w:r>
    </w:p>
    <w:p w14:paraId="19DD2561" w14:textId="5ECA9463" w:rsidR="00DF67AA" w:rsidRDefault="00AD7D3D" w:rsidP="00D558F5">
      <w:pPr>
        <w:pStyle w:val="Heading1Numbered"/>
      </w:pPr>
      <w:bookmarkStart w:id="14" w:name="_Toc138059688"/>
      <w:r>
        <w:t xml:space="preserve">Policy </w:t>
      </w:r>
      <w:r w:rsidR="000C7997" w:rsidRPr="000C7997">
        <w:t>Communication and Dissemination</w:t>
      </w:r>
      <w:bookmarkEnd w:id="14"/>
    </w:p>
    <w:p w14:paraId="53EFC7CA" w14:textId="77777777" w:rsidR="00D47ABA" w:rsidRDefault="00D47ABA" w:rsidP="00D47ABA">
      <w:pPr>
        <w:pStyle w:val="Text1Numbered"/>
      </w:pPr>
      <w:r>
        <w:t>This policy is disseminated and implemented within all MHA services through MHA’s channels of communication.</w:t>
      </w:r>
    </w:p>
    <w:p w14:paraId="30D06A26" w14:textId="77777777" w:rsidR="00D47ABA" w:rsidRDefault="00D47ABA" w:rsidP="00082857">
      <w:pPr>
        <w:pStyle w:val="Text1Numbered"/>
        <w:numPr>
          <w:ilvl w:val="0"/>
          <w:numId w:val="0"/>
        </w:numPr>
      </w:pPr>
    </w:p>
    <w:p w14:paraId="4684FE82" w14:textId="77777777" w:rsidR="00D47ABA" w:rsidRDefault="00D47ABA" w:rsidP="00D47ABA">
      <w:pPr>
        <w:pStyle w:val="Text1Numbered"/>
      </w:pPr>
      <w:r>
        <w:t>Each colleague’s line manager must ensure that all teams are aware of their roles, responsibilities.</w:t>
      </w:r>
    </w:p>
    <w:p w14:paraId="77249EBC" w14:textId="77777777" w:rsidR="00D47ABA" w:rsidRDefault="00D47ABA" w:rsidP="00D47ABA">
      <w:pPr>
        <w:pStyle w:val="Text1Numbered"/>
        <w:numPr>
          <w:ilvl w:val="0"/>
          <w:numId w:val="0"/>
        </w:numPr>
      </w:pPr>
    </w:p>
    <w:p w14:paraId="52EA8683" w14:textId="77777777" w:rsidR="00D47ABA" w:rsidRDefault="00D47ABA" w:rsidP="00D47ABA">
      <w:pPr>
        <w:pStyle w:val="Text1Numbered"/>
      </w:pPr>
      <w:r>
        <w:t>This policy will be available to the people we support and their representatives in alternate formats, as required.</w:t>
      </w:r>
    </w:p>
    <w:p w14:paraId="0A371EF1" w14:textId="77777777" w:rsidR="00D47ABA" w:rsidRDefault="00D47ABA" w:rsidP="00D47ABA">
      <w:pPr>
        <w:pStyle w:val="Text1Numbered"/>
        <w:numPr>
          <w:ilvl w:val="0"/>
          <w:numId w:val="0"/>
        </w:numPr>
      </w:pPr>
    </w:p>
    <w:p w14:paraId="7FAAC4BC" w14:textId="77777777" w:rsidR="00D47ABA" w:rsidRDefault="00D47ABA" w:rsidP="00D47ABA">
      <w:pPr>
        <w:pStyle w:val="Text1Numbered"/>
      </w:pPr>
      <w:r>
        <w:t>Any review of this policy will include consultation with our colleagues, review of support planning, incident reports, quality audits and feedback from other agencies.</w:t>
      </w:r>
    </w:p>
    <w:p w14:paraId="554A618C" w14:textId="77777777" w:rsidR="00D47ABA" w:rsidRDefault="00D47ABA" w:rsidP="00D47ABA">
      <w:pPr>
        <w:pStyle w:val="Text1Numbered"/>
        <w:numPr>
          <w:ilvl w:val="0"/>
          <w:numId w:val="0"/>
        </w:numPr>
      </w:pPr>
    </w:p>
    <w:p w14:paraId="218D1E70" w14:textId="77777777" w:rsidR="00386B5D" w:rsidRPr="00386B5D" w:rsidRDefault="00D47ABA" w:rsidP="0035054F">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3DD57BB7" w14:textId="77777777" w:rsidR="00DF67AA" w:rsidRDefault="00772CA5" w:rsidP="00D558F5">
      <w:pPr>
        <w:pStyle w:val="Heading1Numbered"/>
      </w:pPr>
      <w:bookmarkStart w:id="15" w:name="_Toc138059689"/>
      <w:r>
        <w:t xml:space="preserve">EDI </w:t>
      </w:r>
      <w:r w:rsidR="000C7997">
        <w:t>Impact Assessments</w:t>
      </w:r>
      <w:bookmarkEnd w:id="15"/>
    </w:p>
    <w:p w14:paraId="41F7EAD4" w14:textId="77777777" w:rsidR="00D47ABA" w:rsidRPr="002E4B12" w:rsidRDefault="00D47ABA" w:rsidP="002E4B12">
      <w:pPr>
        <w:pStyle w:val="Text1Numbered"/>
      </w:pPr>
      <w:r>
        <w:t>Equality, Diversity, and Impact Assessment to be confirmed.</w:t>
      </w:r>
    </w:p>
    <w:p w14:paraId="5EF8AE91" w14:textId="77777777" w:rsidR="000C7997" w:rsidRDefault="000C7997" w:rsidP="00D558F5">
      <w:pPr>
        <w:pStyle w:val="Heading1Numbered"/>
      </w:pPr>
      <w:bookmarkStart w:id="16" w:name="_Toc138059690"/>
      <w:r w:rsidRPr="00B2494E">
        <w:t>Resources</w:t>
      </w:r>
      <w:bookmarkEnd w:id="16"/>
      <w:r w:rsidRPr="00B2494E">
        <w:t xml:space="preserve"> </w:t>
      </w:r>
    </w:p>
    <w:p w14:paraId="43588E77" w14:textId="13D87191" w:rsidR="008C470E" w:rsidRDefault="008C25C5" w:rsidP="00AD7D3D">
      <w:pPr>
        <w:pStyle w:val="Textlistindented-bullet"/>
        <w:rPr>
          <w:rFonts w:cs="Arial"/>
        </w:rPr>
      </w:pPr>
      <w:hyperlink r:id="rId10" w:history="1">
        <w:r w:rsidR="008C470E" w:rsidRPr="008C470E">
          <w:rPr>
            <w:rStyle w:val="Hyperlink"/>
            <w:rFonts w:cs="Arial"/>
          </w:rPr>
          <w:t>Work Experience Placements at MHA</w:t>
        </w:r>
      </w:hyperlink>
    </w:p>
    <w:p w14:paraId="64E65B07" w14:textId="77777777" w:rsidR="008C470E" w:rsidRPr="008C470E" w:rsidRDefault="008C470E" w:rsidP="008C470E">
      <w:pPr>
        <w:pStyle w:val="Textlistindented-bullet"/>
        <w:rPr>
          <w:rStyle w:val="Hyperlink"/>
          <w:rFonts w:cs="Arial"/>
          <w:color w:val="auto"/>
        </w:rPr>
      </w:pPr>
      <w:r>
        <w:t xml:space="preserve">HR6.8a, </w:t>
      </w:r>
      <w:r w:rsidRPr="00AD7D3D">
        <w:rPr>
          <w:rStyle w:val="Hyperlink"/>
          <w:rFonts w:eastAsiaTheme="majorEastAsia" w:cs="Arial"/>
        </w:rPr>
        <w:t>Work Experience Placement Information Pack</w:t>
      </w:r>
      <w:r>
        <w:rPr>
          <w:rStyle w:val="Hyperlink"/>
          <w:rFonts w:eastAsiaTheme="majorEastAsia" w:cs="Arial"/>
        </w:rPr>
        <w:t xml:space="preserve"> </w:t>
      </w:r>
    </w:p>
    <w:p w14:paraId="743F0198" w14:textId="4EF2A0D9" w:rsidR="008C470E" w:rsidRPr="008C470E" w:rsidRDefault="008C470E" w:rsidP="008C470E">
      <w:pPr>
        <w:pStyle w:val="Textlistindented-bullet"/>
        <w:rPr>
          <w:rFonts w:cs="Arial"/>
        </w:rPr>
      </w:pPr>
      <w:r>
        <w:t>HR6.8b, Work Experience Placements Agreement</w:t>
      </w:r>
    </w:p>
    <w:p w14:paraId="302D0D32" w14:textId="1FCAC813" w:rsidR="008C470E" w:rsidRPr="008C470E" w:rsidRDefault="008C470E" w:rsidP="008C470E">
      <w:pPr>
        <w:pStyle w:val="Textlistindented-bullet"/>
        <w:rPr>
          <w:rFonts w:cs="Arial"/>
        </w:rPr>
      </w:pPr>
      <w:r>
        <w:t>HR6.8c,</w:t>
      </w:r>
      <w:r w:rsidRPr="008C470E">
        <w:t xml:space="preserve"> </w:t>
      </w:r>
      <w:r>
        <w:t>Work Experience Placements Certificate Template</w:t>
      </w:r>
    </w:p>
    <w:p w14:paraId="4B5FFD12" w14:textId="4BC02260" w:rsidR="008C470E" w:rsidRPr="00AD7D3D" w:rsidRDefault="008C470E" w:rsidP="008C470E">
      <w:pPr>
        <w:pStyle w:val="Textlistindented-bullet"/>
        <w:rPr>
          <w:rStyle w:val="Hyperlink"/>
          <w:rFonts w:cs="Arial"/>
          <w:color w:val="auto"/>
        </w:rPr>
      </w:pPr>
      <w:r>
        <w:t>HR6.8d, Work Experience Placements Evaluation Questionnaire</w:t>
      </w:r>
    </w:p>
    <w:p w14:paraId="72F5B382" w14:textId="56BE9089" w:rsidR="00AD7D3D" w:rsidRPr="00AD7D3D" w:rsidRDefault="008C25C5" w:rsidP="00AD7D3D">
      <w:pPr>
        <w:pStyle w:val="Textlistindented-bullet"/>
        <w:rPr>
          <w:rFonts w:cs="Arial"/>
        </w:rPr>
      </w:pPr>
      <w:hyperlink r:id="rId11" w:history="1">
        <w:r w:rsidR="00737421">
          <w:rPr>
            <w:rStyle w:val="Hyperlink"/>
            <w:rFonts w:eastAsiaTheme="majorEastAsia" w:cs="Arial"/>
          </w:rPr>
          <w:t>G108</w:t>
        </w:r>
        <w:r w:rsidR="00AD7D3D" w:rsidRPr="00AD7D3D">
          <w:rPr>
            <w:rStyle w:val="Hyperlink"/>
            <w:rFonts w:eastAsiaTheme="majorEastAsia" w:cs="Arial"/>
          </w:rPr>
          <w:t>, Research Policy</w:t>
        </w:r>
      </w:hyperlink>
    </w:p>
    <w:p w14:paraId="56F47099" w14:textId="77777777" w:rsidR="00AD7D3D" w:rsidRPr="00AD7D3D" w:rsidRDefault="008C25C5" w:rsidP="00AD7D3D">
      <w:pPr>
        <w:pStyle w:val="Textlistindented-bullet"/>
        <w:rPr>
          <w:rFonts w:cs="Arial"/>
        </w:rPr>
      </w:pPr>
      <w:hyperlink r:id="rId12" w:history="1">
        <w:r w:rsidR="00AD7D3D" w:rsidRPr="00AD7D3D">
          <w:rPr>
            <w:rStyle w:val="Hyperlink"/>
            <w:rFonts w:eastAsiaTheme="majorEastAsia" w:cs="Arial"/>
          </w:rPr>
          <w:t>HR5.1, Hours of Work</w:t>
        </w:r>
      </w:hyperlink>
    </w:p>
    <w:p w14:paraId="7A907D69" w14:textId="77777777" w:rsidR="00AD7D3D" w:rsidRPr="00AD7D3D" w:rsidRDefault="008C25C5" w:rsidP="00AD7D3D">
      <w:pPr>
        <w:pStyle w:val="Textlistindented-bullet"/>
        <w:rPr>
          <w:rFonts w:cs="Arial"/>
        </w:rPr>
      </w:pPr>
      <w:hyperlink r:id="rId13" w:history="1">
        <w:r w:rsidR="00AD7D3D" w:rsidRPr="00AD7D3D">
          <w:rPr>
            <w:rStyle w:val="Hyperlink"/>
            <w:rFonts w:eastAsiaTheme="majorEastAsia" w:cs="Arial"/>
          </w:rPr>
          <w:t>Information Governance Policies</w:t>
        </w:r>
      </w:hyperlink>
    </w:p>
    <w:p w14:paraId="14283190" w14:textId="77777777" w:rsidR="00AD7D3D" w:rsidRPr="00AD7D3D" w:rsidRDefault="008C25C5" w:rsidP="00AD7D3D">
      <w:pPr>
        <w:pStyle w:val="Textlistindented-bullet"/>
        <w:rPr>
          <w:rStyle w:val="Hyperlink"/>
          <w:rFonts w:cs="Arial"/>
          <w:color w:val="auto"/>
        </w:rPr>
      </w:pPr>
      <w:hyperlink r:id="rId14" w:history="1">
        <w:r w:rsidR="00AD7D3D" w:rsidRPr="00AD7D3D">
          <w:rPr>
            <w:rStyle w:val="Hyperlink"/>
            <w:rFonts w:eastAsiaTheme="majorEastAsia" w:cs="Arial"/>
          </w:rPr>
          <w:t>H&amp;S Policies</w:t>
        </w:r>
      </w:hyperlink>
    </w:p>
    <w:p w14:paraId="22C1CCFC" w14:textId="1CF28D9B" w:rsidR="00852000" w:rsidRPr="007637E8" w:rsidRDefault="00AD7D3D" w:rsidP="00852000">
      <w:pPr>
        <w:pStyle w:val="Textlistindented-letters"/>
        <w:rPr>
          <w:rStyle w:val="Hyperlink"/>
          <w:b/>
          <w:bCs/>
          <w:color w:val="auto"/>
        </w:rPr>
      </w:pPr>
      <w:r w:rsidRPr="00AD7D3D">
        <w:rPr>
          <w:b/>
          <w:bCs/>
        </w:rPr>
        <w:t>Gov UK Guidance on Work Experience and Internships:</w:t>
      </w:r>
      <w:r>
        <w:rPr>
          <w:b/>
          <w:bCs/>
        </w:rPr>
        <w:t xml:space="preserve"> </w:t>
      </w:r>
      <w:hyperlink r:id="rId15" w:anchor="what-is-work-experience" w:history="1">
        <w:r w:rsidRPr="00AD7D3D">
          <w:rPr>
            <w:rStyle w:val="Hyperlink"/>
            <w:rFonts w:eastAsiaTheme="majorEastAsia" w:cs="Arial"/>
          </w:rPr>
          <w:t>https://www.gov.uk/guidance/national-minimum-wage-work-experience-and-internships#what-is-work-experience</w:t>
        </w:r>
      </w:hyperlink>
    </w:p>
    <w:p w14:paraId="64F7460C" w14:textId="77777777" w:rsidR="007637E8" w:rsidRDefault="007637E8" w:rsidP="007637E8">
      <w:pPr>
        <w:pStyle w:val="Textlistindented-letters"/>
        <w:numPr>
          <w:ilvl w:val="0"/>
          <w:numId w:val="0"/>
        </w:numPr>
        <w:ind w:left="1560"/>
        <w:rPr>
          <w:b/>
          <w:bCs/>
        </w:rPr>
      </w:pPr>
    </w:p>
    <w:p w14:paraId="62B267EE" w14:textId="77777777" w:rsidR="007637E8" w:rsidRDefault="007637E8" w:rsidP="007637E8">
      <w:pPr>
        <w:pStyle w:val="Textlistindented-letters"/>
        <w:numPr>
          <w:ilvl w:val="0"/>
          <w:numId w:val="0"/>
        </w:numPr>
        <w:ind w:left="1560"/>
        <w:rPr>
          <w:b/>
          <w:bCs/>
        </w:rPr>
      </w:pPr>
    </w:p>
    <w:p w14:paraId="6311426D" w14:textId="77777777" w:rsidR="007637E8" w:rsidRDefault="007637E8" w:rsidP="007637E8">
      <w:pPr>
        <w:pStyle w:val="Textlistindented-letters"/>
        <w:numPr>
          <w:ilvl w:val="0"/>
          <w:numId w:val="0"/>
        </w:numPr>
        <w:ind w:left="1560"/>
        <w:rPr>
          <w:b/>
          <w:bCs/>
        </w:rPr>
      </w:pPr>
    </w:p>
    <w:p w14:paraId="7C35D080" w14:textId="77777777" w:rsidR="007637E8" w:rsidRPr="00AD7D3D" w:rsidRDefault="007637E8" w:rsidP="007637E8">
      <w:pPr>
        <w:pStyle w:val="Textlistindented-letters"/>
        <w:numPr>
          <w:ilvl w:val="0"/>
          <w:numId w:val="0"/>
        </w:numPr>
        <w:ind w:left="1560"/>
        <w:rPr>
          <w:b/>
          <w:bCs/>
        </w:rPr>
      </w:pPr>
    </w:p>
    <w:p w14:paraId="7FE1B303" w14:textId="77777777" w:rsidR="00DF67AA" w:rsidRDefault="009A0ED4" w:rsidP="002E4B12">
      <w:pPr>
        <w:pStyle w:val="Heading1Numbered"/>
      </w:pPr>
      <w:bookmarkStart w:id="17" w:name="_Toc138059691"/>
      <w:r w:rsidRPr="00DC7F16">
        <w:t>Version Control</w:t>
      </w:r>
      <w:bookmarkEnd w:id="17"/>
    </w:p>
    <w:tbl>
      <w:tblPr>
        <w:tblStyle w:val="MHATable"/>
        <w:tblW w:w="9549" w:type="dxa"/>
        <w:tblLayout w:type="fixed"/>
        <w:tblLook w:val="04A0" w:firstRow="1" w:lastRow="0" w:firstColumn="1" w:lastColumn="0" w:noHBand="0" w:noVBand="1"/>
      </w:tblPr>
      <w:tblGrid>
        <w:gridCol w:w="1271"/>
        <w:gridCol w:w="1134"/>
        <w:gridCol w:w="3260"/>
        <w:gridCol w:w="2694"/>
        <w:gridCol w:w="1190"/>
      </w:tblGrid>
      <w:tr w:rsidR="00F42A5B" w:rsidRPr="005E08A1" w14:paraId="6CAA9D27" w14:textId="77777777" w:rsidTr="00B92C06">
        <w:trPr>
          <w:cnfStyle w:val="100000000000" w:firstRow="1" w:lastRow="0" w:firstColumn="0" w:lastColumn="0" w:oddVBand="0" w:evenVBand="0" w:oddHBand="0" w:evenHBand="0" w:firstRowFirstColumn="0" w:firstRowLastColumn="0" w:lastRowFirstColumn="0" w:lastRowLastColumn="0"/>
          <w:trHeight w:val="830"/>
        </w:trPr>
        <w:tc>
          <w:tcPr>
            <w:tcW w:w="1271" w:type="dxa"/>
          </w:tcPr>
          <w:p w14:paraId="109D87A2" w14:textId="77777777" w:rsidR="00F30A5F" w:rsidRPr="005E08A1" w:rsidRDefault="00F30A5F" w:rsidP="002D47FD">
            <w:r w:rsidRPr="005E08A1">
              <w:t>Version</w:t>
            </w:r>
          </w:p>
        </w:tc>
        <w:tc>
          <w:tcPr>
            <w:tcW w:w="1134" w:type="dxa"/>
          </w:tcPr>
          <w:p w14:paraId="066909FA" w14:textId="77777777" w:rsidR="00F30A5F" w:rsidRPr="005E08A1" w:rsidRDefault="00F30A5F" w:rsidP="002D47FD">
            <w:r w:rsidRPr="005E08A1">
              <w:t>Version Date</w:t>
            </w:r>
          </w:p>
        </w:tc>
        <w:tc>
          <w:tcPr>
            <w:tcW w:w="3260" w:type="dxa"/>
          </w:tcPr>
          <w:p w14:paraId="06B0712C" w14:textId="77777777" w:rsidR="00F30A5F" w:rsidRPr="005E08A1" w:rsidRDefault="00F30A5F" w:rsidP="002D47FD">
            <w:r w:rsidRPr="005E08A1">
              <w:t xml:space="preserve">Revision Description / Summary of Changes </w:t>
            </w:r>
          </w:p>
        </w:tc>
        <w:tc>
          <w:tcPr>
            <w:tcW w:w="2694" w:type="dxa"/>
          </w:tcPr>
          <w:p w14:paraId="39F2650C" w14:textId="77777777" w:rsidR="00F30A5F" w:rsidRPr="005E08A1" w:rsidRDefault="00F30A5F" w:rsidP="002D47FD">
            <w:r w:rsidRPr="005E08A1">
              <w:t>Author</w:t>
            </w:r>
          </w:p>
        </w:tc>
        <w:tc>
          <w:tcPr>
            <w:tcW w:w="1190" w:type="dxa"/>
          </w:tcPr>
          <w:p w14:paraId="231B62D0" w14:textId="77777777" w:rsidR="00F30A5F" w:rsidRPr="005E08A1" w:rsidRDefault="00F30A5F" w:rsidP="002D47FD">
            <w:r w:rsidRPr="005E08A1">
              <w:t>Next Review Date</w:t>
            </w:r>
          </w:p>
        </w:tc>
      </w:tr>
      <w:tr w:rsidR="00F42A5B" w:rsidRPr="004C3545" w14:paraId="6214C4AB" w14:textId="77777777" w:rsidTr="00B92C06">
        <w:trPr>
          <w:trHeight w:val="407"/>
        </w:trPr>
        <w:tc>
          <w:tcPr>
            <w:tcW w:w="1271" w:type="dxa"/>
          </w:tcPr>
          <w:p w14:paraId="685BC7F8" w14:textId="6C1DDCBD" w:rsidR="00F30A5F" w:rsidRDefault="00B92C06" w:rsidP="002D47FD">
            <w:r>
              <w:t>4</w:t>
            </w:r>
          </w:p>
        </w:tc>
        <w:tc>
          <w:tcPr>
            <w:tcW w:w="1134" w:type="dxa"/>
          </w:tcPr>
          <w:p w14:paraId="24135707" w14:textId="5061E958" w:rsidR="00F30A5F" w:rsidRPr="004C3545" w:rsidRDefault="00C47650" w:rsidP="002D47FD">
            <w:r>
              <w:t>July</w:t>
            </w:r>
            <w:r w:rsidR="00B92C06">
              <w:t xml:space="preserve"> 2023</w:t>
            </w:r>
          </w:p>
        </w:tc>
        <w:tc>
          <w:tcPr>
            <w:tcW w:w="3260" w:type="dxa"/>
          </w:tcPr>
          <w:p w14:paraId="58F50509" w14:textId="1F82A2E4" w:rsidR="00B92C06" w:rsidRDefault="00B92C06" w:rsidP="00B92C06">
            <w:pPr>
              <w:pStyle w:val="Textlist-bullet"/>
            </w:pPr>
            <w:r>
              <w:t xml:space="preserve">Policy updated under regular compliance review. </w:t>
            </w:r>
          </w:p>
          <w:p w14:paraId="14FE6A88" w14:textId="162777AF" w:rsidR="00B92C06" w:rsidRPr="004C3545" w:rsidRDefault="00B92C06" w:rsidP="00B92C06">
            <w:pPr>
              <w:pStyle w:val="Textlist-bullet"/>
              <w:spacing w:before="0"/>
            </w:pPr>
            <w:r>
              <w:t>Inclusion of responsibilities for Work Experience Learner, Line Management, Placement Organiser</w:t>
            </w:r>
          </w:p>
        </w:tc>
        <w:tc>
          <w:tcPr>
            <w:tcW w:w="2694" w:type="dxa"/>
          </w:tcPr>
          <w:p w14:paraId="6A232E0A" w14:textId="77777777" w:rsidR="00066761" w:rsidRDefault="00B92C06" w:rsidP="00B92C06">
            <w:pPr>
              <w:pStyle w:val="Textlist-bullet"/>
            </w:pPr>
            <w:r w:rsidRPr="00B92C06">
              <w:t>Operations Learning Business Partner</w:t>
            </w:r>
          </w:p>
          <w:p w14:paraId="27DA78C0" w14:textId="77777777" w:rsidR="00B92C06" w:rsidRDefault="00B92C06" w:rsidP="00B92C06">
            <w:pPr>
              <w:pStyle w:val="Textlist-bullet"/>
            </w:pPr>
            <w:r>
              <w:t>Head of People Development</w:t>
            </w:r>
          </w:p>
          <w:p w14:paraId="7F49A5B7" w14:textId="3302D8AA" w:rsidR="00B92C06" w:rsidRPr="004C3545" w:rsidRDefault="00B92C06" w:rsidP="00B92C06">
            <w:pPr>
              <w:pStyle w:val="Textlist-bullet"/>
            </w:pPr>
            <w:r>
              <w:t>Standards and Policy Manager</w:t>
            </w:r>
          </w:p>
        </w:tc>
        <w:tc>
          <w:tcPr>
            <w:tcW w:w="1190" w:type="dxa"/>
          </w:tcPr>
          <w:p w14:paraId="4767542B" w14:textId="5F79F234" w:rsidR="00F30A5F" w:rsidRPr="004C3545" w:rsidRDefault="00C47650" w:rsidP="002D47FD">
            <w:r>
              <w:t>July</w:t>
            </w:r>
            <w:r w:rsidR="00B92C06">
              <w:t xml:space="preserve"> 2025</w:t>
            </w:r>
          </w:p>
        </w:tc>
      </w:tr>
    </w:tbl>
    <w:p w14:paraId="51C9C629" w14:textId="052F4575" w:rsidR="002D47FD" w:rsidRPr="004C3545" w:rsidRDefault="002D47FD" w:rsidP="00B92C06">
      <w:pPr>
        <w:pStyle w:val="Text"/>
      </w:pPr>
    </w:p>
    <w:sectPr w:rsidR="002D47FD" w:rsidRPr="004C3545" w:rsidSect="00847753">
      <w:headerReference w:type="default" r:id="rId16"/>
      <w:footerReference w:type="default" r:id="rId17"/>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E83D4" w14:textId="77777777" w:rsidR="008C25C5" w:rsidRDefault="008C25C5" w:rsidP="001876E7">
      <w:pPr>
        <w:spacing w:line="240" w:lineRule="auto"/>
      </w:pPr>
      <w:r>
        <w:separator/>
      </w:r>
    </w:p>
  </w:endnote>
  <w:endnote w:type="continuationSeparator" w:id="0">
    <w:p w14:paraId="281164B1" w14:textId="77777777" w:rsidR="008C25C5" w:rsidRDefault="008C25C5"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11C7DC4D" w14:textId="77777777" w:rsidR="00764B4C" w:rsidRPr="00764B4C" w:rsidRDefault="00764B4C" w:rsidP="002E4B12">
            <w:pPr>
              <w:pStyle w:val="FooterText"/>
              <w:jc w:val="center"/>
              <w:rPr>
                <w:rFonts w:cs="Arial"/>
                <w:spacing w:val="7"/>
              </w:rPr>
            </w:pPr>
          </w:p>
          <w:p w14:paraId="3B5B1DC3" w14:textId="2251F5BE" w:rsidR="003865D9" w:rsidRDefault="0025569A" w:rsidP="00454821">
            <w:pPr>
              <w:pStyle w:val="FooterText"/>
              <w:tabs>
                <w:tab w:val="right" w:pos="9498"/>
              </w:tabs>
              <w:jc w:val="left"/>
            </w:pPr>
            <w:r>
              <w:t>HR6.8 Work Experience Policy</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2EDA" w14:textId="77777777" w:rsidR="008C25C5" w:rsidRDefault="008C25C5" w:rsidP="001876E7">
      <w:pPr>
        <w:spacing w:line="240" w:lineRule="auto"/>
      </w:pPr>
      <w:r>
        <w:separator/>
      </w:r>
    </w:p>
  </w:footnote>
  <w:footnote w:type="continuationSeparator" w:id="0">
    <w:p w14:paraId="5F719CFD" w14:textId="77777777" w:rsidR="008C25C5" w:rsidRDefault="008C25C5"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8C96"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29F0337" wp14:editId="694B2D05">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BD6258D"/>
    <w:multiLevelType w:val="hybridMultilevel"/>
    <w:tmpl w:val="8A5A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49141532">
    <w:abstractNumId w:val="5"/>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20"/>
  </w:num>
  <w:num w:numId="7" w16cid:durableId="139810974">
    <w:abstractNumId w:val="5"/>
  </w:num>
  <w:num w:numId="8" w16cid:durableId="478111977">
    <w:abstractNumId w:val="16"/>
  </w:num>
  <w:num w:numId="9" w16cid:durableId="672680783">
    <w:abstractNumId w:val="15"/>
  </w:num>
  <w:num w:numId="10" w16cid:durableId="582229400">
    <w:abstractNumId w:val="23"/>
  </w:num>
  <w:num w:numId="11" w16cid:durableId="1068845125">
    <w:abstractNumId w:val="17"/>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2"/>
  </w:num>
  <w:num w:numId="20" w16cid:durableId="1927031610">
    <w:abstractNumId w:val="7"/>
  </w:num>
  <w:num w:numId="21" w16cid:durableId="149368801">
    <w:abstractNumId w:val="9"/>
  </w:num>
  <w:num w:numId="22" w16cid:durableId="537015620">
    <w:abstractNumId w:val="24"/>
  </w:num>
  <w:num w:numId="23" w16cid:durableId="673651929">
    <w:abstractNumId w:val="22"/>
  </w:num>
  <w:num w:numId="24" w16cid:durableId="1700010823">
    <w:abstractNumId w:val="0"/>
  </w:num>
  <w:num w:numId="25" w16cid:durableId="1459950268">
    <w:abstractNumId w:val="25"/>
  </w:num>
  <w:num w:numId="26" w16cid:durableId="2024210744">
    <w:abstractNumId w:val="11"/>
  </w:num>
  <w:num w:numId="27" w16cid:durableId="731196969">
    <w:abstractNumId w:val="6"/>
  </w:num>
  <w:num w:numId="28" w16cid:durableId="1159078511">
    <w:abstractNumId w:val="21"/>
  </w:num>
  <w:num w:numId="29" w16cid:durableId="580483559">
    <w:abstractNumId w:val="19"/>
  </w:num>
  <w:num w:numId="30" w16cid:durableId="1034160516">
    <w:abstractNumId w:val="10"/>
  </w:num>
  <w:num w:numId="31" w16cid:durableId="1233661081">
    <w:abstractNumId w:val="13"/>
  </w:num>
  <w:num w:numId="32" w16cid:durableId="1166898073">
    <w:abstractNumId w:val="4"/>
  </w:num>
  <w:num w:numId="33" w16cid:durableId="191504904">
    <w:abstractNumId w:val="18"/>
  </w:num>
  <w:num w:numId="34" w16cid:durableId="1204631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83284869">
    <w:abstractNumId w:val="22"/>
    <w:lvlOverride w:ilvl="0">
      <w:startOverride w:val="1"/>
    </w:lvlOverride>
  </w:num>
  <w:num w:numId="36" w16cid:durableId="644046829">
    <w:abstractNumId w:val="22"/>
    <w:lvlOverride w:ilvl="0">
      <w:startOverride w:val="1"/>
    </w:lvlOverride>
  </w:num>
  <w:num w:numId="37" w16cid:durableId="2071419145">
    <w:abstractNumId w:val="22"/>
    <w:lvlOverride w:ilvl="0">
      <w:startOverride w:val="1"/>
    </w:lvlOverride>
  </w:num>
  <w:num w:numId="38" w16cid:durableId="625966100">
    <w:abstractNumId w:val="22"/>
    <w:lvlOverride w:ilvl="0">
      <w:startOverride w:val="1"/>
    </w:lvlOverride>
  </w:num>
  <w:num w:numId="39" w16cid:durableId="1495417551">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9A"/>
    <w:rsid w:val="00010148"/>
    <w:rsid w:val="00011E5A"/>
    <w:rsid w:val="0002533A"/>
    <w:rsid w:val="000553E0"/>
    <w:rsid w:val="000646E5"/>
    <w:rsid w:val="00066761"/>
    <w:rsid w:val="00070650"/>
    <w:rsid w:val="000771AD"/>
    <w:rsid w:val="000812BF"/>
    <w:rsid w:val="00082857"/>
    <w:rsid w:val="000C7997"/>
    <w:rsid w:val="000D41D5"/>
    <w:rsid w:val="000F25D4"/>
    <w:rsid w:val="000F64C5"/>
    <w:rsid w:val="001155F8"/>
    <w:rsid w:val="001248CF"/>
    <w:rsid w:val="001310BB"/>
    <w:rsid w:val="0013340B"/>
    <w:rsid w:val="00140C68"/>
    <w:rsid w:val="00147C3B"/>
    <w:rsid w:val="001876E7"/>
    <w:rsid w:val="00194A22"/>
    <w:rsid w:val="001B5C40"/>
    <w:rsid w:val="001C1A88"/>
    <w:rsid w:val="001E4229"/>
    <w:rsid w:val="00244765"/>
    <w:rsid w:val="00247E69"/>
    <w:rsid w:val="002543A7"/>
    <w:rsid w:val="0025569A"/>
    <w:rsid w:val="00261059"/>
    <w:rsid w:val="00263D11"/>
    <w:rsid w:val="00265378"/>
    <w:rsid w:val="00273C90"/>
    <w:rsid w:val="00275013"/>
    <w:rsid w:val="00276188"/>
    <w:rsid w:val="00276732"/>
    <w:rsid w:val="00283169"/>
    <w:rsid w:val="002A538B"/>
    <w:rsid w:val="002B5CDA"/>
    <w:rsid w:val="002C0EC0"/>
    <w:rsid w:val="002D47FD"/>
    <w:rsid w:val="002E4B12"/>
    <w:rsid w:val="002F50BE"/>
    <w:rsid w:val="00302641"/>
    <w:rsid w:val="00306ED7"/>
    <w:rsid w:val="00322ED2"/>
    <w:rsid w:val="003256F1"/>
    <w:rsid w:val="003266FD"/>
    <w:rsid w:val="00345825"/>
    <w:rsid w:val="0035054F"/>
    <w:rsid w:val="003510EE"/>
    <w:rsid w:val="003865D9"/>
    <w:rsid w:val="00386B5D"/>
    <w:rsid w:val="0038720A"/>
    <w:rsid w:val="003B2431"/>
    <w:rsid w:val="003C04D5"/>
    <w:rsid w:val="003C59CC"/>
    <w:rsid w:val="003F52EA"/>
    <w:rsid w:val="004128E7"/>
    <w:rsid w:val="0042795E"/>
    <w:rsid w:val="0043268D"/>
    <w:rsid w:val="004428C9"/>
    <w:rsid w:val="00451A46"/>
    <w:rsid w:val="00454821"/>
    <w:rsid w:val="0045562B"/>
    <w:rsid w:val="00471203"/>
    <w:rsid w:val="004726A7"/>
    <w:rsid w:val="00472EB6"/>
    <w:rsid w:val="00480B30"/>
    <w:rsid w:val="004924CF"/>
    <w:rsid w:val="004A48AB"/>
    <w:rsid w:val="004A5F05"/>
    <w:rsid w:val="004B36CD"/>
    <w:rsid w:val="004C3545"/>
    <w:rsid w:val="004F5E04"/>
    <w:rsid w:val="00507AF2"/>
    <w:rsid w:val="00512916"/>
    <w:rsid w:val="0051530E"/>
    <w:rsid w:val="0052519E"/>
    <w:rsid w:val="00545C38"/>
    <w:rsid w:val="005518A9"/>
    <w:rsid w:val="00564D73"/>
    <w:rsid w:val="005711B3"/>
    <w:rsid w:val="00572560"/>
    <w:rsid w:val="0057717F"/>
    <w:rsid w:val="0059266A"/>
    <w:rsid w:val="00594E14"/>
    <w:rsid w:val="005A508B"/>
    <w:rsid w:val="005D0374"/>
    <w:rsid w:val="005D62C0"/>
    <w:rsid w:val="005E08A1"/>
    <w:rsid w:val="00610B2B"/>
    <w:rsid w:val="0063081A"/>
    <w:rsid w:val="0063326C"/>
    <w:rsid w:val="006423BB"/>
    <w:rsid w:val="0066591C"/>
    <w:rsid w:val="00667C4A"/>
    <w:rsid w:val="006B0609"/>
    <w:rsid w:val="006B2E11"/>
    <w:rsid w:val="006B41E2"/>
    <w:rsid w:val="00717A8D"/>
    <w:rsid w:val="00723627"/>
    <w:rsid w:val="007256EF"/>
    <w:rsid w:val="00730CA5"/>
    <w:rsid w:val="00737421"/>
    <w:rsid w:val="00744A83"/>
    <w:rsid w:val="007539BA"/>
    <w:rsid w:val="007637E8"/>
    <w:rsid w:val="00764B4C"/>
    <w:rsid w:val="00772CA5"/>
    <w:rsid w:val="00776701"/>
    <w:rsid w:val="00784932"/>
    <w:rsid w:val="0078642D"/>
    <w:rsid w:val="007B2919"/>
    <w:rsid w:val="007B6487"/>
    <w:rsid w:val="007C2DAF"/>
    <w:rsid w:val="007C73D5"/>
    <w:rsid w:val="007E1123"/>
    <w:rsid w:val="0081228C"/>
    <w:rsid w:val="00831235"/>
    <w:rsid w:val="00832C4B"/>
    <w:rsid w:val="0084471B"/>
    <w:rsid w:val="00847753"/>
    <w:rsid w:val="00852000"/>
    <w:rsid w:val="00861EB0"/>
    <w:rsid w:val="0087097E"/>
    <w:rsid w:val="008874B0"/>
    <w:rsid w:val="00893D07"/>
    <w:rsid w:val="008A7363"/>
    <w:rsid w:val="008B0A37"/>
    <w:rsid w:val="008B1D97"/>
    <w:rsid w:val="008C25C5"/>
    <w:rsid w:val="008C470E"/>
    <w:rsid w:val="008D1B9A"/>
    <w:rsid w:val="008D3C32"/>
    <w:rsid w:val="008D5DD4"/>
    <w:rsid w:val="008D6213"/>
    <w:rsid w:val="008D791B"/>
    <w:rsid w:val="008F09EB"/>
    <w:rsid w:val="008F41A1"/>
    <w:rsid w:val="00903AA2"/>
    <w:rsid w:val="009050C4"/>
    <w:rsid w:val="00914FC1"/>
    <w:rsid w:val="00921168"/>
    <w:rsid w:val="00922DB3"/>
    <w:rsid w:val="00932409"/>
    <w:rsid w:val="00947D46"/>
    <w:rsid w:val="009655E2"/>
    <w:rsid w:val="00973E48"/>
    <w:rsid w:val="009A0ED4"/>
    <w:rsid w:val="009E3487"/>
    <w:rsid w:val="00A17E0E"/>
    <w:rsid w:val="00A2438D"/>
    <w:rsid w:val="00A24DA1"/>
    <w:rsid w:val="00A34D37"/>
    <w:rsid w:val="00A36714"/>
    <w:rsid w:val="00A43329"/>
    <w:rsid w:val="00A52F66"/>
    <w:rsid w:val="00A61E40"/>
    <w:rsid w:val="00A92CD7"/>
    <w:rsid w:val="00AA0D99"/>
    <w:rsid w:val="00AB4A71"/>
    <w:rsid w:val="00AC3248"/>
    <w:rsid w:val="00AD5FD5"/>
    <w:rsid w:val="00AD7D3D"/>
    <w:rsid w:val="00AE5E04"/>
    <w:rsid w:val="00AF1001"/>
    <w:rsid w:val="00B148E6"/>
    <w:rsid w:val="00B148FF"/>
    <w:rsid w:val="00B22399"/>
    <w:rsid w:val="00B2494E"/>
    <w:rsid w:val="00B275B1"/>
    <w:rsid w:val="00B46F84"/>
    <w:rsid w:val="00B56F75"/>
    <w:rsid w:val="00B8132B"/>
    <w:rsid w:val="00B92C06"/>
    <w:rsid w:val="00BA22C2"/>
    <w:rsid w:val="00C108E0"/>
    <w:rsid w:val="00C114D1"/>
    <w:rsid w:val="00C143CB"/>
    <w:rsid w:val="00C20301"/>
    <w:rsid w:val="00C26C7B"/>
    <w:rsid w:val="00C27093"/>
    <w:rsid w:val="00C41ACB"/>
    <w:rsid w:val="00C44824"/>
    <w:rsid w:val="00C47650"/>
    <w:rsid w:val="00C81C94"/>
    <w:rsid w:val="00C93C14"/>
    <w:rsid w:val="00CA2963"/>
    <w:rsid w:val="00CB43C5"/>
    <w:rsid w:val="00CB6415"/>
    <w:rsid w:val="00CD5DBF"/>
    <w:rsid w:val="00CF6C46"/>
    <w:rsid w:val="00CF7537"/>
    <w:rsid w:val="00D10E87"/>
    <w:rsid w:val="00D232C1"/>
    <w:rsid w:val="00D4040D"/>
    <w:rsid w:val="00D40DD9"/>
    <w:rsid w:val="00D47ABA"/>
    <w:rsid w:val="00D558F5"/>
    <w:rsid w:val="00D77D91"/>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A17A7"/>
    <w:rsid w:val="00EB4016"/>
    <w:rsid w:val="00EC4F61"/>
    <w:rsid w:val="00ED047B"/>
    <w:rsid w:val="00EE7121"/>
    <w:rsid w:val="00EF3699"/>
    <w:rsid w:val="00EF60A6"/>
    <w:rsid w:val="00F22D39"/>
    <w:rsid w:val="00F30A5F"/>
    <w:rsid w:val="00F42A5B"/>
    <w:rsid w:val="00F9138C"/>
    <w:rsid w:val="00F91DD0"/>
    <w:rsid w:val="00FA1162"/>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59C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uiPriority w:val="4"/>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uiPriority w:val="4"/>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 w:type="paragraph" w:customStyle="1" w:styleId="Heading4Numbered">
    <w:name w:val="Heading 4 Numbered"/>
    <w:basedOn w:val="Heading4"/>
    <w:next w:val="NormalIndent"/>
    <w:uiPriority w:val="4"/>
    <w:rsid w:val="00AD7D3D"/>
    <w:pPr>
      <w:spacing w:line="240" w:lineRule="auto"/>
      <w:ind w:left="851" w:hanging="851"/>
    </w:pPr>
    <w:rPr>
      <w:sz w:val="28"/>
      <w:szCs w:val="28"/>
      <w:lang w:eastAsia="en-GB"/>
    </w:rPr>
  </w:style>
  <w:style w:type="paragraph" w:styleId="NormalIndent">
    <w:name w:val="Normal Indent"/>
    <w:basedOn w:val="Normal"/>
    <w:semiHidden/>
    <w:unhideWhenUsed/>
    <w:qFormat/>
    <w:rsid w:val="00AD7D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Section/ContentListing.aspx?subsection=6391"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intranet.mha.org.uk/Interact/Pages/Content/Document.aspx?id=2466&amp;utm_source=interact&amp;utm_medium=quick_search&amp;utm_term=hours+of+wor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Content/Document.aspx?id=8798&amp;SearchId=0&amp;utm_source=interact&amp;utm_medium=category_search&amp;utm_term=*" TargetMode="External"/><Relationship Id="rId5" Type="http://schemas.openxmlformats.org/officeDocument/2006/relationships/webSettings" Target="webSettings.xml"/><Relationship Id="rId15" Type="http://schemas.openxmlformats.org/officeDocument/2006/relationships/hyperlink" Target="https://www.gov.uk/guidance/national-minimum-wage-work-experience-and-internships" TargetMode="External"/><Relationship Id="rId10" Type="http://schemas.openxmlformats.org/officeDocument/2006/relationships/hyperlink" Target="https://intranet.mha.org.uk/Interact/Pages/Content/Document.aspx?id=14200&amp;utm_source=interact&amp;utm_medium=quick_search&amp;utm_term=work+expe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hyperlink" Target="https://intranet.mha.org.uk/Interact/Pages/Section/ContentListing.aspx?subsection=4230"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9397FADB-F330-4225-9476-84DD74881AAA}"/>
</file>

<file path=customXml/itemProps3.xml><?xml version="1.0" encoding="utf-8"?>
<ds:datastoreItem xmlns:ds="http://schemas.openxmlformats.org/officeDocument/2006/customXml" ds:itemID="{E7D52719-3B76-4A26-BBED-ADFCF0441C62}"/>
</file>

<file path=customXml/itemProps4.xml><?xml version="1.0" encoding="utf-8"?>
<ds:datastoreItem xmlns:ds="http://schemas.openxmlformats.org/officeDocument/2006/customXml" ds:itemID="{C705CA84-E9E5-49F1-BF0E-362CA0F18FAF}"/>
</file>

<file path=docProps/app.xml><?xml version="1.0" encoding="utf-8"?>
<Properties xmlns="http://schemas.openxmlformats.org/officeDocument/2006/extended-properties" xmlns:vt="http://schemas.openxmlformats.org/officeDocument/2006/docPropsVTypes">
  <Template>Normal</Template>
  <TotalTime>0</TotalTime>
  <Pages>1</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2023-11-02T12:08:00Z</dcterms:created>
  <dcterms:modified xsi:type="dcterms:W3CDTF">2023-11-02T12:08:00Z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