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6143B3EC" w14:textId="71CF619F" w:rsidR="00DF67AA" w:rsidRDefault="00DF67AA" w:rsidP="00070650">
      <w:pPr>
        <w:rPr>
          <w:noProof/>
          <w:spacing w:val="10"/>
        </w:rPr>
      </w:pPr>
      <w:bookmarkStart w:id="0" w:name="TOC"/>
      <w:bookmarkStart w:id="1" w:name="_Toc117507298"/>
      <w:bookmarkStart w:id="2" w:name="_Toc117507165"/>
      <w:bookmarkStart w:id="3" w:name="_Toc117268426"/>
      <w:bookmarkStart w:id="4" w:name="_Toc117269235"/>
      <w:bookmarkStart w:id="5" w:name="_Toc117508253"/>
      <w:bookmarkEnd w:id="0"/>
    </w:p>
    <w:p w14:paraId="777FE96A" w14:textId="77777777" w:rsidR="00886D04" w:rsidRDefault="00886D04" w:rsidP="00886D04">
      <w:pPr>
        <w:rPr>
          <w:noProof/>
          <w:spacing w:val="10"/>
        </w:rPr>
      </w:pPr>
      <w:r w:rsidRPr="0063326C">
        <w:rPr>
          <w:noProof/>
          <w:spacing w:val="10"/>
        </w:rPr>
        <mc:AlternateContent>
          <mc:Choice Requires="wps">
            <w:drawing>
              <wp:inline distT="0" distB="0" distL="0" distR="0" wp14:anchorId="514C4842" wp14:editId="767CFB8B">
                <wp:extent cx="6058894" cy="1932167"/>
                <wp:effectExtent l="0" t="0" r="18415" b="15240"/>
                <wp:docPr id="125557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4B496A33" w14:textId="77777777" w:rsidR="00886D04" w:rsidRPr="00847753" w:rsidRDefault="00886D04" w:rsidP="00886D04">
                            <w:pPr>
                              <w:pStyle w:val="PolicyTitle"/>
                            </w:pPr>
                            <w:r w:rsidRPr="00D56CAB">
                              <w:t>Sickness Absence Management Policy</w:t>
                            </w:r>
                          </w:p>
                          <w:p w14:paraId="5A7C0AB5" w14:textId="77777777" w:rsidR="00886D04" w:rsidRPr="00847753" w:rsidRDefault="00886D04" w:rsidP="00886D04">
                            <w:pPr>
                              <w:pStyle w:val="PolicyCode"/>
                            </w:pPr>
                            <w:r>
                              <w:t>HR7.1 Employment Policies</w:t>
                            </w:r>
                          </w:p>
                          <w:p w14:paraId="63B395F9" w14:textId="6BE4D209" w:rsidR="00886D04" w:rsidRPr="00847753" w:rsidRDefault="008E3334" w:rsidP="00886D04">
                            <w:pPr>
                              <w:pStyle w:val="PolicyDate"/>
                            </w:pPr>
                            <w:r>
                              <w:t>January</w:t>
                            </w:r>
                            <w:r w:rsidR="00886D04">
                              <w:t xml:space="preserve"> 202</w:t>
                            </w:r>
                            <w:r>
                              <w:t>5</w:t>
                            </w:r>
                          </w:p>
                        </w:txbxContent>
                      </wps:txbx>
                      <wps:bodyPr rot="0" vert="horz" wrap="square" lIns="91440" tIns="45720" rIns="91440" bIns="45720" anchor="t" anchorCtr="0">
                        <a:spAutoFit/>
                      </wps:bodyPr>
                    </wps:wsp>
                  </a:graphicData>
                </a:graphic>
              </wp:inline>
            </w:drawing>
          </mc:Choice>
          <mc:Fallback>
            <w:pict>
              <v:shapetype w14:anchorId="514C4842"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4B496A33" w14:textId="77777777" w:rsidR="00886D04" w:rsidRPr="00847753" w:rsidRDefault="00886D04" w:rsidP="00886D04">
                      <w:pPr>
                        <w:pStyle w:val="PolicyTitle"/>
                      </w:pPr>
                      <w:r w:rsidRPr="00D56CAB">
                        <w:t>Sickness Absence Management Policy</w:t>
                      </w:r>
                    </w:p>
                    <w:p w14:paraId="5A7C0AB5" w14:textId="77777777" w:rsidR="00886D04" w:rsidRPr="00847753" w:rsidRDefault="00886D04" w:rsidP="00886D04">
                      <w:pPr>
                        <w:pStyle w:val="PolicyCode"/>
                      </w:pPr>
                      <w:r>
                        <w:t>HR7.1 Employment Policies</w:t>
                      </w:r>
                    </w:p>
                    <w:p w14:paraId="63B395F9" w14:textId="6BE4D209" w:rsidR="00886D04" w:rsidRPr="00847753" w:rsidRDefault="008E3334" w:rsidP="00886D04">
                      <w:pPr>
                        <w:pStyle w:val="PolicyDate"/>
                      </w:pPr>
                      <w:r>
                        <w:t>January</w:t>
                      </w:r>
                      <w:r w:rsidR="00886D04">
                        <w:t xml:space="preserve"> 202</w:t>
                      </w:r>
                      <w:r>
                        <w:t>5</w:t>
                      </w:r>
                    </w:p>
                  </w:txbxContent>
                </v:textbox>
                <w10:anchorlock/>
              </v:shape>
            </w:pict>
          </mc:Fallback>
        </mc:AlternateContent>
      </w:r>
    </w:p>
    <w:p w14:paraId="012A8684" w14:textId="77777777" w:rsidR="00886D04" w:rsidRDefault="00886D04" w:rsidP="00886D04">
      <w:pPr>
        <w:rPr>
          <w:noProof/>
        </w:rPr>
      </w:pPr>
    </w:p>
    <w:sdt>
      <w:sdtPr>
        <w:rPr>
          <w:rFonts w:cs="Arial"/>
          <w:b/>
          <w:bCs/>
          <w:noProof/>
          <w:sz w:val="28"/>
          <w:szCs w:val="28"/>
        </w:rPr>
        <w:id w:val="578872189"/>
        <w:docPartObj>
          <w:docPartGallery w:val="Table of Contents"/>
          <w:docPartUnique/>
        </w:docPartObj>
      </w:sdtPr>
      <w:sdtEndPr>
        <w:rPr>
          <w:rFonts w:cstheme="minorBidi"/>
          <w:b w:val="0"/>
          <w:bCs w:val="0"/>
          <w:sz w:val="24"/>
          <w:szCs w:val="24"/>
        </w:rPr>
      </w:sdtEndPr>
      <w:sdtContent>
        <w:p w14:paraId="577724EF" w14:textId="77777777" w:rsidR="00886D04" w:rsidRDefault="00886D04" w:rsidP="00886D04">
          <w:pPr>
            <w:rPr>
              <w:rFonts w:cs="Arial"/>
              <w:b/>
              <w:bCs/>
              <w:sz w:val="28"/>
              <w:szCs w:val="28"/>
            </w:rPr>
          </w:pPr>
          <w:r w:rsidRPr="00070650">
            <w:rPr>
              <w:rFonts w:cs="Arial"/>
              <w:b/>
              <w:bCs/>
              <w:sz w:val="28"/>
              <w:szCs w:val="28"/>
            </w:rPr>
            <w:t>Contents</w:t>
          </w:r>
        </w:p>
        <w:p w14:paraId="156C27A6" w14:textId="50D03855" w:rsidR="00EF3DC7" w:rsidRDefault="00886D04">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9988680" w:history="1">
            <w:r w:rsidR="00EF3DC7" w:rsidRPr="00370E25">
              <w:rPr>
                <w:rStyle w:val="Hyperlink"/>
              </w:rPr>
              <w:t>1</w:t>
            </w:r>
            <w:r w:rsidR="00EF3DC7">
              <w:rPr>
                <w:rFonts w:asciiTheme="minorHAnsi" w:eastAsiaTheme="minorEastAsia" w:hAnsiTheme="minorHAnsi"/>
                <w:kern w:val="2"/>
                <w:lang w:eastAsia="en-GB"/>
                <w14:ligatures w14:val="standardContextual"/>
              </w:rPr>
              <w:tab/>
            </w:r>
            <w:r w:rsidR="00EF3DC7" w:rsidRPr="00370E25">
              <w:rPr>
                <w:rStyle w:val="Hyperlink"/>
              </w:rPr>
              <w:t>Introduction</w:t>
            </w:r>
            <w:r w:rsidR="00EF3DC7">
              <w:rPr>
                <w:webHidden/>
              </w:rPr>
              <w:tab/>
            </w:r>
            <w:r w:rsidR="00EF3DC7">
              <w:rPr>
                <w:webHidden/>
              </w:rPr>
              <w:fldChar w:fldCharType="begin"/>
            </w:r>
            <w:r w:rsidR="00EF3DC7">
              <w:rPr>
                <w:webHidden/>
              </w:rPr>
              <w:instrText xml:space="preserve"> PAGEREF _Toc179988680 \h </w:instrText>
            </w:r>
            <w:r w:rsidR="00EF3DC7">
              <w:rPr>
                <w:webHidden/>
              </w:rPr>
            </w:r>
            <w:r w:rsidR="00EF3DC7">
              <w:rPr>
                <w:webHidden/>
              </w:rPr>
              <w:fldChar w:fldCharType="separate"/>
            </w:r>
            <w:r w:rsidR="0059348B">
              <w:rPr>
                <w:webHidden/>
              </w:rPr>
              <w:t>2</w:t>
            </w:r>
            <w:r w:rsidR="00EF3DC7">
              <w:rPr>
                <w:webHidden/>
              </w:rPr>
              <w:fldChar w:fldCharType="end"/>
            </w:r>
          </w:hyperlink>
        </w:p>
        <w:p w14:paraId="7139C213" w14:textId="535F1359" w:rsidR="00EF3DC7" w:rsidRDefault="00EF3DC7">
          <w:pPr>
            <w:pStyle w:val="TOC1"/>
            <w:rPr>
              <w:rFonts w:asciiTheme="minorHAnsi" w:eastAsiaTheme="minorEastAsia" w:hAnsiTheme="minorHAnsi"/>
              <w:kern w:val="2"/>
              <w:lang w:eastAsia="en-GB"/>
              <w14:ligatures w14:val="standardContextual"/>
            </w:rPr>
          </w:pPr>
          <w:hyperlink w:anchor="_Toc179988681" w:history="1">
            <w:r w:rsidRPr="00370E25">
              <w:rPr>
                <w:rStyle w:val="Hyperlink"/>
              </w:rPr>
              <w:t>2</w:t>
            </w:r>
            <w:r>
              <w:rPr>
                <w:rFonts w:asciiTheme="minorHAnsi" w:eastAsiaTheme="minorEastAsia" w:hAnsiTheme="minorHAnsi"/>
                <w:kern w:val="2"/>
                <w:lang w:eastAsia="en-GB"/>
                <w14:ligatures w14:val="standardContextual"/>
              </w:rPr>
              <w:tab/>
            </w:r>
            <w:r w:rsidRPr="00370E25">
              <w:rPr>
                <w:rStyle w:val="Hyperlink"/>
              </w:rPr>
              <w:t>Scope and Purpose</w:t>
            </w:r>
            <w:r>
              <w:rPr>
                <w:webHidden/>
              </w:rPr>
              <w:tab/>
            </w:r>
            <w:r>
              <w:rPr>
                <w:webHidden/>
              </w:rPr>
              <w:fldChar w:fldCharType="begin"/>
            </w:r>
            <w:r>
              <w:rPr>
                <w:webHidden/>
              </w:rPr>
              <w:instrText xml:space="preserve"> PAGEREF _Toc179988681 \h </w:instrText>
            </w:r>
            <w:r>
              <w:rPr>
                <w:webHidden/>
              </w:rPr>
            </w:r>
            <w:r>
              <w:rPr>
                <w:webHidden/>
              </w:rPr>
              <w:fldChar w:fldCharType="separate"/>
            </w:r>
            <w:r w:rsidR="0059348B">
              <w:rPr>
                <w:webHidden/>
              </w:rPr>
              <w:t>2</w:t>
            </w:r>
            <w:r>
              <w:rPr>
                <w:webHidden/>
              </w:rPr>
              <w:fldChar w:fldCharType="end"/>
            </w:r>
          </w:hyperlink>
        </w:p>
        <w:p w14:paraId="1157333F" w14:textId="795C24C4" w:rsidR="00EF3DC7" w:rsidRDefault="00EF3DC7" w:rsidP="00EF3DC7">
          <w:pPr>
            <w:pStyle w:val="TOC1"/>
            <w:rPr>
              <w:rFonts w:asciiTheme="minorHAnsi" w:eastAsiaTheme="minorEastAsia" w:hAnsiTheme="minorHAnsi"/>
              <w:kern w:val="2"/>
              <w:lang w:eastAsia="en-GB"/>
              <w14:ligatures w14:val="standardContextual"/>
            </w:rPr>
          </w:pPr>
          <w:hyperlink w:anchor="_Toc179988682" w:history="1">
            <w:r w:rsidRPr="00370E25">
              <w:rPr>
                <w:rStyle w:val="Hyperlink"/>
              </w:rPr>
              <w:t>3</w:t>
            </w:r>
            <w:r>
              <w:rPr>
                <w:rFonts w:asciiTheme="minorHAnsi" w:eastAsiaTheme="minorEastAsia" w:hAnsiTheme="minorHAnsi"/>
                <w:kern w:val="2"/>
                <w:lang w:eastAsia="en-GB"/>
                <w14:ligatures w14:val="standardContextual"/>
              </w:rPr>
              <w:tab/>
            </w:r>
            <w:r w:rsidRPr="00370E25">
              <w:rPr>
                <w:rStyle w:val="Hyperlink"/>
              </w:rPr>
              <w:t>Notification of Absence</w:t>
            </w:r>
            <w:r>
              <w:rPr>
                <w:webHidden/>
              </w:rPr>
              <w:tab/>
            </w:r>
            <w:r>
              <w:rPr>
                <w:webHidden/>
              </w:rPr>
              <w:fldChar w:fldCharType="begin"/>
            </w:r>
            <w:r>
              <w:rPr>
                <w:webHidden/>
              </w:rPr>
              <w:instrText xml:space="preserve"> PAGEREF _Toc179988682 \h </w:instrText>
            </w:r>
            <w:r>
              <w:rPr>
                <w:webHidden/>
              </w:rPr>
            </w:r>
            <w:r>
              <w:rPr>
                <w:webHidden/>
              </w:rPr>
              <w:fldChar w:fldCharType="separate"/>
            </w:r>
            <w:r w:rsidR="0059348B">
              <w:rPr>
                <w:webHidden/>
              </w:rPr>
              <w:t>2</w:t>
            </w:r>
            <w:r>
              <w:rPr>
                <w:webHidden/>
              </w:rPr>
              <w:fldChar w:fldCharType="end"/>
            </w:r>
          </w:hyperlink>
        </w:p>
        <w:p w14:paraId="5955BE2B" w14:textId="64EB4A00" w:rsidR="00EF3DC7" w:rsidRDefault="00EF3DC7">
          <w:pPr>
            <w:pStyle w:val="TOC1"/>
            <w:rPr>
              <w:rFonts w:asciiTheme="minorHAnsi" w:eastAsiaTheme="minorEastAsia" w:hAnsiTheme="minorHAnsi"/>
              <w:kern w:val="2"/>
              <w:lang w:eastAsia="en-GB"/>
              <w14:ligatures w14:val="standardContextual"/>
            </w:rPr>
          </w:pPr>
          <w:hyperlink w:anchor="_Toc179988684" w:history="1">
            <w:r w:rsidRPr="00370E25">
              <w:rPr>
                <w:rStyle w:val="Hyperlink"/>
              </w:rPr>
              <w:t>4</w:t>
            </w:r>
            <w:r>
              <w:rPr>
                <w:rFonts w:asciiTheme="minorHAnsi" w:eastAsiaTheme="minorEastAsia" w:hAnsiTheme="minorHAnsi"/>
                <w:kern w:val="2"/>
                <w:lang w:eastAsia="en-GB"/>
                <w14:ligatures w14:val="standardContextual"/>
              </w:rPr>
              <w:tab/>
            </w:r>
            <w:r w:rsidRPr="00370E25">
              <w:rPr>
                <w:rStyle w:val="Hyperlink"/>
              </w:rPr>
              <w:t>Returning to Work</w:t>
            </w:r>
            <w:r>
              <w:rPr>
                <w:webHidden/>
              </w:rPr>
              <w:tab/>
            </w:r>
            <w:r>
              <w:rPr>
                <w:webHidden/>
              </w:rPr>
              <w:fldChar w:fldCharType="begin"/>
            </w:r>
            <w:r>
              <w:rPr>
                <w:webHidden/>
              </w:rPr>
              <w:instrText xml:space="preserve"> PAGEREF _Toc179988684 \h </w:instrText>
            </w:r>
            <w:r>
              <w:rPr>
                <w:webHidden/>
              </w:rPr>
            </w:r>
            <w:r>
              <w:rPr>
                <w:webHidden/>
              </w:rPr>
              <w:fldChar w:fldCharType="separate"/>
            </w:r>
            <w:r w:rsidR="0059348B">
              <w:rPr>
                <w:webHidden/>
              </w:rPr>
              <w:t>4</w:t>
            </w:r>
            <w:r>
              <w:rPr>
                <w:webHidden/>
              </w:rPr>
              <w:fldChar w:fldCharType="end"/>
            </w:r>
          </w:hyperlink>
        </w:p>
        <w:p w14:paraId="496D5FFF" w14:textId="1BC73A66" w:rsidR="00EF3DC7" w:rsidRDefault="00EF3DC7">
          <w:pPr>
            <w:pStyle w:val="TOC1"/>
            <w:rPr>
              <w:rFonts w:asciiTheme="minorHAnsi" w:eastAsiaTheme="minorEastAsia" w:hAnsiTheme="minorHAnsi"/>
              <w:kern w:val="2"/>
              <w:lang w:eastAsia="en-GB"/>
              <w14:ligatures w14:val="standardContextual"/>
            </w:rPr>
          </w:pPr>
          <w:hyperlink w:anchor="_Toc179988685" w:history="1">
            <w:r w:rsidRPr="00370E25">
              <w:rPr>
                <w:rStyle w:val="Hyperlink"/>
              </w:rPr>
              <w:t>5</w:t>
            </w:r>
            <w:r>
              <w:rPr>
                <w:rFonts w:asciiTheme="minorHAnsi" w:eastAsiaTheme="minorEastAsia" w:hAnsiTheme="minorHAnsi"/>
                <w:kern w:val="2"/>
                <w:lang w:eastAsia="en-GB"/>
                <w14:ligatures w14:val="standardContextual"/>
              </w:rPr>
              <w:tab/>
            </w:r>
            <w:r w:rsidRPr="00370E25">
              <w:rPr>
                <w:rStyle w:val="Hyperlink"/>
              </w:rPr>
              <w:t>Referrals to Occupational Health</w:t>
            </w:r>
            <w:r>
              <w:rPr>
                <w:webHidden/>
              </w:rPr>
              <w:tab/>
            </w:r>
            <w:r>
              <w:rPr>
                <w:webHidden/>
              </w:rPr>
              <w:fldChar w:fldCharType="begin"/>
            </w:r>
            <w:r>
              <w:rPr>
                <w:webHidden/>
              </w:rPr>
              <w:instrText xml:space="preserve"> PAGEREF _Toc179988685 \h </w:instrText>
            </w:r>
            <w:r>
              <w:rPr>
                <w:webHidden/>
              </w:rPr>
            </w:r>
            <w:r>
              <w:rPr>
                <w:webHidden/>
              </w:rPr>
              <w:fldChar w:fldCharType="separate"/>
            </w:r>
            <w:r w:rsidR="0059348B">
              <w:rPr>
                <w:webHidden/>
              </w:rPr>
              <w:t>5</w:t>
            </w:r>
            <w:r>
              <w:rPr>
                <w:webHidden/>
              </w:rPr>
              <w:fldChar w:fldCharType="end"/>
            </w:r>
          </w:hyperlink>
        </w:p>
        <w:p w14:paraId="04089474" w14:textId="1ACF57C3" w:rsidR="00EF3DC7" w:rsidRDefault="00EF3DC7">
          <w:pPr>
            <w:pStyle w:val="TOC1"/>
            <w:rPr>
              <w:rFonts w:asciiTheme="minorHAnsi" w:eastAsiaTheme="minorEastAsia" w:hAnsiTheme="minorHAnsi"/>
              <w:kern w:val="2"/>
              <w:lang w:eastAsia="en-GB"/>
              <w14:ligatures w14:val="standardContextual"/>
            </w:rPr>
          </w:pPr>
          <w:hyperlink w:anchor="_Toc179988686" w:history="1">
            <w:r w:rsidRPr="00370E25">
              <w:rPr>
                <w:rStyle w:val="Hyperlink"/>
              </w:rPr>
              <w:t>6</w:t>
            </w:r>
            <w:r>
              <w:rPr>
                <w:rFonts w:asciiTheme="minorHAnsi" w:eastAsiaTheme="minorEastAsia" w:hAnsiTheme="minorHAnsi"/>
                <w:kern w:val="2"/>
                <w:lang w:eastAsia="en-GB"/>
                <w14:ligatures w14:val="standardContextual"/>
              </w:rPr>
              <w:tab/>
            </w:r>
            <w:r w:rsidRPr="00370E25">
              <w:rPr>
                <w:rStyle w:val="Hyperlink"/>
              </w:rPr>
              <w:t>Sickness Absence and the Equality Act</w:t>
            </w:r>
            <w:r>
              <w:rPr>
                <w:webHidden/>
              </w:rPr>
              <w:tab/>
            </w:r>
            <w:r>
              <w:rPr>
                <w:webHidden/>
              </w:rPr>
              <w:fldChar w:fldCharType="begin"/>
            </w:r>
            <w:r>
              <w:rPr>
                <w:webHidden/>
              </w:rPr>
              <w:instrText xml:space="preserve"> PAGEREF _Toc179988686 \h </w:instrText>
            </w:r>
            <w:r>
              <w:rPr>
                <w:webHidden/>
              </w:rPr>
            </w:r>
            <w:r>
              <w:rPr>
                <w:webHidden/>
              </w:rPr>
              <w:fldChar w:fldCharType="separate"/>
            </w:r>
            <w:r w:rsidR="0059348B">
              <w:rPr>
                <w:webHidden/>
              </w:rPr>
              <w:t>6</w:t>
            </w:r>
            <w:r>
              <w:rPr>
                <w:webHidden/>
              </w:rPr>
              <w:fldChar w:fldCharType="end"/>
            </w:r>
          </w:hyperlink>
        </w:p>
        <w:p w14:paraId="5833DF4F" w14:textId="76F2E907" w:rsidR="00EF3DC7" w:rsidRDefault="00EF3DC7">
          <w:pPr>
            <w:pStyle w:val="TOC1"/>
            <w:rPr>
              <w:rFonts w:asciiTheme="minorHAnsi" w:eastAsiaTheme="minorEastAsia" w:hAnsiTheme="minorHAnsi"/>
              <w:kern w:val="2"/>
              <w:lang w:eastAsia="en-GB"/>
              <w14:ligatures w14:val="standardContextual"/>
            </w:rPr>
          </w:pPr>
          <w:hyperlink w:anchor="_Toc179988687" w:history="1">
            <w:r w:rsidRPr="00370E25">
              <w:rPr>
                <w:rStyle w:val="Hyperlink"/>
              </w:rPr>
              <w:t>7</w:t>
            </w:r>
            <w:r>
              <w:rPr>
                <w:rFonts w:asciiTheme="minorHAnsi" w:eastAsiaTheme="minorEastAsia" w:hAnsiTheme="minorHAnsi"/>
                <w:kern w:val="2"/>
                <w:lang w:eastAsia="en-GB"/>
                <w14:ligatures w14:val="standardContextual"/>
              </w:rPr>
              <w:tab/>
            </w:r>
            <w:r w:rsidRPr="00370E25">
              <w:rPr>
                <w:rStyle w:val="Hyperlink"/>
              </w:rPr>
              <w:t>Short Term Absences – The Bradford Factor</w:t>
            </w:r>
            <w:r>
              <w:rPr>
                <w:webHidden/>
              </w:rPr>
              <w:tab/>
            </w:r>
            <w:r>
              <w:rPr>
                <w:webHidden/>
              </w:rPr>
              <w:fldChar w:fldCharType="begin"/>
            </w:r>
            <w:r>
              <w:rPr>
                <w:webHidden/>
              </w:rPr>
              <w:instrText xml:space="preserve"> PAGEREF _Toc179988687 \h </w:instrText>
            </w:r>
            <w:r>
              <w:rPr>
                <w:webHidden/>
              </w:rPr>
            </w:r>
            <w:r>
              <w:rPr>
                <w:webHidden/>
              </w:rPr>
              <w:fldChar w:fldCharType="separate"/>
            </w:r>
            <w:r w:rsidR="0059348B">
              <w:rPr>
                <w:webHidden/>
              </w:rPr>
              <w:t>6</w:t>
            </w:r>
            <w:r>
              <w:rPr>
                <w:webHidden/>
              </w:rPr>
              <w:fldChar w:fldCharType="end"/>
            </w:r>
          </w:hyperlink>
        </w:p>
        <w:p w14:paraId="590ACA3E" w14:textId="70F7B006" w:rsidR="00EF3DC7" w:rsidRDefault="00EF3DC7">
          <w:pPr>
            <w:pStyle w:val="TOC1"/>
            <w:rPr>
              <w:rFonts w:asciiTheme="minorHAnsi" w:eastAsiaTheme="minorEastAsia" w:hAnsiTheme="minorHAnsi"/>
              <w:kern w:val="2"/>
              <w:lang w:eastAsia="en-GB"/>
              <w14:ligatures w14:val="standardContextual"/>
            </w:rPr>
          </w:pPr>
          <w:hyperlink w:anchor="_Toc179988688" w:history="1">
            <w:r w:rsidRPr="00370E25">
              <w:rPr>
                <w:rStyle w:val="Hyperlink"/>
              </w:rPr>
              <w:t>8</w:t>
            </w:r>
            <w:r>
              <w:rPr>
                <w:rFonts w:asciiTheme="minorHAnsi" w:eastAsiaTheme="minorEastAsia" w:hAnsiTheme="minorHAnsi"/>
                <w:kern w:val="2"/>
                <w:lang w:eastAsia="en-GB"/>
                <w14:ligatures w14:val="standardContextual"/>
              </w:rPr>
              <w:tab/>
            </w:r>
            <w:r w:rsidRPr="00370E25">
              <w:rPr>
                <w:rStyle w:val="Hyperlink"/>
              </w:rPr>
              <w:t>Long Term Absences</w:t>
            </w:r>
            <w:r>
              <w:rPr>
                <w:webHidden/>
              </w:rPr>
              <w:tab/>
            </w:r>
            <w:r>
              <w:rPr>
                <w:webHidden/>
              </w:rPr>
              <w:fldChar w:fldCharType="begin"/>
            </w:r>
            <w:r>
              <w:rPr>
                <w:webHidden/>
              </w:rPr>
              <w:instrText xml:space="preserve"> PAGEREF _Toc179988688 \h </w:instrText>
            </w:r>
            <w:r>
              <w:rPr>
                <w:webHidden/>
              </w:rPr>
            </w:r>
            <w:r>
              <w:rPr>
                <w:webHidden/>
              </w:rPr>
              <w:fldChar w:fldCharType="separate"/>
            </w:r>
            <w:r w:rsidR="0059348B">
              <w:rPr>
                <w:webHidden/>
              </w:rPr>
              <w:t>7</w:t>
            </w:r>
            <w:r>
              <w:rPr>
                <w:webHidden/>
              </w:rPr>
              <w:fldChar w:fldCharType="end"/>
            </w:r>
          </w:hyperlink>
        </w:p>
        <w:p w14:paraId="0DFD7F9F" w14:textId="774CB9DF" w:rsidR="00EF3DC7" w:rsidRDefault="00EF3DC7">
          <w:pPr>
            <w:pStyle w:val="TOC1"/>
            <w:rPr>
              <w:rFonts w:asciiTheme="minorHAnsi" w:eastAsiaTheme="minorEastAsia" w:hAnsiTheme="minorHAnsi"/>
              <w:kern w:val="2"/>
              <w:lang w:eastAsia="en-GB"/>
              <w14:ligatures w14:val="standardContextual"/>
            </w:rPr>
          </w:pPr>
          <w:hyperlink w:anchor="_Toc179988689" w:history="1">
            <w:r w:rsidRPr="00370E25">
              <w:rPr>
                <w:rStyle w:val="Hyperlink"/>
              </w:rPr>
              <w:t>9</w:t>
            </w:r>
            <w:r>
              <w:rPr>
                <w:rFonts w:asciiTheme="minorHAnsi" w:eastAsiaTheme="minorEastAsia" w:hAnsiTheme="minorHAnsi"/>
                <w:kern w:val="2"/>
                <w:lang w:eastAsia="en-GB"/>
                <w14:ligatures w14:val="standardContextual"/>
              </w:rPr>
              <w:tab/>
            </w:r>
            <w:r w:rsidRPr="00370E25">
              <w:rPr>
                <w:rStyle w:val="Hyperlink"/>
              </w:rPr>
              <w:t>Third Party Claims for Losses or Damages</w:t>
            </w:r>
            <w:r>
              <w:rPr>
                <w:webHidden/>
              </w:rPr>
              <w:tab/>
            </w:r>
            <w:r>
              <w:rPr>
                <w:webHidden/>
              </w:rPr>
              <w:fldChar w:fldCharType="begin"/>
            </w:r>
            <w:r>
              <w:rPr>
                <w:webHidden/>
              </w:rPr>
              <w:instrText xml:space="preserve"> PAGEREF _Toc179988689 \h </w:instrText>
            </w:r>
            <w:r>
              <w:rPr>
                <w:webHidden/>
              </w:rPr>
            </w:r>
            <w:r>
              <w:rPr>
                <w:webHidden/>
              </w:rPr>
              <w:fldChar w:fldCharType="separate"/>
            </w:r>
            <w:r w:rsidR="0059348B">
              <w:rPr>
                <w:webHidden/>
              </w:rPr>
              <w:t>9</w:t>
            </w:r>
            <w:r>
              <w:rPr>
                <w:webHidden/>
              </w:rPr>
              <w:fldChar w:fldCharType="end"/>
            </w:r>
          </w:hyperlink>
        </w:p>
        <w:p w14:paraId="5115BB18" w14:textId="66B0F73A" w:rsidR="00EF3DC7" w:rsidRDefault="00EF3DC7">
          <w:pPr>
            <w:pStyle w:val="TOC1"/>
            <w:rPr>
              <w:rFonts w:asciiTheme="minorHAnsi" w:eastAsiaTheme="minorEastAsia" w:hAnsiTheme="minorHAnsi"/>
              <w:kern w:val="2"/>
              <w:lang w:eastAsia="en-GB"/>
              <w14:ligatures w14:val="standardContextual"/>
            </w:rPr>
          </w:pPr>
          <w:hyperlink w:anchor="_Toc179988690" w:history="1">
            <w:r w:rsidRPr="00370E25">
              <w:rPr>
                <w:rStyle w:val="Hyperlink"/>
              </w:rPr>
              <w:t>10</w:t>
            </w:r>
            <w:r>
              <w:rPr>
                <w:rFonts w:asciiTheme="minorHAnsi" w:eastAsiaTheme="minorEastAsia" w:hAnsiTheme="minorHAnsi"/>
                <w:kern w:val="2"/>
                <w:lang w:eastAsia="en-GB"/>
                <w14:ligatures w14:val="standardContextual"/>
              </w:rPr>
              <w:tab/>
            </w:r>
            <w:r w:rsidRPr="00370E25">
              <w:rPr>
                <w:rStyle w:val="Hyperlink"/>
              </w:rPr>
              <w:t>Roles and Responsibilities</w:t>
            </w:r>
            <w:r>
              <w:rPr>
                <w:webHidden/>
              </w:rPr>
              <w:tab/>
            </w:r>
            <w:r>
              <w:rPr>
                <w:webHidden/>
              </w:rPr>
              <w:fldChar w:fldCharType="begin"/>
            </w:r>
            <w:r>
              <w:rPr>
                <w:webHidden/>
              </w:rPr>
              <w:instrText xml:space="preserve"> PAGEREF _Toc179988690 \h </w:instrText>
            </w:r>
            <w:r>
              <w:rPr>
                <w:webHidden/>
              </w:rPr>
            </w:r>
            <w:r>
              <w:rPr>
                <w:webHidden/>
              </w:rPr>
              <w:fldChar w:fldCharType="separate"/>
            </w:r>
            <w:r w:rsidR="0059348B">
              <w:rPr>
                <w:webHidden/>
              </w:rPr>
              <w:t>9</w:t>
            </w:r>
            <w:r>
              <w:rPr>
                <w:webHidden/>
              </w:rPr>
              <w:fldChar w:fldCharType="end"/>
            </w:r>
          </w:hyperlink>
        </w:p>
        <w:p w14:paraId="49B77ABC" w14:textId="7FE0FFFD" w:rsidR="00EF3DC7" w:rsidRDefault="00EF3DC7">
          <w:pPr>
            <w:pStyle w:val="TOC1"/>
            <w:rPr>
              <w:rFonts w:asciiTheme="minorHAnsi" w:eastAsiaTheme="minorEastAsia" w:hAnsiTheme="minorHAnsi"/>
              <w:kern w:val="2"/>
              <w:lang w:eastAsia="en-GB"/>
              <w14:ligatures w14:val="standardContextual"/>
            </w:rPr>
          </w:pPr>
          <w:hyperlink w:anchor="_Toc179988691" w:history="1">
            <w:r w:rsidRPr="00370E25">
              <w:rPr>
                <w:rStyle w:val="Hyperlink"/>
              </w:rPr>
              <w:t>11</w:t>
            </w:r>
            <w:r>
              <w:rPr>
                <w:rFonts w:asciiTheme="minorHAnsi" w:eastAsiaTheme="minorEastAsia" w:hAnsiTheme="minorHAnsi"/>
                <w:kern w:val="2"/>
                <w:lang w:eastAsia="en-GB"/>
                <w14:ligatures w14:val="standardContextual"/>
              </w:rPr>
              <w:tab/>
            </w:r>
            <w:r w:rsidRPr="00370E25">
              <w:rPr>
                <w:rStyle w:val="Hyperlink"/>
              </w:rPr>
              <w:t>Training and Monitoring</w:t>
            </w:r>
            <w:r>
              <w:rPr>
                <w:webHidden/>
              </w:rPr>
              <w:tab/>
            </w:r>
            <w:r>
              <w:rPr>
                <w:webHidden/>
              </w:rPr>
              <w:fldChar w:fldCharType="begin"/>
            </w:r>
            <w:r>
              <w:rPr>
                <w:webHidden/>
              </w:rPr>
              <w:instrText xml:space="preserve"> PAGEREF _Toc179988691 \h </w:instrText>
            </w:r>
            <w:r>
              <w:rPr>
                <w:webHidden/>
              </w:rPr>
            </w:r>
            <w:r>
              <w:rPr>
                <w:webHidden/>
              </w:rPr>
              <w:fldChar w:fldCharType="separate"/>
            </w:r>
            <w:r w:rsidR="0059348B">
              <w:rPr>
                <w:webHidden/>
              </w:rPr>
              <w:t>9</w:t>
            </w:r>
            <w:r>
              <w:rPr>
                <w:webHidden/>
              </w:rPr>
              <w:fldChar w:fldCharType="end"/>
            </w:r>
          </w:hyperlink>
        </w:p>
        <w:p w14:paraId="1EEC512B" w14:textId="5A7A8D68" w:rsidR="00EF3DC7" w:rsidRDefault="00EF3DC7">
          <w:pPr>
            <w:pStyle w:val="TOC1"/>
            <w:rPr>
              <w:rFonts w:asciiTheme="minorHAnsi" w:eastAsiaTheme="minorEastAsia" w:hAnsiTheme="minorHAnsi"/>
              <w:kern w:val="2"/>
              <w:lang w:eastAsia="en-GB"/>
              <w14:ligatures w14:val="standardContextual"/>
            </w:rPr>
          </w:pPr>
          <w:hyperlink w:anchor="_Toc179988692" w:history="1">
            <w:r w:rsidRPr="00370E25">
              <w:rPr>
                <w:rStyle w:val="Hyperlink"/>
              </w:rPr>
              <w:t>12</w:t>
            </w:r>
            <w:r>
              <w:rPr>
                <w:rFonts w:asciiTheme="minorHAnsi" w:eastAsiaTheme="minorEastAsia" w:hAnsiTheme="minorHAnsi"/>
                <w:kern w:val="2"/>
                <w:lang w:eastAsia="en-GB"/>
                <w14:ligatures w14:val="standardContextual"/>
              </w:rPr>
              <w:tab/>
            </w:r>
            <w:r w:rsidRPr="00370E25">
              <w:rPr>
                <w:rStyle w:val="Hyperlink"/>
              </w:rPr>
              <w:t>Communication and Dissemination</w:t>
            </w:r>
            <w:r>
              <w:rPr>
                <w:webHidden/>
              </w:rPr>
              <w:tab/>
            </w:r>
            <w:r>
              <w:rPr>
                <w:webHidden/>
              </w:rPr>
              <w:fldChar w:fldCharType="begin"/>
            </w:r>
            <w:r>
              <w:rPr>
                <w:webHidden/>
              </w:rPr>
              <w:instrText xml:space="preserve"> PAGEREF _Toc179988692 \h </w:instrText>
            </w:r>
            <w:r>
              <w:rPr>
                <w:webHidden/>
              </w:rPr>
            </w:r>
            <w:r>
              <w:rPr>
                <w:webHidden/>
              </w:rPr>
              <w:fldChar w:fldCharType="separate"/>
            </w:r>
            <w:r w:rsidR="0059348B">
              <w:rPr>
                <w:webHidden/>
              </w:rPr>
              <w:t>10</w:t>
            </w:r>
            <w:r>
              <w:rPr>
                <w:webHidden/>
              </w:rPr>
              <w:fldChar w:fldCharType="end"/>
            </w:r>
          </w:hyperlink>
        </w:p>
        <w:p w14:paraId="6AF2B469" w14:textId="3F238C88" w:rsidR="00EF3DC7" w:rsidRDefault="00EF3DC7">
          <w:pPr>
            <w:pStyle w:val="TOC1"/>
            <w:rPr>
              <w:rFonts w:asciiTheme="minorHAnsi" w:eastAsiaTheme="minorEastAsia" w:hAnsiTheme="minorHAnsi"/>
              <w:kern w:val="2"/>
              <w:lang w:eastAsia="en-GB"/>
              <w14:ligatures w14:val="standardContextual"/>
            </w:rPr>
          </w:pPr>
          <w:hyperlink w:anchor="_Toc179988693" w:history="1">
            <w:r w:rsidRPr="00370E25">
              <w:rPr>
                <w:rStyle w:val="Hyperlink"/>
              </w:rPr>
              <w:t>13</w:t>
            </w:r>
            <w:r>
              <w:rPr>
                <w:rFonts w:asciiTheme="minorHAnsi" w:eastAsiaTheme="minorEastAsia" w:hAnsiTheme="minorHAnsi"/>
                <w:kern w:val="2"/>
                <w:lang w:eastAsia="en-GB"/>
                <w14:ligatures w14:val="standardContextual"/>
              </w:rPr>
              <w:tab/>
            </w:r>
            <w:r w:rsidRPr="00370E25">
              <w:rPr>
                <w:rStyle w:val="Hyperlink"/>
              </w:rPr>
              <w:t>EDI Impact Assessments</w:t>
            </w:r>
            <w:r>
              <w:rPr>
                <w:webHidden/>
              </w:rPr>
              <w:tab/>
            </w:r>
            <w:r>
              <w:rPr>
                <w:webHidden/>
              </w:rPr>
              <w:fldChar w:fldCharType="begin"/>
            </w:r>
            <w:r>
              <w:rPr>
                <w:webHidden/>
              </w:rPr>
              <w:instrText xml:space="preserve"> PAGEREF _Toc179988693 \h </w:instrText>
            </w:r>
            <w:r>
              <w:rPr>
                <w:webHidden/>
              </w:rPr>
            </w:r>
            <w:r>
              <w:rPr>
                <w:webHidden/>
              </w:rPr>
              <w:fldChar w:fldCharType="separate"/>
            </w:r>
            <w:r w:rsidR="0059348B">
              <w:rPr>
                <w:webHidden/>
              </w:rPr>
              <w:t>10</w:t>
            </w:r>
            <w:r>
              <w:rPr>
                <w:webHidden/>
              </w:rPr>
              <w:fldChar w:fldCharType="end"/>
            </w:r>
          </w:hyperlink>
        </w:p>
        <w:p w14:paraId="7C001F85" w14:textId="3718BC12" w:rsidR="00EF3DC7" w:rsidRDefault="00EF3DC7">
          <w:pPr>
            <w:pStyle w:val="TOC1"/>
            <w:rPr>
              <w:rFonts w:asciiTheme="minorHAnsi" w:eastAsiaTheme="minorEastAsia" w:hAnsiTheme="minorHAnsi"/>
              <w:kern w:val="2"/>
              <w:lang w:eastAsia="en-GB"/>
              <w14:ligatures w14:val="standardContextual"/>
            </w:rPr>
          </w:pPr>
          <w:hyperlink w:anchor="_Toc179988694" w:history="1">
            <w:r w:rsidRPr="00370E25">
              <w:rPr>
                <w:rStyle w:val="Hyperlink"/>
              </w:rPr>
              <w:t>14</w:t>
            </w:r>
            <w:r>
              <w:rPr>
                <w:rFonts w:asciiTheme="minorHAnsi" w:eastAsiaTheme="minorEastAsia" w:hAnsiTheme="minorHAnsi"/>
                <w:kern w:val="2"/>
                <w:lang w:eastAsia="en-GB"/>
                <w14:ligatures w14:val="standardContextual"/>
              </w:rPr>
              <w:tab/>
            </w:r>
            <w:r w:rsidRPr="00370E25">
              <w:rPr>
                <w:rStyle w:val="Hyperlink"/>
              </w:rPr>
              <w:t>Resources</w:t>
            </w:r>
            <w:r>
              <w:rPr>
                <w:webHidden/>
              </w:rPr>
              <w:tab/>
            </w:r>
            <w:r>
              <w:rPr>
                <w:webHidden/>
              </w:rPr>
              <w:fldChar w:fldCharType="begin"/>
            </w:r>
            <w:r>
              <w:rPr>
                <w:webHidden/>
              </w:rPr>
              <w:instrText xml:space="preserve"> PAGEREF _Toc179988694 \h </w:instrText>
            </w:r>
            <w:r>
              <w:rPr>
                <w:webHidden/>
              </w:rPr>
            </w:r>
            <w:r>
              <w:rPr>
                <w:webHidden/>
              </w:rPr>
              <w:fldChar w:fldCharType="separate"/>
            </w:r>
            <w:r w:rsidR="0059348B">
              <w:rPr>
                <w:webHidden/>
              </w:rPr>
              <w:t>10</w:t>
            </w:r>
            <w:r>
              <w:rPr>
                <w:webHidden/>
              </w:rPr>
              <w:fldChar w:fldCharType="end"/>
            </w:r>
          </w:hyperlink>
        </w:p>
        <w:p w14:paraId="2BC6296E" w14:textId="69605908" w:rsidR="00EF3DC7" w:rsidRDefault="00EF3DC7">
          <w:pPr>
            <w:pStyle w:val="TOC1"/>
            <w:rPr>
              <w:rFonts w:asciiTheme="minorHAnsi" w:eastAsiaTheme="minorEastAsia" w:hAnsiTheme="minorHAnsi"/>
              <w:kern w:val="2"/>
              <w:lang w:eastAsia="en-GB"/>
              <w14:ligatures w14:val="standardContextual"/>
            </w:rPr>
          </w:pPr>
          <w:hyperlink w:anchor="_Toc179988695" w:history="1">
            <w:r w:rsidRPr="00370E25">
              <w:rPr>
                <w:rStyle w:val="Hyperlink"/>
              </w:rPr>
              <w:t>15</w:t>
            </w:r>
            <w:r>
              <w:rPr>
                <w:rFonts w:asciiTheme="minorHAnsi" w:eastAsiaTheme="minorEastAsia" w:hAnsiTheme="minorHAnsi"/>
                <w:kern w:val="2"/>
                <w:lang w:eastAsia="en-GB"/>
                <w14:ligatures w14:val="standardContextual"/>
              </w:rPr>
              <w:tab/>
            </w:r>
            <w:r w:rsidRPr="00370E25">
              <w:rPr>
                <w:rStyle w:val="Hyperlink"/>
              </w:rPr>
              <w:t>Appendices</w:t>
            </w:r>
            <w:r>
              <w:rPr>
                <w:webHidden/>
              </w:rPr>
              <w:tab/>
            </w:r>
            <w:r>
              <w:rPr>
                <w:webHidden/>
              </w:rPr>
              <w:fldChar w:fldCharType="begin"/>
            </w:r>
            <w:r>
              <w:rPr>
                <w:webHidden/>
              </w:rPr>
              <w:instrText xml:space="preserve"> PAGEREF _Toc179988695 \h </w:instrText>
            </w:r>
            <w:r>
              <w:rPr>
                <w:webHidden/>
              </w:rPr>
            </w:r>
            <w:r>
              <w:rPr>
                <w:webHidden/>
              </w:rPr>
              <w:fldChar w:fldCharType="separate"/>
            </w:r>
            <w:r w:rsidR="0059348B">
              <w:rPr>
                <w:webHidden/>
              </w:rPr>
              <w:t>11</w:t>
            </w:r>
            <w:r>
              <w:rPr>
                <w:webHidden/>
              </w:rPr>
              <w:fldChar w:fldCharType="end"/>
            </w:r>
          </w:hyperlink>
        </w:p>
        <w:p w14:paraId="6C301B07" w14:textId="05DE000F" w:rsidR="00EF3DC7" w:rsidRDefault="00EF3DC7">
          <w:pPr>
            <w:pStyle w:val="TOC2"/>
            <w:rPr>
              <w:rFonts w:asciiTheme="minorHAnsi" w:eastAsiaTheme="minorEastAsia" w:hAnsiTheme="minorHAnsi"/>
              <w:kern w:val="2"/>
              <w:lang w:eastAsia="en-GB"/>
              <w14:ligatures w14:val="standardContextual"/>
            </w:rPr>
          </w:pPr>
          <w:hyperlink w:anchor="_Toc179988696" w:history="1">
            <w:r w:rsidRPr="00370E25">
              <w:rPr>
                <w:rStyle w:val="Hyperlink"/>
              </w:rPr>
              <w:t>15.1</w:t>
            </w:r>
            <w:r>
              <w:rPr>
                <w:rFonts w:asciiTheme="minorHAnsi" w:eastAsiaTheme="minorEastAsia" w:hAnsiTheme="minorHAnsi"/>
                <w:kern w:val="2"/>
                <w:lang w:eastAsia="en-GB"/>
                <w14:ligatures w14:val="standardContextual"/>
              </w:rPr>
              <w:tab/>
            </w:r>
            <w:r w:rsidRPr="00370E25">
              <w:rPr>
                <w:rStyle w:val="Hyperlink"/>
              </w:rPr>
              <w:t>Appendix 1: Return to Work Interview Guidance</w:t>
            </w:r>
            <w:r>
              <w:rPr>
                <w:webHidden/>
              </w:rPr>
              <w:tab/>
            </w:r>
            <w:r>
              <w:rPr>
                <w:webHidden/>
              </w:rPr>
              <w:fldChar w:fldCharType="begin"/>
            </w:r>
            <w:r>
              <w:rPr>
                <w:webHidden/>
              </w:rPr>
              <w:instrText xml:space="preserve"> PAGEREF _Toc179988696 \h </w:instrText>
            </w:r>
            <w:r>
              <w:rPr>
                <w:webHidden/>
              </w:rPr>
            </w:r>
            <w:r>
              <w:rPr>
                <w:webHidden/>
              </w:rPr>
              <w:fldChar w:fldCharType="separate"/>
            </w:r>
            <w:r w:rsidR="0059348B">
              <w:rPr>
                <w:webHidden/>
              </w:rPr>
              <w:t>11</w:t>
            </w:r>
            <w:r>
              <w:rPr>
                <w:webHidden/>
              </w:rPr>
              <w:fldChar w:fldCharType="end"/>
            </w:r>
          </w:hyperlink>
        </w:p>
        <w:p w14:paraId="0C89D2FB" w14:textId="4EA9BF64" w:rsidR="00EF3DC7" w:rsidRDefault="00EF3DC7">
          <w:pPr>
            <w:pStyle w:val="TOC2"/>
            <w:rPr>
              <w:rFonts w:asciiTheme="minorHAnsi" w:eastAsiaTheme="minorEastAsia" w:hAnsiTheme="minorHAnsi"/>
              <w:kern w:val="2"/>
              <w:lang w:eastAsia="en-GB"/>
              <w14:ligatures w14:val="standardContextual"/>
            </w:rPr>
          </w:pPr>
          <w:hyperlink w:anchor="_Toc179988697" w:history="1">
            <w:r w:rsidRPr="00370E25">
              <w:rPr>
                <w:rStyle w:val="Hyperlink"/>
              </w:rPr>
              <w:t>15.2</w:t>
            </w:r>
            <w:r>
              <w:rPr>
                <w:rFonts w:asciiTheme="minorHAnsi" w:eastAsiaTheme="minorEastAsia" w:hAnsiTheme="minorHAnsi"/>
                <w:kern w:val="2"/>
                <w:lang w:eastAsia="en-GB"/>
                <w14:ligatures w14:val="standardContextual"/>
              </w:rPr>
              <w:tab/>
            </w:r>
            <w:r w:rsidRPr="00370E25">
              <w:rPr>
                <w:rStyle w:val="Hyperlink"/>
              </w:rPr>
              <w:t>Appendix 2: Occupational Health Referral Guidance</w:t>
            </w:r>
            <w:r>
              <w:rPr>
                <w:webHidden/>
              </w:rPr>
              <w:tab/>
            </w:r>
            <w:r>
              <w:rPr>
                <w:webHidden/>
              </w:rPr>
              <w:fldChar w:fldCharType="begin"/>
            </w:r>
            <w:r>
              <w:rPr>
                <w:webHidden/>
              </w:rPr>
              <w:instrText xml:space="preserve"> PAGEREF _Toc179988697 \h </w:instrText>
            </w:r>
            <w:r>
              <w:rPr>
                <w:webHidden/>
              </w:rPr>
            </w:r>
            <w:r>
              <w:rPr>
                <w:webHidden/>
              </w:rPr>
              <w:fldChar w:fldCharType="separate"/>
            </w:r>
            <w:r w:rsidR="0059348B">
              <w:rPr>
                <w:webHidden/>
              </w:rPr>
              <w:t>13</w:t>
            </w:r>
            <w:r>
              <w:rPr>
                <w:webHidden/>
              </w:rPr>
              <w:fldChar w:fldCharType="end"/>
            </w:r>
          </w:hyperlink>
        </w:p>
        <w:p w14:paraId="1E6FAF58" w14:textId="3ED4C55C" w:rsidR="00EF3DC7" w:rsidRDefault="00EF3DC7">
          <w:pPr>
            <w:pStyle w:val="TOC1"/>
            <w:rPr>
              <w:rFonts w:asciiTheme="minorHAnsi" w:eastAsiaTheme="minorEastAsia" w:hAnsiTheme="minorHAnsi"/>
              <w:kern w:val="2"/>
              <w:lang w:eastAsia="en-GB"/>
              <w14:ligatures w14:val="standardContextual"/>
            </w:rPr>
          </w:pPr>
          <w:hyperlink w:anchor="_Toc179988698" w:history="1">
            <w:r w:rsidRPr="00370E25">
              <w:rPr>
                <w:rStyle w:val="Hyperlink"/>
              </w:rPr>
              <w:t>16</w:t>
            </w:r>
            <w:r>
              <w:rPr>
                <w:rFonts w:asciiTheme="minorHAnsi" w:eastAsiaTheme="minorEastAsia" w:hAnsiTheme="minorHAnsi"/>
                <w:kern w:val="2"/>
                <w:lang w:eastAsia="en-GB"/>
                <w14:ligatures w14:val="standardContextual"/>
              </w:rPr>
              <w:tab/>
            </w:r>
            <w:r w:rsidRPr="00370E25">
              <w:rPr>
                <w:rStyle w:val="Hyperlink"/>
              </w:rPr>
              <w:t>Version Control</w:t>
            </w:r>
            <w:r>
              <w:rPr>
                <w:webHidden/>
              </w:rPr>
              <w:tab/>
            </w:r>
            <w:r>
              <w:rPr>
                <w:webHidden/>
              </w:rPr>
              <w:fldChar w:fldCharType="begin"/>
            </w:r>
            <w:r>
              <w:rPr>
                <w:webHidden/>
              </w:rPr>
              <w:instrText xml:space="preserve"> PAGEREF _Toc179988698 \h </w:instrText>
            </w:r>
            <w:r>
              <w:rPr>
                <w:webHidden/>
              </w:rPr>
            </w:r>
            <w:r>
              <w:rPr>
                <w:webHidden/>
              </w:rPr>
              <w:fldChar w:fldCharType="separate"/>
            </w:r>
            <w:r w:rsidR="0059348B">
              <w:rPr>
                <w:webHidden/>
              </w:rPr>
              <w:t>16</w:t>
            </w:r>
            <w:r>
              <w:rPr>
                <w:webHidden/>
              </w:rPr>
              <w:fldChar w:fldCharType="end"/>
            </w:r>
          </w:hyperlink>
        </w:p>
        <w:p w14:paraId="78406177" w14:textId="3DA6735F" w:rsidR="00886D04" w:rsidRDefault="00886D04" w:rsidP="00886D04">
          <w:pPr>
            <w:pStyle w:val="TOC1"/>
          </w:pPr>
          <w:r>
            <w:rPr>
              <w:rFonts w:cs="Arial"/>
              <w:spacing w:val="7"/>
            </w:rPr>
            <w:lastRenderedPageBreak/>
            <w:fldChar w:fldCharType="end"/>
          </w:r>
        </w:p>
      </w:sdtContent>
    </w:sdt>
    <w:p w14:paraId="58E8016C" w14:textId="77777777" w:rsidR="00886D04" w:rsidRDefault="00886D04" w:rsidP="00886D04">
      <w:pPr>
        <w:pStyle w:val="Heading1Numbered"/>
      </w:pPr>
      <w:bookmarkStart w:id="6" w:name="_Toc179988680"/>
      <w:r w:rsidRPr="00D558F5">
        <w:t>Introduction</w:t>
      </w:r>
      <w:bookmarkEnd w:id="6"/>
    </w:p>
    <w:p w14:paraId="578B7B5A" w14:textId="77777777" w:rsidR="00886D04" w:rsidRDefault="00886D04" w:rsidP="00B84517">
      <w:pPr>
        <w:pStyle w:val="Text1Numbered"/>
      </w:pPr>
      <w:r>
        <w:t>The health and wellbeing of MHA’s colleagues is of upmost importance to the organisation. In managing sickness related absence, MHA emphasis a culture of openness and honesty ensuring that line managers can properly understand the needs of colleagues whilst also taking into consideration the needs of the service(s).</w:t>
      </w:r>
    </w:p>
    <w:p w14:paraId="1D0813D9" w14:textId="77777777" w:rsidR="00886D04" w:rsidRDefault="00886D04" w:rsidP="00B84517">
      <w:pPr>
        <w:pStyle w:val="Text1Numbered"/>
        <w:numPr>
          <w:ilvl w:val="0"/>
          <w:numId w:val="0"/>
        </w:numPr>
        <w:ind w:left="1135"/>
      </w:pPr>
    </w:p>
    <w:p w14:paraId="59EE31BD" w14:textId="77777777" w:rsidR="00886D04" w:rsidRPr="002E4B12" w:rsidRDefault="00886D04" w:rsidP="00B84517">
      <w:pPr>
        <w:pStyle w:val="Text1Numbered"/>
      </w:pPr>
      <w:r>
        <w:t xml:space="preserve">This policy specifically covers the arrangements and processes in relation to sickness absence. All other absences are dealt with via the </w:t>
      </w:r>
      <w:r w:rsidRPr="00D56CAB">
        <w:rPr>
          <w:u w:val="single"/>
        </w:rPr>
        <w:t>Special Leave</w:t>
      </w:r>
      <w:r>
        <w:t xml:space="preserve">, </w:t>
      </w:r>
      <w:r w:rsidRPr="00D56CAB">
        <w:rPr>
          <w:u w:val="single"/>
        </w:rPr>
        <w:t>Annual Leave Holiday Arrangements</w:t>
      </w:r>
      <w:r>
        <w:t xml:space="preserve"> or </w:t>
      </w:r>
      <w:r w:rsidRPr="00D56CAB">
        <w:rPr>
          <w:u w:val="single"/>
        </w:rPr>
        <w:t>Discipline Policy</w:t>
      </w:r>
      <w:r>
        <w:t>.</w:t>
      </w:r>
    </w:p>
    <w:p w14:paraId="21F70B8F" w14:textId="77777777" w:rsidR="00886D04" w:rsidRDefault="00886D04" w:rsidP="00886D04">
      <w:pPr>
        <w:pStyle w:val="Heading1Numbered"/>
      </w:pPr>
      <w:bookmarkStart w:id="7" w:name="_Toc153795646"/>
      <w:bookmarkStart w:id="8" w:name="_Toc179988681"/>
      <w:r w:rsidRPr="00EF3699">
        <w:t xml:space="preserve">Scope and </w:t>
      </w:r>
      <w:r w:rsidRPr="00D558F5">
        <w:t>Purpose</w:t>
      </w:r>
      <w:bookmarkEnd w:id="7"/>
      <w:bookmarkEnd w:id="8"/>
    </w:p>
    <w:p w14:paraId="1D833602" w14:textId="77777777" w:rsidR="00886D04" w:rsidRPr="006A2E45" w:rsidRDefault="00886D04" w:rsidP="00886D04">
      <w:pPr>
        <w:pStyle w:val="Text1Numbered"/>
      </w:pPr>
      <w:r>
        <w:t>This policy is relevant for all colleagues for the purpose of ensuring</w:t>
      </w:r>
      <w:r w:rsidRPr="006A2E45">
        <w:t xml:space="preserve"> that </w:t>
      </w:r>
      <w:r>
        <w:t xml:space="preserve">line </w:t>
      </w:r>
      <w:r w:rsidRPr="006A2E45">
        <w:t>managers and colleagues are aware of their duties and responsibilities in the management and control of sickness absence.</w:t>
      </w:r>
    </w:p>
    <w:p w14:paraId="4DBBA206" w14:textId="77777777" w:rsidR="00886D04" w:rsidRDefault="00886D04" w:rsidP="00886D04">
      <w:pPr>
        <w:pStyle w:val="Heading1Numbered"/>
      </w:pPr>
      <w:bookmarkStart w:id="9" w:name="_Toc153795647"/>
      <w:bookmarkStart w:id="10" w:name="_Toc179988682"/>
      <w:r>
        <w:t>Notification of Absence</w:t>
      </w:r>
      <w:bookmarkEnd w:id="9"/>
      <w:bookmarkEnd w:id="10"/>
    </w:p>
    <w:p w14:paraId="32439BF8" w14:textId="77777777" w:rsidR="00886D04" w:rsidRPr="00472F7B" w:rsidRDefault="00886D04" w:rsidP="00886D04">
      <w:pPr>
        <w:pStyle w:val="Text1Numbered"/>
        <w:rPr>
          <w:b/>
          <w:bCs/>
        </w:rPr>
      </w:pPr>
      <w:r w:rsidRPr="00472F7B">
        <w:rPr>
          <w:b/>
          <w:bCs/>
        </w:rPr>
        <w:t>Initial Notification</w:t>
      </w:r>
    </w:p>
    <w:p w14:paraId="66C34020" w14:textId="0A6BB457" w:rsidR="00886D04" w:rsidRDefault="00886D04" w:rsidP="00886D04">
      <w:pPr>
        <w:pStyle w:val="Text2Numbered"/>
      </w:pPr>
      <w:r>
        <w:t xml:space="preserve">Whenever a colleague expects to be unable to attend work, they are required to personally telephone their line manager (and not text or email). In exceptional circumstances, where the reason for absence prevents them from making contact, </w:t>
      </w:r>
      <w:r w:rsidR="00E9164D">
        <w:t>e.g.</w:t>
      </w:r>
      <w:r>
        <w:t xml:space="preserve">, severe illness or accident, then they must </w:t>
      </w:r>
      <w:proofErr w:type="gramStart"/>
      <w:r>
        <w:t>make arrangements</w:t>
      </w:r>
      <w:proofErr w:type="gramEnd"/>
      <w:r>
        <w:t xml:space="preserve"> for their immediate line manager to be contacted. If the line manager is unavailable the colleague must notify another appropriate person, for example the senior on duty or another manager (depending on whether they are based in a home, scheme, project, or office).</w:t>
      </w:r>
    </w:p>
    <w:p w14:paraId="6B7FECF4" w14:textId="77777777" w:rsidR="00886D04" w:rsidRDefault="00886D04" w:rsidP="00886D04">
      <w:pPr>
        <w:pStyle w:val="Text2Numbered"/>
        <w:numPr>
          <w:ilvl w:val="0"/>
          <w:numId w:val="0"/>
        </w:numPr>
        <w:ind w:left="1135"/>
      </w:pPr>
    </w:p>
    <w:p w14:paraId="25B24AF9" w14:textId="77777777" w:rsidR="00886D04" w:rsidRDefault="00886D04" w:rsidP="00886D04">
      <w:pPr>
        <w:pStyle w:val="Text2Numbered"/>
      </w:pPr>
      <w:r>
        <w:t xml:space="preserve">Operational colleagues are expected to telephone as soon as they know they will not be able to attend and no later than between 06:00-06.30 prior to the </w:t>
      </w:r>
      <w:r>
        <w:lastRenderedPageBreak/>
        <w:t>start of their day shift or 16:00-16:30 for night shifts so that arrangements to cover their absence can be made.</w:t>
      </w:r>
    </w:p>
    <w:p w14:paraId="43F2EF86" w14:textId="77777777" w:rsidR="00886D04" w:rsidRDefault="00886D04" w:rsidP="00886D04">
      <w:pPr>
        <w:pStyle w:val="Text2Numbered"/>
        <w:numPr>
          <w:ilvl w:val="0"/>
          <w:numId w:val="0"/>
        </w:numPr>
        <w:ind w:left="1135"/>
      </w:pPr>
    </w:p>
    <w:p w14:paraId="59DBC2F1" w14:textId="77777777" w:rsidR="00886D04" w:rsidRDefault="00886D04" w:rsidP="00886D04">
      <w:pPr>
        <w:pStyle w:val="Text2Numbered"/>
      </w:pPr>
      <w:r>
        <w:t>Colleagues should confirm as a minimum the nature of their illness, details of action being taken to ensure the absence is minimised, whether they have or are going to seek medical advice and when they anticipate being able to return to work.</w:t>
      </w:r>
    </w:p>
    <w:p w14:paraId="5ED27A88" w14:textId="77777777" w:rsidR="00886D04" w:rsidRDefault="00886D04" w:rsidP="00886D04">
      <w:pPr>
        <w:pStyle w:val="Text2Numbered"/>
        <w:numPr>
          <w:ilvl w:val="0"/>
          <w:numId w:val="0"/>
        </w:numPr>
        <w:ind w:left="1135"/>
      </w:pPr>
    </w:p>
    <w:p w14:paraId="4BB38B39" w14:textId="77777777" w:rsidR="00886D04" w:rsidRPr="006A2E45" w:rsidRDefault="00886D04" w:rsidP="00886D04">
      <w:pPr>
        <w:pStyle w:val="Text2Numbered"/>
      </w:pPr>
      <w:r>
        <w:t>Failure to attend work without any explanation may mean the absence is unauthorised and will therefore be treated as absence without leave and dealt with under the disciplinary procedure.</w:t>
      </w:r>
    </w:p>
    <w:p w14:paraId="41F0DF0D" w14:textId="77777777" w:rsidR="00886D04" w:rsidRPr="00472F7B" w:rsidRDefault="00886D04" w:rsidP="00886D04">
      <w:pPr>
        <w:pStyle w:val="Text1Numbered"/>
        <w:rPr>
          <w:b/>
          <w:bCs/>
        </w:rPr>
      </w:pPr>
      <w:r w:rsidRPr="00472F7B">
        <w:rPr>
          <w:b/>
          <w:bCs/>
        </w:rPr>
        <w:t>Certification</w:t>
      </w:r>
    </w:p>
    <w:p w14:paraId="50A9CB4A" w14:textId="77777777" w:rsidR="00886D04" w:rsidRDefault="00886D04" w:rsidP="00886D04">
      <w:pPr>
        <w:pStyle w:val="Text2Numbered"/>
      </w:pPr>
      <w:r>
        <w:t>Colleagues can verbally self-certify for absences up to and including 7 calendar days. For absences over 7 calendar days a Fit to Work certificate must be provided.</w:t>
      </w:r>
    </w:p>
    <w:p w14:paraId="1CE8C05C" w14:textId="77777777" w:rsidR="00886D04" w:rsidRDefault="00886D04" w:rsidP="00886D04">
      <w:pPr>
        <w:pStyle w:val="Text2Numbered"/>
        <w:numPr>
          <w:ilvl w:val="0"/>
          <w:numId w:val="0"/>
        </w:numPr>
        <w:ind w:left="1135"/>
      </w:pPr>
    </w:p>
    <w:p w14:paraId="2828412C" w14:textId="77777777" w:rsidR="00886D04" w:rsidRDefault="00886D04" w:rsidP="00886D04">
      <w:pPr>
        <w:pStyle w:val="Text2Numbered"/>
      </w:pPr>
      <w:r>
        <w:t>When a colleague’s absence continues beyond the first Fit to Work certificate the colleague must ensure that a new Fit to Work certificates are provided as the previous certificate expires.</w:t>
      </w:r>
    </w:p>
    <w:p w14:paraId="2B58EDDB" w14:textId="77777777" w:rsidR="00886D04" w:rsidRDefault="00886D04" w:rsidP="00886D04">
      <w:pPr>
        <w:pStyle w:val="Text2Numbered"/>
        <w:numPr>
          <w:ilvl w:val="0"/>
          <w:numId w:val="0"/>
        </w:numPr>
        <w:ind w:left="1135"/>
      </w:pPr>
    </w:p>
    <w:p w14:paraId="0DA9BF3B" w14:textId="77777777" w:rsidR="00886D04" w:rsidRDefault="00886D04" w:rsidP="00886D04">
      <w:pPr>
        <w:pStyle w:val="Text2Numbered"/>
      </w:pPr>
      <w:r>
        <w:t>Failure to provide a self-certification form or Fit to Work certificate may mean that Occupational Sick Pay (OSP) is withheld, where applicable.</w:t>
      </w:r>
    </w:p>
    <w:p w14:paraId="4419F7A6" w14:textId="77777777" w:rsidR="00886D04" w:rsidRDefault="00886D04" w:rsidP="00886D04">
      <w:pPr>
        <w:pStyle w:val="Text2Numbered"/>
        <w:numPr>
          <w:ilvl w:val="0"/>
          <w:numId w:val="0"/>
        </w:numPr>
        <w:ind w:left="1135"/>
      </w:pPr>
    </w:p>
    <w:p w14:paraId="333E8481" w14:textId="77777777" w:rsidR="00886D04" w:rsidRDefault="00886D04" w:rsidP="00886D04">
      <w:pPr>
        <w:pStyle w:val="Text2Numbered"/>
      </w:pPr>
      <w:r>
        <w:t>Disciplinary action may be taken where this procedure is not fully complied with.</w:t>
      </w:r>
    </w:p>
    <w:p w14:paraId="006E239B" w14:textId="77777777" w:rsidR="00886D04" w:rsidRDefault="00886D04" w:rsidP="00886D04">
      <w:pPr>
        <w:pStyle w:val="Text2Numbered"/>
        <w:numPr>
          <w:ilvl w:val="0"/>
          <w:numId w:val="0"/>
        </w:numPr>
      </w:pPr>
    </w:p>
    <w:p w14:paraId="1C58A383" w14:textId="2E01126F" w:rsidR="00886D04" w:rsidRDefault="00886D04" w:rsidP="00886D04">
      <w:pPr>
        <w:pStyle w:val="Text2Numbered"/>
      </w:pPr>
      <w:r>
        <w:t xml:space="preserve">All absence must be logged directly by line managers in </w:t>
      </w:r>
      <w:r w:rsidR="00534E4A">
        <w:t>mha</w:t>
      </w:r>
      <w:r>
        <w:t xml:space="preserve">people as soon as possible. Where a return-to-work date is unknown, the end date for the absence period should be left blank and only updated once a return-to-work date is known. </w:t>
      </w:r>
    </w:p>
    <w:p w14:paraId="0F85A6E5" w14:textId="77777777" w:rsidR="00886D04" w:rsidRDefault="00886D04" w:rsidP="00886D04">
      <w:pPr>
        <w:pStyle w:val="ListParagraph"/>
      </w:pPr>
    </w:p>
    <w:p w14:paraId="1560570E" w14:textId="77777777" w:rsidR="00886D04" w:rsidRDefault="00886D04" w:rsidP="00886D04">
      <w:pPr>
        <w:pStyle w:val="Heading2Numbered"/>
      </w:pPr>
      <w:bookmarkStart w:id="11" w:name="_Toc179795950"/>
      <w:bookmarkStart w:id="12" w:name="_Toc179988683"/>
      <w:r>
        <w:lastRenderedPageBreak/>
        <w:t>Contact</w:t>
      </w:r>
      <w:bookmarkEnd w:id="11"/>
      <w:bookmarkEnd w:id="12"/>
    </w:p>
    <w:p w14:paraId="2BF8643B" w14:textId="77777777" w:rsidR="00886D04" w:rsidRDefault="00886D04" w:rsidP="00886D04">
      <w:pPr>
        <w:pStyle w:val="Text2Numbered"/>
      </w:pPr>
      <w:r>
        <w:t xml:space="preserve">The manager will agree with the colleague how frequently they will keep in contact depending on the circumstances. When a colleague cannot return to work on the anticipated return date, the colleague (or nominee) must contact their line manager again, giving a minimum of 48 hours’ notice, to keep the organisation updated with their circumstances and in order that any necessary cover can be arranged. </w:t>
      </w:r>
    </w:p>
    <w:p w14:paraId="7329E6BD" w14:textId="77777777" w:rsidR="00886D04" w:rsidRDefault="00886D04" w:rsidP="00886D04">
      <w:pPr>
        <w:pStyle w:val="Heading1Numbered"/>
      </w:pPr>
      <w:bookmarkStart w:id="13" w:name="_Toc179988684"/>
      <w:r>
        <w:t>Returning to Work</w:t>
      </w:r>
      <w:bookmarkEnd w:id="13"/>
    </w:p>
    <w:p w14:paraId="0BDBD081" w14:textId="26F77441" w:rsidR="00886D04" w:rsidRDefault="00886D04" w:rsidP="00E9164D">
      <w:pPr>
        <w:pStyle w:val="Text1Numbered"/>
      </w:pPr>
      <w:r>
        <w:t>Individuals should give as much notice as possible of their return to work so that the rota can be updated.</w:t>
      </w:r>
    </w:p>
    <w:p w14:paraId="1C97DD45" w14:textId="77777777" w:rsidR="00E9164D" w:rsidRDefault="00E9164D" w:rsidP="00E9164D">
      <w:pPr>
        <w:pStyle w:val="Text1Numbered"/>
        <w:numPr>
          <w:ilvl w:val="0"/>
          <w:numId w:val="0"/>
        </w:numPr>
        <w:ind w:left="284"/>
      </w:pPr>
    </w:p>
    <w:p w14:paraId="0ADAAB26" w14:textId="77777777" w:rsidR="00886D04" w:rsidRDefault="00886D04" w:rsidP="00886D04">
      <w:pPr>
        <w:pStyle w:val="Text1Numbered"/>
      </w:pPr>
      <w:r>
        <w:t>Colleagues should record their own return-to-work date in Mymha, where this is not possible, they should discuss with their line manager who can update on their behalf.</w:t>
      </w:r>
    </w:p>
    <w:p w14:paraId="01E492D2" w14:textId="77777777" w:rsidR="00886D04" w:rsidRDefault="00886D04" w:rsidP="00886D04">
      <w:pPr>
        <w:pStyle w:val="Text1Numbered"/>
        <w:numPr>
          <w:ilvl w:val="0"/>
          <w:numId w:val="0"/>
        </w:numPr>
      </w:pPr>
    </w:p>
    <w:p w14:paraId="38E136BD" w14:textId="77777777" w:rsidR="00886D04" w:rsidRDefault="00886D04" w:rsidP="00886D04">
      <w:pPr>
        <w:pStyle w:val="Text1Numbered"/>
        <w:rPr>
          <w:b/>
          <w:bCs/>
        </w:rPr>
      </w:pPr>
      <w:r w:rsidRPr="00F65A99">
        <w:rPr>
          <w:b/>
          <w:bCs/>
        </w:rPr>
        <w:t>Return to Work Interviews</w:t>
      </w:r>
    </w:p>
    <w:p w14:paraId="1AD3067F" w14:textId="77777777" w:rsidR="0078447F" w:rsidRPr="00F65A99" w:rsidRDefault="0078447F" w:rsidP="0078447F">
      <w:pPr>
        <w:pStyle w:val="Text1Numbered"/>
        <w:numPr>
          <w:ilvl w:val="0"/>
          <w:numId w:val="0"/>
        </w:numPr>
        <w:rPr>
          <w:b/>
          <w:bCs/>
        </w:rPr>
      </w:pPr>
    </w:p>
    <w:p w14:paraId="4E28EF58" w14:textId="345AD08B" w:rsidR="00886D04" w:rsidRDefault="00886D04" w:rsidP="0078447F">
      <w:pPr>
        <w:pStyle w:val="Text1Numbered"/>
      </w:pPr>
      <w:r>
        <w:t xml:space="preserve">After each period of absence, a manager will meet with the colleague to conduct a return-to-work interview covering as a minimum, the reasons for their absence, what support MHA may be able to offer e.g., reasonable adjustments, Colleague Assistance Programme, referral to occupational health. This interview must be recorded using the </w:t>
      </w:r>
      <w:r w:rsidRPr="00D56CAB">
        <w:rPr>
          <w:u w:val="single"/>
        </w:rPr>
        <w:t>Return-to-Work Form</w:t>
      </w:r>
      <w:r>
        <w:t xml:space="preserve"> and uploaded into mhapeople.</w:t>
      </w:r>
    </w:p>
    <w:p w14:paraId="49752F8A" w14:textId="77777777" w:rsidR="0078447F" w:rsidRDefault="0078447F" w:rsidP="0078447F">
      <w:pPr>
        <w:pStyle w:val="Text1Numbered"/>
        <w:numPr>
          <w:ilvl w:val="0"/>
          <w:numId w:val="0"/>
        </w:numPr>
      </w:pPr>
    </w:p>
    <w:p w14:paraId="1372F35D" w14:textId="77777777" w:rsidR="00886D04" w:rsidRPr="00F65A99" w:rsidRDefault="00886D04" w:rsidP="0078447F">
      <w:pPr>
        <w:pStyle w:val="Text1Numbered"/>
      </w:pPr>
      <w:r w:rsidRPr="00F65A99">
        <w:t xml:space="preserve">Regardless of the length of absence, all </w:t>
      </w:r>
      <w:r>
        <w:t>colleagues</w:t>
      </w:r>
      <w:r w:rsidRPr="00F65A99">
        <w:t xml:space="preserve"> need a return to work interview every time they are absent, and th</w:t>
      </w:r>
      <w:r>
        <w:t>is</w:t>
      </w:r>
      <w:r w:rsidRPr="00F65A99">
        <w:t xml:space="preserve"> should take place on the</w:t>
      </w:r>
      <w:r>
        <w:t xml:space="preserve">ir </w:t>
      </w:r>
      <w:r w:rsidRPr="00F65A99">
        <w:t>first day back at work. This ensures consistency and fairness in the process. The return-to-work interview is confidential, routine and is an integral part of absence management.</w:t>
      </w:r>
    </w:p>
    <w:p w14:paraId="3BEEFBF2" w14:textId="77777777" w:rsidR="00886D04" w:rsidRDefault="00886D04" w:rsidP="00886D04">
      <w:pPr>
        <w:pStyle w:val="Text2Numbered"/>
        <w:numPr>
          <w:ilvl w:val="0"/>
          <w:numId w:val="0"/>
        </w:numPr>
        <w:ind w:left="1135"/>
      </w:pPr>
    </w:p>
    <w:p w14:paraId="074490AE" w14:textId="3A4CEEDB" w:rsidR="00886D04" w:rsidRDefault="00A03C58" w:rsidP="0078447F">
      <w:pPr>
        <w:pStyle w:val="Text1Numbered"/>
      </w:pPr>
      <w:r w:rsidRPr="002057A6">
        <w:lastRenderedPageBreak/>
        <w:t>A</w:t>
      </w:r>
      <w:r>
        <w:t xml:space="preserve"> colleague</w:t>
      </w:r>
      <w:r w:rsidRPr="002057A6">
        <w:t xml:space="preserve">’s Bradford Factor </w:t>
      </w:r>
      <w:r>
        <w:t>is automatically calculated in mhapeople</w:t>
      </w:r>
      <w:r w:rsidRPr="002057A6">
        <w:t xml:space="preserve"> after each absence</w:t>
      </w:r>
      <w:r>
        <w:t xml:space="preserve"> a</w:t>
      </w:r>
      <w:r w:rsidRPr="002057A6">
        <w:t xml:space="preserve">nd a Bradford Factor meeting </w:t>
      </w:r>
      <w:r>
        <w:t xml:space="preserve">should be </w:t>
      </w:r>
      <w:r w:rsidRPr="002057A6">
        <w:t xml:space="preserve">held </w:t>
      </w:r>
      <w:r>
        <w:t xml:space="preserve">only when the colleague has returned to work, </w:t>
      </w:r>
      <w:r w:rsidRPr="002057A6">
        <w:t>based on the</w:t>
      </w:r>
      <w:r>
        <w:t xml:space="preserve"> stages outlined in 7.3.</w:t>
      </w:r>
      <w:r w:rsidRPr="002057A6">
        <w:t xml:space="preserve"> </w:t>
      </w:r>
    </w:p>
    <w:p w14:paraId="1F87A0F2" w14:textId="77777777" w:rsidR="0078447F" w:rsidRDefault="0078447F" w:rsidP="0078447F">
      <w:pPr>
        <w:pStyle w:val="Text1Numbered"/>
        <w:numPr>
          <w:ilvl w:val="0"/>
          <w:numId w:val="0"/>
        </w:numPr>
        <w:ind w:left="1135"/>
      </w:pPr>
    </w:p>
    <w:p w14:paraId="6C6F16C2" w14:textId="77777777" w:rsidR="00886D04" w:rsidRPr="0078447F" w:rsidRDefault="00886D04" w:rsidP="0078447F">
      <w:pPr>
        <w:pStyle w:val="Text1Numbered"/>
      </w:pPr>
      <w:r>
        <w:t xml:space="preserve">For guidance on completing return to work interviews, refer to </w:t>
      </w:r>
      <w:r w:rsidRPr="0078447F">
        <w:rPr>
          <w:u w:val="single"/>
        </w:rPr>
        <w:t>Appendix 1.</w:t>
      </w:r>
    </w:p>
    <w:p w14:paraId="03266943" w14:textId="77777777" w:rsidR="0078447F" w:rsidRPr="006A2E45" w:rsidRDefault="0078447F" w:rsidP="0078447F">
      <w:pPr>
        <w:pStyle w:val="Text1Numbered"/>
        <w:numPr>
          <w:ilvl w:val="0"/>
          <w:numId w:val="0"/>
        </w:numPr>
      </w:pPr>
    </w:p>
    <w:p w14:paraId="7CC90F7A" w14:textId="77777777" w:rsidR="00886D04" w:rsidRDefault="00886D04" w:rsidP="00886D04">
      <w:pPr>
        <w:pStyle w:val="Text1Numbered"/>
        <w:rPr>
          <w:b/>
          <w:bCs/>
        </w:rPr>
      </w:pPr>
      <w:r w:rsidRPr="00F65A99">
        <w:rPr>
          <w:b/>
          <w:bCs/>
        </w:rPr>
        <w:t>Phased Return to Work</w:t>
      </w:r>
    </w:p>
    <w:p w14:paraId="5D861B93" w14:textId="77777777" w:rsidR="004E6142" w:rsidRPr="00F65A99" w:rsidRDefault="004E6142" w:rsidP="004E6142">
      <w:pPr>
        <w:pStyle w:val="Text1Numbered"/>
        <w:numPr>
          <w:ilvl w:val="0"/>
          <w:numId w:val="0"/>
        </w:numPr>
        <w:rPr>
          <w:b/>
          <w:bCs/>
        </w:rPr>
      </w:pPr>
    </w:p>
    <w:p w14:paraId="4863B707" w14:textId="77777777" w:rsidR="00886D04" w:rsidRDefault="00886D04" w:rsidP="004E6142">
      <w:pPr>
        <w:pStyle w:val="Text1Numbered"/>
      </w:pPr>
      <w:r w:rsidRPr="006A2E45">
        <w:t>Following a period of prolonged absence MHA will consider in line with any medical advice a period of phased return to assist a colleague in re-integrating into the role and workplace.</w:t>
      </w:r>
    </w:p>
    <w:p w14:paraId="34715D30" w14:textId="77777777" w:rsidR="00886D04" w:rsidRDefault="00886D04" w:rsidP="00886D04">
      <w:pPr>
        <w:pStyle w:val="Heading1Numbered"/>
      </w:pPr>
      <w:bookmarkStart w:id="14" w:name="_Toc153795649"/>
      <w:bookmarkStart w:id="15" w:name="_Toc179988685"/>
      <w:r>
        <w:t>Referrals to Occupational Health</w:t>
      </w:r>
      <w:bookmarkEnd w:id="14"/>
      <w:bookmarkEnd w:id="15"/>
    </w:p>
    <w:p w14:paraId="7C10C583" w14:textId="011F6F1D" w:rsidR="00886D04" w:rsidRDefault="00886D04" w:rsidP="00886D04">
      <w:pPr>
        <w:pStyle w:val="Text1Numbered"/>
      </w:pPr>
      <w:r>
        <w:t xml:space="preserve">MHA will refer colleagues to Occupational Health, as required (e.g., where the level, pattern or frequency of their sickness absence causes concern), </w:t>
      </w:r>
      <w:r w:rsidR="00B84517">
        <w:t>to</w:t>
      </w:r>
      <w:r>
        <w:t xml:space="preserve"> gain advice on supporting the colleague and to identify potential support / reasonable adjustments to ensure regular attendance at work. Referrals must be made using the </w:t>
      </w:r>
      <w:r w:rsidRPr="00D56CAB">
        <w:rPr>
          <w:u w:val="single"/>
        </w:rPr>
        <w:t>Occupational Health Referral Form</w:t>
      </w:r>
      <w:r>
        <w:t xml:space="preserve"> after gaining the colleagues consent using the </w:t>
      </w:r>
      <w:r w:rsidRPr="00391E2D">
        <w:rPr>
          <w:u w:val="single"/>
        </w:rPr>
        <w:t>Consent Occupational Health Referral Form</w:t>
      </w:r>
      <w:r>
        <w:t>.</w:t>
      </w:r>
    </w:p>
    <w:p w14:paraId="2A7632F2" w14:textId="77777777" w:rsidR="00886D04" w:rsidRDefault="00886D04" w:rsidP="00886D04">
      <w:pPr>
        <w:pStyle w:val="Text1Numbered"/>
        <w:numPr>
          <w:ilvl w:val="0"/>
          <w:numId w:val="0"/>
        </w:numPr>
        <w:ind w:left="1135"/>
      </w:pPr>
    </w:p>
    <w:p w14:paraId="138D273D" w14:textId="77777777" w:rsidR="00886D04" w:rsidRDefault="00886D04" w:rsidP="00886D04">
      <w:pPr>
        <w:pStyle w:val="Text1Numbered"/>
      </w:pPr>
      <w:r>
        <w:t xml:space="preserve">Referrals can be requested at any time and colleagues do not need to be absent for a referral to take place. The colleague will be advised of the reasons for and purpose of the referral to Occupational Health and will be asked to give verbal consent to their manager for the referral to be made. Signed consent will be obtained by the Occupational Health Provider on their portal once the appointment is confirmed.  </w:t>
      </w:r>
    </w:p>
    <w:p w14:paraId="292700EA" w14:textId="77777777" w:rsidR="00886D04" w:rsidRDefault="00886D04" w:rsidP="00886D04">
      <w:pPr>
        <w:pStyle w:val="Text1Numbered"/>
        <w:numPr>
          <w:ilvl w:val="0"/>
          <w:numId w:val="0"/>
        </w:numPr>
        <w:ind w:left="1135"/>
      </w:pPr>
    </w:p>
    <w:p w14:paraId="585ADBDC" w14:textId="77777777" w:rsidR="00886D04" w:rsidRDefault="00886D04" w:rsidP="00886D04">
      <w:pPr>
        <w:pStyle w:val="Text1Numbered"/>
      </w:pPr>
      <w:r>
        <w:t>Managers may also find it of assistance to discuss the colleagues’ health issues with a view to identifying temporary or long-term adjustments which meet the needs of the colleague and service before involving Occupational Health, as this approach may provide a prompter resolution.</w:t>
      </w:r>
    </w:p>
    <w:p w14:paraId="30B1725F" w14:textId="77777777" w:rsidR="00886D04" w:rsidRDefault="00886D04" w:rsidP="00886D04">
      <w:pPr>
        <w:pStyle w:val="Text1Numbered"/>
        <w:numPr>
          <w:ilvl w:val="0"/>
          <w:numId w:val="0"/>
        </w:numPr>
        <w:ind w:left="1135"/>
      </w:pPr>
    </w:p>
    <w:p w14:paraId="227D6C1F" w14:textId="77777777" w:rsidR="00886D04" w:rsidRDefault="00886D04" w:rsidP="00886D04">
      <w:pPr>
        <w:pStyle w:val="Text1Numbered"/>
      </w:pPr>
      <w:r>
        <w:t>This does not rule out a referral to Occupational Health at a later stage.</w:t>
      </w:r>
    </w:p>
    <w:p w14:paraId="40A9B149" w14:textId="77777777" w:rsidR="00886D04" w:rsidRDefault="00886D04" w:rsidP="00886D04">
      <w:pPr>
        <w:pStyle w:val="Text1Numbered"/>
        <w:numPr>
          <w:ilvl w:val="0"/>
          <w:numId w:val="0"/>
        </w:numPr>
        <w:ind w:left="1135"/>
      </w:pPr>
    </w:p>
    <w:p w14:paraId="4903170F" w14:textId="75D4869F" w:rsidR="00886D04" w:rsidRDefault="00886D04" w:rsidP="00886D04">
      <w:pPr>
        <w:pStyle w:val="Text1Numbered"/>
      </w:pPr>
      <w:r>
        <w:t xml:space="preserve">Occupational Health referral guidance can </w:t>
      </w:r>
      <w:proofErr w:type="gramStart"/>
      <w:r>
        <w:t xml:space="preserve">be </w:t>
      </w:r>
      <w:r w:rsidR="00856D41">
        <w:t>located</w:t>
      </w:r>
      <w:r>
        <w:t xml:space="preserve"> </w:t>
      </w:r>
      <w:r w:rsidRPr="00856D41">
        <w:t>in</w:t>
      </w:r>
      <w:proofErr w:type="gramEnd"/>
      <w:r w:rsidRPr="00856D41">
        <w:t xml:space="preserve"> Appendix 2.</w:t>
      </w:r>
    </w:p>
    <w:p w14:paraId="1698769D" w14:textId="77777777" w:rsidR="00886D04" w:rsidRDefault="00886D04" w:rsidP="00886D04">
      <w:pPr>
        <w:pStyle w:val="Heading1Numbered"/>
      </w:pPr>
      <w:bookmarkStart w:id="16" w:name="_Toc153795650"/>
      <w:bookmarkStart w:id="17" w:name="_Toc179988686"/>
      <w:r>
        <w:t>Sickness Absence and the Equality Act</w:t>
      </w:r>
      <w:bookmarkEnd w:id="16"/>
      <w:bookmarkEnd w:id="17"/>
    </w:p>
    <w:p w14:paraId="720B288B" w14:textId="77777777" w:rsidR="00886D04" w:rsidRDefault="00886D04" w:rsidP="00886D04">
      <w:pPr>
        <w:pStyle w:val="Text1Numbered"/>
      </w:pPr>
      <w:r>
        <w:t>Colleagues who are absent due to an underlying health condition covered under the Equality Act 2010 should be managed in line with the principles of this policy. This will require the policy to be applied flexibly in those circumstances.</w:t>
      </w:r>
    </w:p>
    <w:p w14:paraId="311F4F96" w14:textId="77777777" w:rsidR="00886D04" w:rsidRDefault="00886D04" w:rsidP="00886D04">
      <w:pPr>
        <w:pStyle w:val="Text1Numbered"/>
        <w:numPr>
          <w:ilvl w:val="0"/>
          <w:numId w:val="0"/>
        </w:numPr>
        <w:ind w:left="1135"/>
      </w:pPr>
    </w:p>
    <w:p w14:paraId="193D0755" w14:textId="387F070A" w:rsidR="00886D04" w:rsidRDefault="00686058" w:rsidP="00886D04">
      <w:pPr>
        <w:pStyle w:val="Text1Numbered"/>
      </w:pPr>
      <w:r>
        <w:t>For</w:t>
      </w:r>
      <w:r w:rsidR="00886D04">
        <w:t xml:space="preserve"> staff to be effectively supported we will </w:t>
      </w:r>
      <w:proofErr w:type="gramStart"/>
      <w:r w:rsidR="00886D04">
        <w:t>take into account</w:t>
      </w:r>
      <w:proofErr w:type="gramEnd"/>
      <w:r w:rsidR="00886D04">
        <w:t xml:space="preserve"> our commitment to retaining staff through making reasonable adjustments to jobs, equipment, and processes, adjusting trigger points, offering flexible working options, and accessing medical advice through occupational health to help colleagues with any disability with maintaining their attendance within the needs of the service.</w:t>
      </w:r>
    </w:p>
    <w:p w14:paraId="554F198D" w14:textId="77777777" w:rsidR="00886D04" w:rsidRPr="006A2E45" w:rsidRDefault="00886D04" w:rsidP="00886D04">
      <w:pPr>
        <w:pStyle w:val="Heading1Numbered"/>
      </w:pPr>
      <w:bookmarkStart w:id="18" w:name="_Toc153795651"/>
      <w:bookmarkStart w:id="19" w:name="_Toc179988687"/>
      <w:r>
        <w:t>Short Term Absences – The Bradford Factor</w:t>
      </w:r>
      <w:bookmarkEnd w:id="18"/>
      <w:bookmarkEnd w:id="19"/>
    </w:p>
    <w:p w14:paraId="56940F9C" w14:textId="0ABA41E4" w:rsidR="00886D04" w:rsidRPr="006A2E45" w:rsidRDefault="00886D04" w:rsidP="00886D04">
      <w:pPr>
        <w:pStyle w:val="Text1Numbered"/>
      </w:pPr>
      <w:r w:rsidRPr="006A2E45">
        <w:t xml:space="preserve">MHA measures absence using the Bradford Factor to monitor absence and identify when action should be taken. The decision-making processes shall </w:t>
      </w:r>
      <w:r w:rsidR="006371CC" w:rsidRPr="006A2E45">
        <w:t>consider</w:t>
      </w:r>
      <w:r w:rsidRPr="006A2E45">
        <w:t xml:space="preserve"> the Equality Act as above. </w:t>
      </w:r>
    </w:p>
    <w:p w14:paraId="0927C844" w14:textId="77777777" w:rsidR="00886D04" w:rsidRPr="006A2E45" w:rsidRDefault="00886D04" w:rsidP="00886D04">
      <w:pPr>
        <w:pStyle w:val="Text1Numbered"/>
        <w:numPr>
          <w:ilvl w:val="0"/>
          <w:numId w:val="0"/>
        </w:numPr>
        <w:ind w:left="1135"/>
      </w:pPr>
    </w:p>
    <w:p w14:paraId="563A7E17" w14:textId="77777777" w:rsidR="00886D04" w:rsidRDefault="00886D04" w:rsidP="00886D04">
      <w:pPr>
        <w:pStyle w:val="Text1Numbered"/>
      </w:pPr>
      <w:r w:rsidRPr="006A2E45">
        <w:t>Absences relating to pregnancy will be discounted from the Bradford Factor score and absences relating to disabilities will be adjusted with advice from HR.</w:t>
      </w:r>
    </w:p>
    <w:p w14:paraId="1D042AB3" w14:textId="77777777" w:rsidR="00886D04" w:rsidRDefault="00886D04" w:rsidP="00886D04">
      <w:pPr>
        <w:pStyle w:val="Text1Numbered"/>
        <w:numPr>
          <w:ilvl w:val="0"/>
          <w:numId w:val="0"/>
        </w:numPr>
      </w:pPr>
    </w:p>
    <w:p w14:paraId="43E6CF8C" w14:textId="77777777" w:rsidR="00886D04" w:rsidRPr="00F65A99" w:rsidRDefault="00886D04" w:rsidP="00886D04">
      <w:pPr>
        <w:pStyle w:val="Text1Numbered"/>
        <w:rPr>
          <w:b/>
          <w:bCs/>
        </w:rPr>
      </w:pPr>
      <w:r w:rsidRPr="00F65A99">
        <w:rPr>
          <w:b/>
          <w:bCs/>
        </w:rPr>
        <w:t>Bradford Factor Process</w:t>
      </w:r>
    </w:p>
    <w:p w14:paraId="08B50262" w14:textId="77777777" w:rsidR="00886D04" w:rsidRDefault="00886D04" w:rsidP="00886D04">
      <w:pPr>
        <w:pStyle w:val="Text2Numbered"/>
      </w:pPr>
      <w:r w:rsidRPr="002057A6">
        <w:t>A</w:t>
      </w:r>
      <w:r>
        <w:t xml:space="preserve"> colleague</w:t>
      </w:r>
      <w:r w:rsidRPr="002057A6">
        <w:t xml:space="preserve">’s Bradford Factor </w:t>
      </w:r>
      <w:r>
        <w:t>is automatically calculated in mhapeople</w:t>
      </w:r>
      <w:r w:rsidRPr="002057A6">
        <w:t xml:space="preserve"> after each absence and a Bradford Factor meeting will be held </w:t>
      </w:r>
      <w:r>
        <w:t xml:space="preserve">only when the colleague has returned to work, </w:t>
      </w:r>
      <w:r w:rsidRPr="002057A6">
        <w:t>based on the following</w:t>
      </w:r>
      <w:r>
        <w:t xml:space="preserve"> stages</w:t>
      </w:r>
      <w:r w:rsidRPr="002057A6">
        <w:t>:</w:t>
      </w:r>
    </w:p>
    <w:p w14:paraId="232918E2" w14:textId="77777777" w:rsidR="00886D04" w:rsidRPr="00F65A99" w:rsidRDefault="00886D04" w:rsidP="00886D04">
      <w:pPr>
        <w:pStyle w:val="Text1Numbered"/>
        <w:rPr>
          <w:b/>
          <w:bCs/>
        </w:rPr>
      </w:pPr>
      <w:r w:rsidRPr="00F65A99">
        <w:rPr>
          <w:b/>
          <w:bCs/>
        </w:rPr>
        <w:t>Bradford Factor Stage 1 – Written Warning</w:t>
      </w:r>
    </w:p>
    <w:p w14:paraId="7AAC612D" w14:textId="77777777" w:rsidR="00886D04" w:rsidRDefault="00886D04" w:rsidP="00886D04">
      <w:pPr>
        <w:pStyle w:val="Text2Numbered"/>
      </w:pPr>
      <w:r w:rsidRPr="006A2E45">
        <w:t xml:space="preserve">A written warning may be given if a colleague has a Bradford Factor score of 100 or more and at least 2 episodes of absence.  This warning will remain on </w:t>
      </w:r>
      <w:r w:rsidRPr="006A2E45">
        <w:lastRenderedPageBreak/>
        <w:t>the colleague’s file for 12 months or until their Bradford Factor score is lower than 100, whichever is the longer.</w:t>
      </w:r>
    </w:p>
    <w:p w14:paraId="4218FBB3" w14:textId="77777777" w:rsidR="00886D04" w:rsidRPr="00F65A99" w:rsidRDefault="00886D04" w:rsidP="00886D04">
      <w:pPr>
        <w:pStyle w:val="Text1Numbered"/>
        <w:rPr>
          <w:b/>
          <w:bCs/>
        </w:rPr>
      </w:pPr>
      <w:r w:rsidRPr="00F65A99">
        <w:rPr>
          <w:b/>
          <w:bCs/>
        </w:rPr>
        <w:t>Bradford Factor Stage 2 – Final Written Warning</w:t>
      </w:r>
    </w:p>
    <w:p w14:paraId="537CE1B6" w14:textId="77777777" w:rsidR="00886D04" w:rsidRDefault="00886D04" w:rsidP="00886D04">
      <w:pPr>
        <w:pStyle w:val="Text2Numbered"/>
      </w:pPr>
      <w:r>
        <w:t>A final written warning may be given if, within 12 months of stage one or whilst their Bradford Factor score is still 100 or more (whichever is the longer), a colleague has 2 further episodes of absence. This warning will remain on the colleague’s file for 12 months or until their Bradford Factor score is lower than 100, whichever is the longer. The colleague must be informed that continued absence could put their employment at risk.</w:t>
      </w:r>
    </w:p>
    <w:p w14:paraId="78EBDB3B" w14:textId="77777777" w:rsidR="00886D04" w:rsidRDefault="00886D04" w:rsidP="00886D04">
      <w:pPr>
        <w:pStyle w:val="Text2Numbered"/>
        <w:numPr>
          <w:ilvl w:val="0"/>
          <w:numId w:val="0"/>
        </w:numPr>
        <w:ind w:left="1135"/>
      </w:pPr>
    </w:p>
    <w:p w14:paraId="0B4657A7" w14:textId="77777777" w:rsidR="00886D04" w:rsidRDefault="00886D04" w:rsidP="00886D04">
      <w:pPr>
        <w:pStyle w:val="Text2Numbered"/>
      </w:pPr>
      <w:r>
        <w:t>Where colleagues have a live written or final written warning, they will not be entitled to MHA sick pay or the annual reward.</w:t>
      </w:r>
    </w:p>
    <w:p w14:paraId="249D66D4" w14:textId="77777777" w:rsidR="00886D04" w:rsidRPr="00F65A99" w:rsidRDefault="00886D04" w:rsidP="00886D04">
      <w:pPr>
        <w:pStyle w:val="Text1Numbered"/>
        <w:rPr>
          <w:b/>
          <w:bCs/>
        </w:rPr>
      </w:pPr>
      <w:r w:rsidRPr="00F65A99">
        <w:rPr>
          <w:b/>
          <w:bCs/>
        </w:rPr>
        <w:t>Bradford Factor Stage 3 – Dismissal</w:t>
      </w:r>
    </w:p>
    <w:p w14:paraId="457E9F98" w14:textId="77777777" w:rsidR="00886D04" w:rsidRDefault="00886D04" w:rsidP="00886D04">
      <w:pPr>
        <w:pStyle w:val="Text2Numbered"/>
      </w:pPr>
      <w:r w:rsidRPr="002057A6">
        <w:t xml:space="preserve">Dismissal may result where a </w:t>
      </w:r>
      <w:r>
        <w:t>colleague</w:t>
      </w:r>
      <w:r w:rsidRPr="002057A6">
        <w:t xml:space="preserve"> has, within 12 months of stage two or whilst their Bradford Factor score is still 100 or more (whichever is the longer), 2 further episodes of absence.</w:t>
      </w:r>
    </w:p>
    <w:p w14:paraId="25BD561F" w14:textId="77777777" w:rsidR="00886D04" w:rsidRPr="00F65A99" w:rsidRDefault="00886D04" w:rsidP="00886D04">
      <w:pPr>
        <w:pStyle w:val="Text1Numbered"/>
        <w:rPr>
          <w:b/>
          <w:bCs/>
        </w:rPr>
      </w:pPr>
      <w:r w:rsidRPr="00F65A99">
        <w:rPr>
          <w:b/>
          <w:bCs/>
        </w:rPr>
        <w:t>Bradford Factor and the Probationary Period</w:t>
      </w:r>
    </w:p>
    <w:p w14:paraId="6B9DBD2C" w14:textId="77777777" w:rsidR="00886D04" w:rsidRDefault="00886D04" w:rsidP="00886D04">
      <w:pPr>
        <w:pStyle w:val="Text2Numbered"/>
      </w:pPr>
      <w:r w:rsidRPr="00670DD9">
        <w:t>Any colleague in their probation period with a Bradford Factor score of 64 or more and at least 2 episodes of absence, will usually be issued with a final written warning in the first instance.</w:t>
      </w:r>
    </w:p>
    <w:p w14:paraId="1D6F3FFE" w14:textId="77777777" w:rsidR="00886D04" w:rsidRPr="00F65A99" w:rsidRDefault="00886D04" w:rsidP="00886D04">
      <w:pPr>
        <w:pStyle w:val="Text1Numbered"/>
        <w:rPr>
          <w:b/>
          <w:bCs/>
        </w:rPr>
      </w:pPr>
      <w:r w:rsidRPr="00F65A99">
        <w:rPr>
          <w:b/>
          <w:bCs/>
        </w:rPr>
        <w:t>Repeated Bradford Factor Warnings</w:t>
      </w:r>
    </w:p>
    <w:p w14:paraId="4FF6A241" w14:textId="77777777" w:rsidR="00886D04" w:rsidRPr="002057A6" w:rsidRDefault="00886D04" w:rsidP="00886D04">
      <w:pPr>
        <w:pStyle w:val="Text2Numbered"/>
      </w:pPr>
      <w:r w:rsidRPr="002057A6">
        <w:t>Where a written or final written warning has expired in the last 18 months the organisation reserves the right to extend the life of any subsequent warning above that detailed above.</w:t>
      </w:r>
    </w:p>
    <w:p w14:paraId="43BB6D2E" w14:textId="77777777" w:rsidR="00886D04" w:rsidRDefault="00886D04" w:rsidP="00886D04">
      <w:pPr>
        <w:pStyle w:val="Heading1Numbered"/>
      </w:pPr>
      <w:bookmarkStart w:id="20" w:name="_Toc153795652"/>
      <w:bookmarkStart w:id="21" w:name="_Toc179988688"/>
      <w:r>
        <w:t>Long Term Absences</w:t>
      </w:r>
      <w:bookmarkEnd w:id="20"/>
      <w:bookmarkEnd w:id="21"/>
    </w:p>
    <w:p w14:paraId="08586830" w14:textId="77777777" w:rsidR="00886D04" w:rsidRDefault="00886D04" w:rsidP="00886D04">
      <w:pPr>
        <w:pStyle w:val="Text1Numbered"/>
      </w:pPr>
      <w:r>
        <w:t xml:space="preserve">In managing long term absences managers will ensure that they maintain appropriate contact with the colleague. Managers should arrange to meet the </w:t>
      </w:r>
      <w:r>
        <w:lastRenderedPageBreak/>
        <w:t>colleague as appropriate (Stage 1) to discuss and gain consent for a referral to Occupational Health, where appropriate.  The colleague will be advised of the reasons for, and purpose of, the referral to Occupational Health.</w:t>
      </w:r>
    </w:p>
    <w:p w14:paraId="42A1B12F" w14:textId="77777777" w:rsidR="00886D04" w:rsidRDefault="00886D04" w:rsidP="00886D04">
      <w:pPr>
        <w:pStyle w:val="Text1Numbered"/>
        <w:numPr>
          <w:ilvl w:val="0"/>
          <w:numId w:val="0"/>
        </w:numPr>
        <w:ind w:left="1135"/>
      </w:pPr>
    </w:p>
    <w:p w14:paraId="5017374F" w14:textId="77777777" w:rsidR="00886D04" w:rsidRDefault="00886D04" w:rsidP="00886D04">
      <w:pPr>
        <w:pStyle w:val="Text1Numbered"/>
      </w:pPr>
      <w:r>
        <w:t>Long term absences will still contribute to the Bradford Factor score and the system of warnings above, however, under the Bradford Factor system the colleague must have returned to work for a warning to be given.</w:t>
      </w:r>
    </w:p>
    <w:p w14:paraId="25B1A65F" w14:textId="77777777" w:rsidR="00886D04" w:rsidRDefault="00886D04" w:rsidP="00886D04">
      <w:pPr>
        <w:pStyle w:val="Text1Numbered"/>
        <w:numPr>
          <w:ilvl w:val="0"/>
          <w:numId w:val="0"/>
        </w:numPr>
        <w:ind w:left="1135"/>
      </w:pPr>
    </w:p>
    <w:p w14:paraId="2B4847BB" w14:textId="77777777" w:rsidR="00886D04" w:rsidRDefault="00886D04" w:rsidP="00886D04">
      <w:pPr>
        <w:pStyle w:val="Text1Numbered"/>
      </w:pPr>
      <w:r>
        <w:t>Following the referral and medical appointment, once the Occupational Health report is received from HR, the manager will arrange to meet with the colleague (Stage 2).  At the meeting the advice and recommendations of the report will be discussed.</w:t>
      </w:r>
    </w:p>
    <w:p w14:paraId="0EF493C6" w14:textId="77777777" w:rsidR="00886D04" w:rsidRDefault="00886D04" w:rsidP="00886D04">
      <w:pPr>
        <w:pStyle w:val="Text1Numbered"/>
        <w:numPr>
          <w:ilvl w:val="0"/>
          <w:numId w:val="0"/>
        </w:numPr>
        <w:ind w:left="1135"/>
      </w:pPr>
    </w:p>
    <w:p w14:paraId="57D5C74E" w14:textId="77777777" w:rsidR="00886D04" w:rsidRDefault="00886D04" w:rsidP="00886D04">
      <w:pPr>
        <w:pStyle w:val="Text1Numbered"/>
      </w:pPr>
      <w:r>
        <w:t>The manager will, depending on the contents of the report, consider one or more of the following:</w:t>
      </w:r>
    </w:p>
    <w:p w14:paraId="3F4BD3E7" w14:textId="77777777" w:rsidR="00886D04" w:rsidRDefault="00886D04" w:rsidP="00C5449F">
      <w:pPr>
        <w:pStyle w:val="Textlistindented-bullet"/>
      </w:pPr>
      <w:r>
        <w:t>The need for further medical advice / a further period of review</w:t>
      </w:r>
    </w:p>
    <w:p w14:paraId="5B0D1337" w14:textId="77777777" w:rsidR="00886D04" w:rsidRDefault="00886D04" w:rsidP="00C5449F">
      <w:pPr>
        <w:pStyle w:val="Textlistindented-bullet"/>
      </w:pPr>
      <w:r>
        <w:t>Putting reasonable adjustments in place on a temporary or permanent basis</w:t>
      </w:r>
    </w:p>
    <w:p w14:paraId="1FA71E11" w14:textId="77777777" w:rsidR="00886D04" w:rsidRDefault="00886D04" w:rsidP="00C5449F">
      <w:pPr>
        <w:pStyle w:val="Textlistindented-bullet"/>
      </w:pPr>
      <w:r>
        <w:t>The option of redeployment on a temporary or permanent basis</w:t>
      </w:r>
    </w:p>
    <w:p w14:paraId="69393A08" w14:textId="77777777" w:rsidR="00886D04" w:rsidRDefault="00886D04" w:rsidP="00C5449F">
      <w:pPr>
        <w:pStyle w:val="Textlistindented-bullet"/>
      </w:pPr>
      <w:r>
        <w:t>A plan for a return to work - including phased return</w:t>
      </w:r>
    </w:p>
    <w:p w14:paraId="5374262A" w14:textId="38204478" w:rsidR="00886D04" w:rsidRDefault="00886D04" w:rsidP="00C5449F">
      <w:pPr>
        <w:pStyle w:val="Textlistindented-bullet"/>
      </w:pPr>
      <w:r>
        <w:t>Another meeting to consider dismissal (Stage 3)</w:t>
      </w:r>
    </w:p>
    <w:p w14:paraId="29E8EA42" w14:textId="77777777" w:rsidR="00886D04" w:rsidRDefault="00886D04" w:rsidP="00C5449F">
      <w:pPr>
        <w:pStyle w:val="Textlistindented-bullet"/>
      </w:pPr>
      <w:r>
        <w:t>Any other options appropriate in all the circumstances</w:t>
      </w:r>
    </w:p>
    <w:p w14:paraId="676FA703" w14:textId="77777777" w:rsidR="00886D04" w:rsidRDefault="00886D04" w:rsidP="00886D04">
      <w:pPr>
        <w:pStyle w:val="Text1Numbered"/>
      </w:pPr>
      <w:r>
        <w:t>The outcome of the meeting will be confirmed in writing to the colleague.</w:t>
      </w:r>
    </w:p>
    <w:p w14:paraId="41671168" w14:textId="77777777" w:rsidR="00886D04" w:rsidRDefault="00886D04" w:rsidP="00886D04">
      <w:pPr>
        <w:pStyle w:val="Text1Numbered"/>
        <w:numPr>
          <w:ilvl w:val="0"/>
          <w:numId w:val="0"/>
        </w:numPr>
        <w:ind w:left="1135"/>
      </w:pPr>
    </w:p>
    <w:p w14:paraId="2A138B2A" w14:textId="77777777" w:rsidR="00886D04" w:rsidRDefault="00886D04" w:rsidP="00886D04">
      <w:pPr>
        <w:pStyle w:val="Text1Numbered"/>
      </w:pPr>
      <w:r>
        <w:t>Dismissal will not take place without the manager obtaining a clear medical picture either from the colleague or through an Occupational Health report.</w:t>
      </w:r>
    </w:p>
    <w:p w14:paraId="4ACE8F91" w14:textId="77777777" w:rsidR="00886D04" w:rsidRDefault="00886D04" w:rsidP="00886D04">
      <w:pPr>
        <w:pStyle w:val="Text1Numbered"/>
        <w:numPr>
          <w:ilvl w:val="0"/>
          <w:numId w:val="0"/>
        </w:numPr>
        <w:ind w:left="1135"/>
      </w:pPr>
    </w:p>
    <w:p w14:paraId="71668830" w14:textId="77777777" w:rsidR="00886D04" w:rsidRDefault="00886D04" w:rsidP="00886D04">
      <w:pPr>
        <w:pStyle w:val="Text1Numbered"/>
      </w:pPr>
      <w:r>
        <w:t xml:space="preserve">In situations where repeated long-term absences become unsustainable for the service, even where they do not trigger formal action under the Bradford Factor or Long-Term Absence stages, MHA reserves the right to consider action /warning up to dismissal due to the cumulative effect of those absences.  </w:t>
      </w:r>
    </w:p>
    <w:p w14:paraId="05838377" w14:textId="77777777" w:rsidR="00886D04" w:rsidRDefault="00886D04" w:rsidP="00886D04">
      <w:pPr>
        <w:pStyle w:val="Heading1Numbered"/>
      </w:pPr>
      <w:bookmarkStart w:id="22" w:name="_Toc153795653"/>
      <w:bookmarkStart w:id="23" w:name="_Toc179988689"/>
      <w:r>
        <w:lastRenderedPageBreak/>
        <w:t>Third Party Claims for Losses or Damages</w:t>
      </w:r>
      <w:bookmarkEnd w:id="22"/>
      <w:bookmarkEnd w:id="23"/>
    </w:p>
    <w:p w14:paraId="2157209C" w14:textId="77777777" w:rsidR="00886D04" w:rsidRPr="00670DD9" w:rsidRDefault="00886D04" w:rsidP="00886D04">
      <w:pPr>
        <w:pStyle w:val="Text1Numbered"/>
      </w:pPr>
      <w:r w:rsidRPr="00670DD9">
        <w:t>Should a colleague make a claim against a 3rd party for losses or damages arising from an accident or any other incident of actionable negligence which causes them to be absent from work, the claim must include an element in relation to sick pay that the organisation paid to them during the absence period.  If the claim is successful, they will be required to refund all such sick pay to the organisation or any lesser amount as the organisation may agree, at its discretion.</w:t>
      </w:r>
    </w:p>
    <w:p w14:paraId="268AB2E0" w14:textId="77777777" w:rsidR="00886D04" w:rsidRPr="004C3545" w:rsidRDefault="00886D04" w:rsidP="00886D04">
      <w:pPr>
        <w:pStyle w:val="Heading1Numbered"/>
      </w:pPr>
      <w:bookmarkStart w:id="24" w:name="_Toc153795654"/>
      <w:bookmarkStart w:id="25" w:name="_Toc179988690"/>
      <w:r w:rsidRPr="004C3545">
        <w:t xml:space="preserve">Roles </w:t>
      </w:r>
      <w:r>
        <w:t>and</w:t>
      </w:r>
      <w:r w:rsidRPr="004C3545">
        <w:t xml:space="preserve"> Responsibilities</w:t>
      </w:r>
      <w:bookmarkEnd w:id="24"/>
      <w:bookmarkEnd w:id="25"/>
    </w:p>
    <w:tbl>
      <w:tblPr>
        <w:tblStyle w:val="MHATable"/>
        <w:tblW w:w="0" w:type="auto"/>
        <w:tblLook w:val="04A0" w:firstRow="1" w:lastRow="0" w:firstColumn="1" w:lastColumn="0" w:noHBand="0" w:noVBand="1"/>
      </w:tblPr>
      <w:tblGrid>
        <w:gridCol w:w="2830"/>
        <w:gridCol w:w="6663"/>
      </w:tblGrid>
      <w:tr w:rsidR="00886D04" w:rsidRPr="004C3545" w14:paraId="7EE11CE4" w14:textId="77777777" w:rsidTr="0084162B">
        <w:trPr>
          <w:cnfStyle w:val="100000000000" w:firstRow="1" w:lastRow="0" w:firstColumn="0" w:lastColumn="0" w:oddVBand="0" w:evenVBand="0" w:oddHBand="0" w:evenHBand="0" w:firstRowFirstColumn="0" w:firstRowLastColumn="0" w:lastRowFirstColumn="0" w:lastRowLastColumn="0"/>
          <w:tblHeader/>
        </w:trPr>
        <w:tc>
          <w:tcPr>
            <w:tcW w:w="2830" w:type="dxa"/>
          </w:tcPr>
          <w:p w14:paraId="31FD09AD" w14:textId="77777777" w:rsidR="00886D04" w:rsidRPr="004C3545" w:rsidRDefault="00886D04" w:rsidP="0084162B">
            <w:pPr>
              <w:spacing w:line="276" w:lineRule="auto"/>
            </w:pPr>
            <w:r w:rsidRPr="004C3545">
              <w:t>Role</w:t>
            </w:r>
          </w:p>
        </w:tc>
        <w:tc>
          <w:tcPr>
            <w:tcW w:w="6663" w:type="dxa"/>
          </w:tcPr>
          <w:p w14:paraId="53690491" w14:textId="77777777" w:rsidR="00886D04" w:rsidRPr="004C3545" w:rsidRDefault="00886D04" w:rsidP="0084162B">
            <w:pPr>
              <w:spacing w:line="276" w:lineRule="auto"/>
            </w:pPr>
            <w:r w:rsidRPr="004C3545">
              <w:t>Responsibilities</w:t>
            </w:r>
          </w:p>
        </w:tc>
      </w:tr>
      <w:tr w:rsidR="00886D04" w:rsidRPr="004C3545" w14:paraId="55207D12" w14:textId="77777777" w:rsidTr="0084162B">
        <w:tc>
          <w:tcPr>
            <w:tcW w:w="2830" w:type="dxa"/>
          </w:tcPr>
          <w:p w14:paraId="1D1E5E73" w14:textId="77777777" w:rsidR="00886D04" w:rsidRPr="00AC3E15" w:rsidRDefault="00886D04" w:rsidP="0084162B">
            <w:pPr>
              <w:pStyle w:val="Text"/>
              <w:spacing w:line="276" w:lineRule="auto"/>
              <w:rPr>
                <w:b/>
                <w:bCs/>
              </w:rPr>
            </w:pPr>
            <w:r w:rsidRPr="00AC3E15">
              <w:rPr>
                <w:b/>
                <w:bCs/>
              </w:rPr>
              <w:t>All Colleagues</w:t>
            </w:r>
          </w:p>
        </w:tc>
        <w:tc>
          <w:tcPr>
            <w:tcW w:w="6663" w:type="dxa"/>
          </w:tcPr>
          <w:p w14:paraId="311A32ED" w14:textId="77777777" w:rsidR="00886D04" w:rsidRPr="004C3545" w:rsidRDefault="00886D04" w:rsidP="0084162B">
            <w:pPr>
              <w:pStyle w:val="Textlist-bullet"/>
            </w:pPr>
            <w:r w:rsidRPr="00670DD9">
              <w:t xml:space="preserve">All those persons referred to within the scope of this policy are required to adhere to its terms and conditions.  </w:t>
            </w:r>
          </w:p>
        </w:tc>
      </w:tr>
      <w:tr w:rsidR="00886D04" w:rsidRPr="004C3545" w14:paraId="5699F5E3" w14:textId="77777777" w:rsidTr="0084162B">
        <w:tc>
          <w:tcPr>
            <w:tcW w:w="2830" w:type="dxa"/>
          </w:tcPr>
          <w:p w14:paraId="5A6B069C" w14:textId="77777777" w:rsidR="00886D04" w:rsidRPr="00AC3E15" w:rsidRDefault="00886D04" w:rsidP="0084162B">
            <w:pPr>
              <w:pStyle w:val="Text"/>
              <w:spacing w:line="276" w:lineRule="auto"/>
              <w:rPr>
                <w:b/>
                <w:bCs/>
              </w:rPr>
            </w:pPr>
            <w:r w:rsidRPr="00AC3E15">
              <w:rPr>
                <w:b/>
                <w:bCs/>
              </w:rPr>
              <w:t>Line Managers</w:t>
            </w:r>
          </w:p>
        </w:tc>
        <w:tc>
          <w:tcPr>
            <w:tcW w:w="6663" w:type="dxa"/>
          </w:tcPr>
          <w:p w14:paraId="56E97E2A" w14:textId="77777777" w:rsidR="00886D04" w:rsidRPr="004C3545" w:rsidRDefault="00886D04" w:rsidP="0084162B">
            <w:pPr>
              <w:pStyle w:val="Textlist-bullet"/>
            </w:pPr>
            <w:r w:rsidRPr="00670DD9">
              <w:t>Individual line managers are responsible for ensuring that this policy is applied within their area.  Any queries on the application or interpretation of this policy should be discussed with HR prior to any action being taken.</w:t>
            </w:r>
          </w:p>
        </w:tc>
      </w:tr>
      <w:tr w:rsidR="00886D04" w:rsidRPr="004C3545" w14:paraId="1362785D" w14:textId="77777777" w:rsidTr="0084162B">
        <w:tc>
          <w:tcPr>
            <w:tcW w:w="2830" w:type="dxa"/>
          </w:tcPr>
          <w:p w14:paraId="6B7ADD21" w14:textId="77777777" w:rsidR="00886D04" w:rsidRPr="00AC3E15" w:rsidRDefault="00886D04" w:rsidP="0084162B">
            <w:pPr>
              <w:pStyle w:val="Text"/>
              <w:spacing w:line="276" w:lineRule="auto"/>
              <w:rPr>
                <w:b/>
                <w:bCs/>
              </w:rPr>
            </w:pPr>
            <w:r w:rsidRPr="00AC3E15">
              <w:rPr>
                <w:b/>
                <w:bCs/>
              </w:rPr>
              <w:t>Payroll Team (SS)</w:t>
            </w:r>
          </w:p>
        </w:tc>
        <w:tc>
          <w:tcPr>
            <w:tcW w:w="6663" w:type="dxa"/>
          </w:tcPr>
          <w:p w14:paraId="638228C2" w14:textId="77777777" w:rsidR="00886D04" w:rsidRPr="004C3545" w:rsidRDefault="00886D04" w:rsidP="0084162B">
            <w:pPr>
              <w:pStyle w:val="Textlist-bullet"/>
            </w:pPr>
            <w:r w:rsidRPr="00670DD9">
              <w:t>Payroll is responsible for the issue of appropriate SSP forms to leavers and long-term sick colleagues.</w:t>
            </w:r>
          </w:p>
        </w:tc>
      </w:tr>
      <w:tr w:rsidR="00886D04" w:rsidRPr="004C3545" w14:paraId="7ED4B421" w14:textId="77777777" w:rsidTr="0084162B">
        <w:tc>
          <w:tcPr>
            <w:tcW w:w="2830" w:type="dxa"/>
          </w:tcPr>
          <w:p w14:paraId="43B0521D" w14:textId="77777777" w:rsidR="00886D04" w:rsidRPr="00AC3E15" w:rsidRDefault="00886D04" w:rsidP="0084162B">
            <w:pPr>
              <w:pStyle w:val="Text"/>
              <w:spacing w:line="276" w:lineRule="auto"/>
              <w:rPr>
                <w:b/>
                <w:bCs/>
              </w:rPr>
            </w:pPr>
            <w:r w:rsidRPr="00AC3E15">
              <w:rPr>
                <w:b/>
                <w:bCs/>
              </w:rPr>
              <w:t>People Team (HR)</w:t>
            </w:r>
          </w:p>
        </w:tc>
        <w:tc>
          <w:tcPr>
            <w:tcW w:w="6663" w:type="dxa"/>
          </w:tcPr>
          <w:p w14:paraId="5E4B0391" w14:textId="77777777" w:rsidR="00886D04" w:rsidRPr="004C3545" w:rsidRDefault="00886D04" w:rsidP="0084162B">
            <w:pPr>
              <w:pStyle w:val="Textlist-bullet"/>
            </w:pPr>
            <w:r w:rsidRPr="00670DD9">
              <w:t>The HR Team are responsible for regularly reviewing and updating this policy. The Executive Leadership Team is responsible for authorising it.</w:t>
            </w:r>
          </w:p>
        </w:tc>
      </w:tr>
    </w:tbl>
    <w:p w14:paraId="410F49C1" w14:textId="77777777" w:rsidR="00886D04" w:rsidRPr="004C3545" w:rsidRDefault="00886D04" w:rsidP="00886D04">
      <w:pPr>
        <w:rPr>
          <w:rFonts w:cs="Arial"/>
          <w:spacing w:val="7"/>
        </w:rPr>
      </w:pPr>
    </w:p>
    <w:p w14:paraId="028D3D05" w14:textId="77777777" w:rsidR="00886D04" w:rsidRDefault="00886D04" w:rsidP="00886D04">
      <w:pPr>
        <w:pStyle w:val="Heading1Numbered"/>
      </w:pPr>
      <w:bookmarkStart w:id="26" w:name="_Toc133521970"/>
      <w:bookmarkStart w:id="27" w:name="_Toc153795655"/>
      <w:bookmarkStart w:id="28" w:name="_Toc179988691"/>
      <w:r w:rsidRPr="00B2494E">
        <w:t>Training and Monitoring</w:t>
      </w:r>
      <w:bookmarkEnd w:id="26"/>
      <w:bookmarkEnd w:id="27"/>
      <w:bookmarkEnd w:id="28"/>
    </w:p>
    <w:p w14:paraId="7F6A9C5D" w14:textId="77777777" w:rsidR="00886D04" w:rsidRDefault="00886D04" w:rsidP="00886D04">
      <w:pPr>
        <w:pStyle w:val="Text1Numbered"/>
      </w:pPr>
      <w:r>
        <w:t>Compliance is assessed through direct observation, monitoring, and supervision of our colleagues.</w:t>
      </w:r>
    </w:p>
    <w:p w14:paraId="37FD9ACB" w14:textId="77777777" w:rsidR="00886D04" w:rsidRDefault="00886D04" w:rsidP="00886D04">
      <w:pPr>
        <w:pStyle w:val="Heading1Numbered"/>
      </w:pPr>
      <w:bookmarkStart w:id="29" w:name="_Toc133521971"/>
      <w:bookmarkStart w:id="30" w:name="_Toc153795656"/>
      <w:bookmarkStart w:id="31" w:name="_Toc179988692"/>
      <w:r w:rsidRPr="000C7997">
        <w:lastRenderedPageBreak/>
        <w:t>Communication and Dissemination</w:t>
      </w:r>
      <w:bookmarkEnd w:id="29"/>
      <w:bookmarkEnd w:id="30"/>
      <w:bookmarkEnd w:id="31"/>
    </w:p>
    <w:p w14:paraId="172823A8" w14:textId="77777777" w:rsidR="00886D04" w:rsidRDefault="00886D04" w:rsidP="00886D04">
      <w:pPr>
        <w:pStyle w:val="Text1Numbered"/>
      </w:pPr>
      <w:r>
        <w:t>This policy is disseminated and implemented within all MHA services through MHA’s channels of communication.</w:t>
      </w:r>
    </w:p>
    <w:p w14:paraId="79ECA990" w14:textId="77777777" w:rsidR="00886D04" w:rsidRDefault="00886D04" w:rsidP="00886D04">
      <w:pPr>
        <w:pStyle w:val="Text1Numbered"/>
        <w:numPr>
          <w:ilvl w:val="0"/>
          <w:numId w:val="0"/>
        </w:numPr>
      </w:pPr>
    </w:p>
    <w:p w14:paraId="0731E8BC" w14:textId="77777777" w:rsidR="00886D04" w:rsidRDefault="00886D04" w:rsidP="00886D04">
      <w:pPr>
        <w:pStyle w:val="Text1Numbered"/>
      </w:pPr>
      <w:r>
        <w:t>Each colleague’s line manager must ensure that all teams are aware of their roles, responsibilities.</w:t>
      </w:r>
    </w:p>
    <w:p w14:paraId="20BA2BAC" w14:textId="77777777" w:rsidR="00886D04" w:rsidRDefault="00886D04" w:rsidP="00886D04">
      <w:pPr>
        <w:pStyle w:val="Text1Numbered"/>
        <w:numPr>
          <w:ilvl w:val="0"/>
          <w:numId w:val="0"/>
        </w:numPr>
      </w:pPr>
    </w:p>
    <w:p w14:paraId="212A21E1" w14:textId="77777777" w:rsidR="00886D04" w:rsidRDefault="00886D04" w:rsidP="00886D04">
      <w:pPr>
        <w:pStyle w:val="Text1Numbered"/>
      </w:pPr>
      <w:r>
        <w:t>This policy will be available to the people we support and their representatives in alternate formats, as required.</w:t>
      </w:r>
    </w:p>
    <w:p w14:paraId="686277A6" w14:textId="77777777" w:rsidR="00886D04" w:rsidRDefault="00886D04" w:rsidP="00886D04">
      <w:pPr>
        <w:pStyle w:val="Text1Numbered"/>
        <w:numPr>
          <w:ilvl w:val="0"/>
          <w:numId w:val="0"/>
        </w:numPr>
      </w:pPr>
    </w:p>
    <w:p w14:paraId="2494FD03" w14:textId="77777777" w:rsidR="00886D04" w:rsidRDefault="00886D04" w:rsidP="00886D04">
      <w:pPr>
        <w:pStyle w:val="Text1Numbered"/>
      </w:pPr>
      <w:r>
        <w:t>Any review of this policy will include consultation with our colleagues, review of support planning, incident reports, quality audits and feedback from other agencies.</w:t>
      </w:r>
    </w:p>
    <w:p w14:paraId="02BB308A" w14:textId="77777777" w:rsidR="00886D04" w:rsidRDefault="00886D04" w:rsidP="00886D04">
      <w:pPr>
        <w:pStyle w:val="Text1Numbered"/>
        <w:numPr>
          <w:ilvl w:val="0"/>
          <w:numId w:val="0"/>
        </w:numPr>
      </w:pPr>
    </w:p>
    <w:p w14:paraId="6241C671" w14:textId="77777777" w:rsidR="00886D04" w:rsidRDefault="00886D04" w:rsidP="00886D04">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1066D29E" w14:textId="77777777" w:rsidR="00886D04" w:rsidRDefault="00886D04" w:rsidP="00886D04">
      <w:pPr>
        <w:pStyle w:val="Heading1Numbered"/>
      </w:pPr>
      <w:bookmarkStart w:id="32" w:name="_Toc133521972"/>
      <w:bookmarkStart w:id="33" w:name="_Toc153795657"/>
      <w:bookmarkStart w:id="34" w:name="_Toc179988693"/>
      <w:r>
        <w:t>EDI Impact Assessments</w:t>
      </w:r>
      <w:bookmarkEnd w:id="32"/>
      <w:bookmarkEnd w:id="33"/>
      <w:bookmarkEnd w:id="34"/>
    </w:p>
    <w:p w14:paraId="53AAC1A7" w14:textId="77777777" w:rsidR="00886D04" w:rsidRPr="002E4B12" w:rsidRDefault="00886D04" w:rsidP="00886D04">
      <w:pPr>
        <w:pStyle w:val="Text1Numbered"/>
      </w:pPr>
      <w:r>
        <w:t>Equality, Diversity, and Impact Assessment to be confirmed.</w:t>
      </w:r>
    </w:p>
    <w:p w14:paraId="58D3FDBB" w14:textId="77777777" w:rsidR="00886D04" w:rsidRDefault="00886D04" w:rsidP="00886D04">
      <w:pPr>
        <w:pStyle w:val="Heading1Numbered"/>
      </w:pPr>
      <w:bookmarkStart w:id="35" w:name="_Toc179988694"/>
      <w:bookmarkStart w:id="36" w:name="_Toc153795659"/>
      <w:r w:rsidRPr="00B2494E">
        <w:t>Resources</w:t>
      </w:r>
      <w:bookmarkEnd w:id="35"/>
      <w:r w:rsidRPr="00B2494E">
        <w:t xml:space="preserve"> </w:t>
      </w:r>
    </w:p>
    <w:p w14:paraId="57B9D582" w14:textId="70FC0343" w:rsidR="00886D04" w:rsidRPr="00072620" w:rsidRDefault="00886D04" w:rsidP="00072620">
      <w:pPr>
        <w:pStyle w:val="Text1Numbered"/>
        <w:rPr>
          <w:rStyle w:val="Hyperlink"/>
          <w:color w:val="auto"/>
        </w:rPr>
      </w:pPr>
      <w:r w:rsidRPr="00072620">
        <w:t xml:space="preserve">MHA </w:t>
      </w:r>
      <w:r w:rsidR="004D40E7" w:rsidRPr="00072620">
        <w:t>P</w:t>
      </w:r>
      <w:r w:rsidRPr="00072620">
        <w:t xml:space="preserve">olicy </w:t>
      </w:r>
      <w:r w:rsidR="004D40E7" w:rsidRPr="00072620">
        <w:t>D</w:t>
      </w:r>
      <w:r w:rsidRPr="00072620">
        <w:t xml:space="preserve">ocuments, </w:t>
      </w:r>
      <w:r w:rsidR="004D40E7" w:rsidRPr="00072620">
        <w:t>P</w:t>
      </w:r>
      <w:r w:rsidRPr="00072620">
        <w:t xml:space="preserve">rocedures, and </w:t>
      </w:r>
      <w:r w:rsidR="004D40E7" w:rsidRPr="00072620">
        <w:t>G</w:t>
      </w:r>
      <w:r w:rsidRPr="00072620">
        <w:t>uidance:</w:t>
      </w:r>
      <w:r w:rsidRPr="00072620">
        <w:rPr>
          <w:rStyle w:val="Hyperlink"/>
          <w:color w:val="auto"/>
        </w:rPr>
        <w:t xml:space="preserve"> </w:t>
      </w:r>
    </w:p>
    <w:p w14:paraId="0F40CF9F" w14:textId="77777777" w:rsidR="00886D04" w:rsidRDefault="00886D04" w:rsidP="00886D04">
      <w:pPr>
        <w:pStyle w:val="Textlistindented-bullet"/>
        <w:rPr>
          <w:rStyle w:val="Hyperlink"/>
          <w:color w:val="auto"/>
        </w:rPr>
      </w:pPr>
      <w:r w:rsidRPr="00F65A99">
        <w:rPr>
          <w:rStyle w:val="Hyperlink"/>
          <w:color w:val="auto"/>
        </w:rPr>
        <w:t>Return to Work Form</w:t>
      </w:r>
      <w:r>
        <w:rPr>
          <w:rStyle w:val="Hyperlink"/>
          <w:color w:val="auto"/>
        </w:rPr>
        <w:t xml:space="preserve"> </w:t>
      </w:r>
    </w:p>
    <w:p w14:paraId="4469AFBF" w14:textId="77777777" w:rsidR="00886D04" w:rsidRDefault="00886D04" w:rsidP="00886D04">
      <w:pPr>
        <w:pStyle w:val="Textlistindented-bullet"/>
        <w:rPr>
          <w:rStyle w:val="Hyperlink"/>
          <w:color w:val="auto"/>
        </w:rPr>
      </w:pPr>
      <w:r>
        <w:rPr>
          <w:rStyle w:val="Hyperlink"/>
          <w:color w:val="auto"/>
        </w:rPr>
        <w:t>Consent Occupational Health Referral Form</w:t>
      </w:r>
    </w:p>
    <w:p w14:paraId="258819F1" w14:textId="77777777" w:rsidR="00886D04" w:rsidRDefault="00886D04" w:rsidP="00886D04">
      <w:pPr>
        <w:pStyle w:val="Textlistindented-bullet"/>
      </w:pPr>
      <w:r>
        <w:rPr>
          <w:rStyle w:val="Hyperlink"/>
          <w:color w:val="auto"/>
        </w:rPr>
        <w:t xml:space="preserve">Occupational Health Referral Form </w:t>
      </w:r>
    </w:p>
    <w:p w14:paraId="7157E713" w14:textId="77777777" w:rsidR="00886D04" w:rsidRPr="00F65A99" w:rsidRDefault="00886D04" w:rsidP="00886D04">
      <w:pPr>
        <w:pStyle w:val="Textlistindented-bullet"/>
      </w:pPr>
      <w:hyperlink r:id="rId10" w:history="1">
        <w:r w:rsidRPr="00F65A99">
          <w:rPr>
            <w:rStyle w:val="Hyperlink"/>
            <w:color w:val="auto"/>
          </w:rPr>
          <w:t>Special Leave Policy</w:t>
        </w:r>
      </w:hyperlink>
    </w:p>
    <w:p w14:paraId="5448AA67" w14:textId="77777777" w:rsidR="00886D04" w:rsidRPr="00F65A99" w:rsidRDefault="00886D04" w:rsidP="00886D04">
      <w:pPr>
        <w:pStyle w:val="Textlistindented-bullet"/>
      </w:pPr>
      <w:hyperlink r:id="rId11" w:history="1">
        <w:r w:rsidRPr="00F65A99">
          <w:rPr>
            <w:rStyle w:val="Hyperlink"/>
            <w:color w:val="auto"/>
          </w:rPr>
          <w:t>Annual Leave Holiday Arrangements Policy</w:t>
        </w:r>
      </w:hyperlink>
    </w:p>
    <w:p w14:paraId="02BE1DD8" w14:textId="77777777" w:rsidR="00886D04" w:rsidRPr="00F65A99" w:rsidRDefault="00886D04" w:rsidP="00886D04">
      <w:pPr>
        <w:pStyle w:val="Textlistindented-bullet"/>
      </w:pPr>
      <w:hyperlink r:id="rId12" w:history="1">
        <w:r w:rsidRPr="00F65A99">
          <w:rPr>
            <w:rStyle w:val="Hyperlink"/>
            <w:color w:val="auto"/>
          </w:rPr>
          <w:t>Discipline Policy</w:t>
        </w:r>
      </w:hyperlink>
    </w:p>
    <w:p w14:paraId="528B9493" w14:textId="77777777" w:rsidR="00886D04" w:rsidRPr="00F65A99" w:rsidRDefault="00886D04" w:rsidP="00886D04">
      <w:pPr>
        <w:pStyle w:val="Textlistindented-bullet"/>
      </w:pPr>
      <w:hyperlink r:id="rId13" w:history="1">
        <w:r>
          <w:rPr>
            <w:rStyle w:val="Hyperlink"/>
            <w:color w:val="auto"/>
          </w:rPr>
          <w:t>Resolution</w:t>
        </w:r>
        <w:r w:rsidRPr="00F65A99">
          <w:rPr>
            <w:rStyle w:val="Hyperlink"/>
            <w:color w:val="auto"/>
          </w:rPr>
          <w:t xml:space="preserve"> Policy</w:t>
        </w:r>
      </w:hyperlink>
    </w:p>
    <w:p w14:paraId="4FCFB295" w14:textId="77777777" w:rsidR="00886D04" w:rsidRDefault="00886D04" w:rsidP="00886D04">
      <w:pPr>
        <w:pStyle w:val="Textlistindented-bullet"/>
        <w:rPr>
          <w:rStyle w:val="Hyperlink"/>
          <w:color w:val="auto"/>
        </w:rPr>
      </w:pPr>
      <w:hyperlink r:id="rId14" w:history="1">
        <w:r w:rsidRPr="00F65A99">
          <w:rPr>
            <w:rStyle w:val="Hyperlink"/>
            <w:color w:val="auto"/>
          </w:rPr>
          <w:t>Code of Conduct Policy</w:t>
        </w:r>
      </w:hyperlink>
    </w:p>
    <w:p w14:paraId="6E02CD2D" w14:textId="77777777" w:rsidR="00886D04" w:rsidRDefault="00886D04" w:rsidP="00886D04">
      <w:pPr>
        <w:pStyle w:val="Text1Numbered"/>
        <w:rPr>
          <w:rStyle w:val="Hyperlink"/>
          <w:color w:val="auto"/>
        </w:rPr>
      </w:pPr>
      <w:r>
        <w:rPr>
          <w:rStyle w:val="Hyperlink"/>
          <w:color w:val="auto"/>
        </w:rPr>
        <w:lastRenderedPageBreak/>
        <w:t>External Resources</w:t>
      </w:r>
    </w:p>
    <w:p w14:paraId="7C862963" w14:textId="77777777" w:rsidR="00886D04" w:rsidRPr="00D56CAB" w:rsidRDefault="00886D04" w:rsidP="00886D04">
      <w:pPr>
        <w:pStyle w:val="Textlistindented-bullet"/>
        <w:rPr>
          <w:rStyle w:val="Hyperlink"/>
          <w:color w:val="auto"/>
        </w:rPr>
      </w:pPr>
      <w:hyperlink r:id="rId15" w:history="1">
        <w:r w:rsidRPr="00C6089C">
          <w:rPr>
            <w:rStyle w:val="Hyperlink"/>
          </w:rPr>
          <w:t>Equality Act 2010</w:t>
        </w:r>
      </w:hyperlink>
    </w:p>
    <w:p w14:paraId="41EEA67D" w14:textId="77777777" w:rsidR="00886D04" w:rsidRDefault="00886D04" w:rsidP="00886D04">
      <w:pPr>
        <w:pStyle w:val="Heading1Numbered"/>
      </w:pPr>
      <w:bookmarkStart w:id="37" w:name="_Toc179988695"/>
      <w:r>
        <w:t>Appendices</w:t>
      </w:r>
      <w:bookmarkEnd w:id="36"/>
      <w:bookmarkEnd w:id="37"/>
    </w:p>
    <w:p w14:paraId="7B75D60F" w14:textId="77777777" w:rsidR="00886D04" w:rsidRDefault="00886D04" w:rsidP="00886D04">
      <w:pPr>
        <w:pStyle w:val="Textlistindented-bullet"/>
      </w:pPr>
      <w:r>
        <w:t xml:space="preserve">Appendix 1: </w:t>
      </w:r>
      <w:r w:rsidRPr="00F65A99">
        <w:t>Return to Work Interview Guidance</w:t>
      </w:r>
    </w:p>
    <w:p w14:paraId="72A1F6AE" w14:textId="77777777" w:rsidR="00886D04" w:rsidRDefault="00886D04" w:rsidP="00886D04">
      <w:pPr>
        <w:pStyle w:val="Textlistindented-bullet"/>
      </w:pPr>
      <w:r>
        <w:t>Appendix 2: Occupational Health Referral Guidance</w:t>
      </w:r>
    </w:p>
    <w:p w14:paraId="4A816D84" w14:textId="77777777" w:rsidR="00886D04" w:rsidRDefault="00886D04" w:rsidP="00886D04">
      <w:pPr>
        <w:pStyle w:val="Heading2Numbered"/>
      </w:pPr>
      <w:bookmarkStart w:id="38" w:name="_Toc179988696"/>
      <w:r w:rsidRPr="00F65A99">
        <w:t>Appendix 1: Return to Work Interview Guidance</w:t>
      </w:r>
      <w:bookmarkEnd w:id="38"/>
    </w:p>
    <w:p w14:paraId="625347FA" w14:textId="77777777" w:rsidR="00886D04" w:rsidRPr="00F65A99" w:rsidRDefault="00886D04" w:rsidP="00886D04">
      <w:pPr>
        <w:pStyle w:val="Text2Numbered"/>
      </w:pPr>
      <w:r w:rsidRPr="00F65A99">
        <w:t xml:space="preserve">Interviews should be sensitive - aim to make them </w:t>
      </w:r>
      <w:r w:rsidRPr="00F65A99">
        <w:rPr>
          <w:b/>
          <w:bCs/>
        </w:rPr>
        <w:t>WARM</w:t>
      </w:r>
    </w:p>
    <w:p w14:paraId="2FFD38A8" w14:textId="77777777" w:rsidR="00886D04" w:rsidRPr="00F65A99" w:rsidRDefault="00886D04" w:rsidP="00886D04">
      <w:pPr>
        <w:pStyle w:val="Text2Numbered"/>
        <w:numPr>
          <w:ilvl w:val="0"/>
          <w:numId w:val="0"/>
        </w:numPr>
        <w:ind w:left="1135"/>
      </w:pPr>
    </w:p>
    <w:p w14:paraId="20736205" w14:textId="77777777" w:rsidR="00886D04" w:rsidRPr="00F65A99" w:rsidRDefault="00886D04" w:rsidP="00886D04">
      <w:pPr>
        <w:pStyle w:val="Text2Numbered"/>
        <w:numPr>
          <w:ilvl w:val="0"/>
          <w:numId w:val="0"/>
        </w:numPr>
        <w:ind w:left="1135"/>
        <w:rPr>
          <w:b/>
          <w:bCs/>
        </w:rPr>
      </w:pPr>
      <w:proofErr w:type="spellStart"/>
      <w:r>
        <w:rPr>
          <w:b/>
          <w:bCs/>
        </w:rPr>
        <w:t>W</w:t>
      </w:r>
      <w:proofErr w:type="spellEnd"/>
      <w:r w:rsidRPr="00F65A99">
        <w:t xml:space="preserve"> </w:t>
      </w:r>
      <w:r>
        <w:tab/>
      </w:r>
      <w:r>
        <w:tab/>
      </w:r>
      <w:r w:rsidRPr="00F65A99">
        <w:rPr>
          <w:b/>
          <w:bCs/>
        </w:rPr>
        <w:t>Welcome</w:t>
      </w:r>
      <w:r w:rsidRPr="00F65A99">
        <w:t xml:space="preserve"> the </w:t>
      </w:r>
      <w:r>
        <w:t>colleague</w:t>
      </w:r>
      <w:r w:rsidRPr="00F65A99">
        <w:t xml:space="preserve"> </w:t>
      </w:r>
      <w:r>
        <w:t>back</w:t>
      </w:r>
    </w:p>
    <w:p w14:paraId="05841D41" w14:textId="77777777" w:rsidR="00886D04" w:rsidRPr="00F65A99" w:rsidRDefault="00886D04" w:rsidP="00072620">
      <w:pPr>
        <w:pStyle w:val="Text2Numbered"/>
        <w:numPr>
          <w:ilvl w:val="0"/>
          <w:numId w:val="0"/>
        </w:numPr>
        <w:ind w:left="2155" w:hanging="1020"/>
        <w:rPr>
          <w:b/>
          <w:bCs/>
        </w:rPr>
      </w:pPr>
      <w:proofErr w:type="gramStart"/>
      <w:r w:rsidRPr="00F65A99">
        <w:rPr>
          <w:b/>
          <w:bCs/>
        </w:rPr>
        <w:t>A</w:t>
      </w:r>
      <w:proofErr w:type="gramEnd"/>
      <w:r w:rsidRPr="00F65A99">
        <w:rPr>
          <w:b/>
          <w:bCs/>
        </w:rPr>
        <w:t xml:space="preserve"> </w:t>
      </w:r>
      <w:r>
        <w:rPr>
          <w:b/>
          <w:bCs/>
        </w:rPr>
        <w:tab/>
      </w:r>
      <w:r>
        <w:rPr>
          <w:b/>
          <w:bCs/>
        </w:rPr>
        <w:tab/>
      </w:r>
      <w:r w:rsidRPr="00F65A99">
        <w:rPr>
          <w:b/>
          <w:bCs/>
        </w:rPr>
        <w:t>Ask</w:t>
      </w:r>
      <w:r w:rsidRPr="00F65A99">
        <w:t xml:space="preserve"> reason for illness &amp; </w:t>
      </w:r>
      <w:r>
        <w:t xml:space="preserve">ensure that is accurately recorded on mhapeople. </w:t>
      </w:r>
    </w:p>
    <w:p w14:paraId="38630C5F" w14:textId="77777777" w:rsidR="00886D04" w:rsidRPr="00F65A99" w:rsidRDefault="00886D04" w:rsidP="00886D04">
      <w:pPr>
        <w:pStyle w:val="Text2Numbered"/>
        <w:numPr>
          <w:ilvl w:val="0"/>
          <w:numId w:val="0"/>
        </w:numPr>
        <w:ind w:left="2155" w:hanging="1020"/>
        <w:rPr>
          <w:b/>
          <w:bCs/>
        </w:rPr>
      </w:pPr>
      <w:proofErr w:type="spellStart"/>
      <w:r w:rsidRPr="00F65A99">
        <w:rPr>
          <w:b/>
          <w:bCs/>
        </w:rPr>
        <w:t>R</w:t>
      </w:r>
      <w:proofErr w:type="spellEnd"/>
      <w:r w:rsidRPr="00F65A99">
        <w:rPr>
          <w:b/>
          <w:bCs/>
        </w:rPr>
        <w:t xml:space="preserve"> </w:t>
      </w:r>
      <w:r>
        <w:rPr>
          <w:b/>
          <w:bCs/>
        </w:rPr>
        <w:tab/>
      </w:r>
      <w:r>
        <w:rPr>
          <w:b/>
          <w:bCs/>
        </w:rPr>
        <w:tab/>
      </w:r>
      <w:r>
        <w:t>It</w:t>
      </w:r>
      <w:r w:rsidRPr="00F65A99">
        <w:t xml:space="preserve"> may not be the </w:t>
      </w:r>
      <w:r>
        <w:t>colleagues’</w:t>
      </w:r>
      <w:r w:rsidRPr="00F65A99">
        <w:t xml:space="preserve"> fault, but it is their </w:t>
      </w:r>
      <w:r w:rsidRPr="00F65A99">
        <w:rPr>
          <w:b/>
          <w:bCs/>
        </w:rPr>
        <w:t>responsibility</w:t>
      </w:r>
    </w:p>
    <w:p w14:paraId="4ADE7679" w14:textId="77777777" w:rsidR="00886D04" w:rsidRDefault="00886D04" w:rsidP="00886D04">
      <w:pPr>
        <w:pStyle w:val="Text2Numbered"/>
        <w:numPr>
          <w:ilvl w:val="0"/>
          <w:numId w:val="0"/>
        </w:numPr>
        <w:ind w:left="1135"/>
        <w:rPr>
          <w:b/>
          <w:bCs/>
        </w:rPr>
      </w:pPr>
      <w:r w:rsidRPr="00F65A99">
        <w:rPr>
          <w:b/>
          <w:bCs/>
        </w:rPr>
        <w:t xml:space="preserve">M </w:t>
      </w:r>
      <w:r>
        <w:rPr>
          <w:b/>
          <w:bCs/>
        </w:rPr>
        <w:tab/>
      </w:r>
      <w:r>
        <w:rPr>
          <w:b/>
          <w:bCs/>
        </w:rPr>
        <w:tab/>
      </w:r>
      <w:r w:rsidRPr="00F65A99">
        <w:rPr>
          <w:b/>
          <w:bCs/>
        </w:rPr>
        <w:t>Move</w:t>
      </w:r>
      <w:r w:rsidRPr="00F65A99">
        <w:t xml:space="preserve"> on, help the </w:t>
      </w:r>
      <w:r>
        <w:t>colleague</w:t>
      </w:r>
      <w:r w:rsidRPr="00F65A99">
        <w:t xml:space="preserve"> settle back into work.</w:t>
      </w:r>
    </w:p>
    <w:p w14:paraId="5373D141" w14:textId="77777777" w:rsidR="00886D04" w:rsidRDefault="00886D04" w:rsidP="00886D04">
      <w:pPr>
        <w:pStyle w:val="Text2Numbered"/>
        <w:numPr>
          <w:ilvl w:val="0"/>
          <w:numId w:val="0"/>
        </w:numPr>
        <w:ind w:left="1135"/>
      </w:pPr>
    </w:p>
    <w:p w14:paraId="1D2F8787" w14:textId="77777777" w:rsidR="00886D04" w:rsidRDefault="00886D04" w:rsidP="00886D04">
      <w:pPr>
        <w:pStyle w:val="Text2Numbered"/>
      </w:pPr>
      <w:r w:rsidRPr="00F65A99">
        <w:t>The aim of the return-to-work interview is to manage and reduce unnecessary absenteeism. Try to be non- judgmental and avoid making assumptions about colleague’s absence(s).</w:t>
      </w:r>
    </w:p>
    <w:p w14:paraId="436F0283" w14:textId="77777777" w:rsidR="00886D04" w:rsidRPr="00F65A99" w:rsidRDefault="00886D04" w:rsidP="00886D04">
      <w:pPr>
        <w:pStyle w:val="Text2Numbered"/>
        <w:numPr>
          <w:ilvl w:val="0"/>
          <w:numId w:val="0"/>
        </w:numPr>
        <w:ind w:left="1135"/>
      </w:pPr>
    </w:p>
    <w:p w14:paraId="14C02579" w14:textId="77777777" w:rsidR="00886D04" w:rsidRDefault="00886D04" w:rsidP="00886D04">
      <w:pPr>
        <w:pStyle w:val="Text2Numbered"/>
      </w:pPr>
      <w:r w:rsidRPr="00F65A99">
        <w:t>To prepare for return-to-work interviews, consider the points below before the interview:</w:t>
      </w:r>
    </w:p>
    <w:p w14:paraId="2A6A4A2E" w14:textId="77777777" w:rsidR="00886D04" w:rsidRDefault="00886D04" w:rsidP="00886D04">
      <w:pPr>
        <w:pStyle w:val="Textlistindented-bullet"/>
      </w:pPr>
      <w:r>
        <w:t>Are the colleague’s absence periods erratic or regular?</w:t>
      </w:r>
    </w:p>
    <w:p w14:paraId="4AAC9B88" w14:textId="77777777" w:rsidR="00886D04" w:rsidRDefault="00886D04" w:rsidP="00886D04">
      <w:pPr>
        <w:pStyle w:val="Textlistindented-bullet"/>
      </w:pPr>
      <w:r>
        <w:t>Are there patterns of absence following annual leave?</w:t>
      </w:r>
    </w:p>
    <w:p w14:paraId="5AD77B8F" w14:textId="77777777" w:rsidR="00886D04" w:rsidRDefault="00886D04" w:rsidP="00886D04">
      <w:pPr>
        <w:pStyle w:val="Textlistindented-bullet"/>
      </w:pPr>
      <w:r>
        <w:t>Do the absences occur on certain days of the week?</w:t>
      </w:r>
    </w:p>
    <w:p w14:paraId="17ABFDE9" w14:textId="77777777" w:rsidR="00886D04" w:rsidRDefault="00886D04" w:rsidP="00886D04">
      <w:pPr>
        <w:pStyle w:val="Textlistindented-bullet"/>
      </w:pPr>
      <w:r>
        <w:t>What are the average lengths of absence?</w:t>
      </w:r>
    </w:p>
    <w:p w14:paraId="3C3888C5" w14:textId="77777777" w:rsidR="00886D04" w:rsidRDefault="00886D04" w:rsidP="00886D04">
      <w:pPr>
        <w:pStyle w:val="Textlistindented-bullet"/>
      </w:pPr>
      <w:r>
        <w:t>What are the reasons for absences?</w:t>
      </w:r>
    </w:p>
    <w:p w14:paraId="5FE3BF16" w14:textId="77777777" w:rsidR="00886D04" w:rsidRDefault="00886D04" w:rsidP="00886D04">
      <w:pPr>
        <w:pStyle w:val="Textlistindented-bullet"/>
      </w:pPr>
      <w:r>
        <w:t>Are the reasons for absence varied or is there a pattern?</w:t>
      </w:r>
    </w:p>
    <w:p w14:paraId="3F26A0CF" w14:textId="77777777" w:rsidR="00886D04" w:rsidRDefault="00886D04" w:rsidP="00886D04">
      <w:pPr>
        <w:pStyle w:val="Textlistindented-bullet"/>
      </w:pPr>
      <w:r>
        <w:t>Was the absence notification procedure followed? (NB notification by text message is not acceptable)</w:t>
      </w:r>
    </w:p>
    <w:p w14:paraId="47F3FBAB" w14:textId="77777777" w:rsidR="00886D04" w:rsidRDefault="00886D04" w:rsidP="00886D04">
      <w:pPr>
        <w:pStyle w:val="Text2Numbered"/>
      </w:pPr>
      <w:r w:rsidRPr="00F65A99">
        <w:lastRenderedPageBreak/>
        <w:t xml:space="preserve">During the return-to-work interview </w:t>
      </w:r>
      <w:r>
        <w:t>ma</w:t>
      </w:r>
      <w:r w:rsidRPr="00F65A99">
        <w:t>nagers should:</w:t>
      </w:r>
    </w:p>
    <w:p w14:paraId="760A9A1F" w14:textId="7EC31AB7" w:rsidR="00886D04" w:rsidRDefault="00886D04" w:rsidP="00886D04">
      <w:pPr>
        <w:pStyle w:val="Textlistindented-bullet"/>
      </w:pPr>
      <w:r>
        <w:t>Confirm the circumstances of the absence including duration, the reason for absence, whether any medical advice was sought and identify any ongoing problems</w:t>
      </w:r>
    </w:p>
    <w:p w14:paraId="0FC790A6" w14:textId="67929DF8" w:rsidR="00886D04" w:rsidRDefault="00886D04" w:rsidP="00886D04">
      <w:pPr>
        <w:pStyle w:val="Textlistindented-bullet"/>
      </w:pPr>
      <w:r>
        <w:t>Verbally indicate to the colleague that their absence was noted</w:t>
      </w:r>
    </w:p>
    <w:p w14:paraId="7604EDAB" w14:textId="1DE4E6B4" w:rsidR="00886D04" w:rsidRDefault="00886D04" w:rsidP="00886D04">
      <w:pPr>
        <w:pStyle w:val="Textlistindented-bullet"/>
      </w:pPr>
      <w:r>
        <w:t>Depending on the reason for absence – identify if the colleague is fully fit to return to work and/or whether any adjustments need to be made</w:t>
      </w:r>
    </w:p>
    <w:p w14:paraId="361EB042" w14:textId="7173438E" w:rsidR="00886D04" w:rsidRDefault="00886D04" w:rsidP="00886D04">
      <w:pPr>
        <w:pStyle w:val="Textlistindented-bullet"/>
      </w:pPr>
      <w:r>
        <w:t xml:space="preserve">See if MHA can do anything to assist the colleague, either in their return to work and/or reducing further absences. Managers </w:t>
      </w:r>
      <w:r w:rsidR="006371CC">
        <w:t>can</w:t>
      </w:r>
      <w:r>
        <w:t xml:space="preserve"> clarify the absence and to discuss the reason for this absence but not to question the medical condition. Colleagues are not obliged to disclose all their medical details with managers</w:t>
      </w:r>
    </w:p>
    <w:p w14:paraId="525CA69F" w14:textId="6DF39951" w:rsidR="00886D04" w:rsidRDefault="00886D04" w:rsidP="00886D04">
      <w:pPr>
        <w:pStyle w:val="Textlistindented-bullet"/>
      </w:pPr>
      <w:r>
        <w:t>Explain to the colleague that they are not entitled to pick up any additional shifts (other than those they are already rostered for) for a month following their return from absence unless this has been authorised by a services manager or equivalent</w:t>
      </w:r>
    </w:p>
    <w:p w14:paraId="47710903" w14:textId="77777777" w:rsidR="00886D04" w:rsidRDefault="00886D04" w:rsidP="00886D04">
      <w:pPr>
        <w:pStyle w:val="Text2Numbered"/>
      </w:pPr>
      <w:r w:rsidRPr="00F65A99">
        <w:t>At the return-to-work stage if there are concerns about:</w:t>
      </w:r>
    </w:p>
    <w:p w14:paraId="56739D77" w14:textId="26F2D65F" w:rsidR="00886D04" w:rsidRDefault="00886D04" w:rsidP="00886D04">
      <w:pPr>
        <w:pStyle w:val="Textlistindented-bullet"/>
      </w:pPr>
      <w:r>
        <w:t xml:space="preserve">Sickness patterns (e.g., frequently absent on Saturday </w:t>
      </w:r>
      <w:r w:rsidR="006371CC">
        <w:t>n</w:t>
      </w:r>
      <w:r>
        <w:t>ights) or high levels of sickness</w:t>
      </w:r>
    </w:p>
    <w:p w14:paraId="2C6CD538" w14:textId="77777777" w:rsidR="00886D04" w:rsidRDefault="00886D04" w:rsidP="00886D04">
      <w:pPr>
        <w:pStyle w:val="Textlistindented-bullet"/>
      </w:pPr>
      <w:r>
        <w:t>Trigger Points (a Bradford Factor score of 100 or more, 2 further instances of sickness absence if already on a warning and / or an absence of more than 4 weeks or 3 related instances)</w:t>
      </w:r>
    </w:p>
    <w:p w14:paraId="663C89E7" w14:textId="770CEEBD" w:rsidR="00886D04" w:rsidRDefault="00886D04" w:rsidP="00886D04">
      <w:pPr>
        <w:pStyle w:val="Text2Numbered"/>
      </w:pPr>
      <w:r w:rsidRPr="00F65A99">
        <w:t xml:space="preserve">An Informal Meeting should be arranged with the </w:t>
      </w:r>
      <w:r>
        <w:t>colleague</w:t>
      </w:r>
      <w:r w:rsidRPr="00F65A99">
        <w:t xml:space="preserve">. This discussion should concentrate on the reasons for the absence, any practical help that may be available to improve the situation and whether any further action at this time is appropriate. Please contact your manager or </w:t>
      </w:r>
      <w:r>
        <w:t>HR</w:t>
      </w:r>
      <w:r w:rsidRPr="00F65A99">
        <w:t xml:space="preserve"> for further advice on procedure, alternatively, refer to the </w:t>
      </w:r>
      <w:r w:rsidR="00072620" w:rsidRPr="00072620">
        <w:rPr>
          <w:u w:val="single"/>
        </w:rPr>
        <w:t>Sickness A</w:t>
      </w:r>
      <w:r w:rsidRPr="00072620">
        <w:rPr>
          <w:u w:val="single"/>
        </w:rPr>
        <w:t>bsence</w:t>
      </w:r>
      <w:r w:rsidRPr="00131667">
        <w:rPr>
          <w:u w:val="single"/>
        </w:rPr>
        <w:t xml:space="preserve"> </w:t>
      </w:r>
      <w:r w:rsidR="00072620">
        <w:rPr>
          <w:u w:val="single"/>
        </w:rPr>
        <w:t>Management P</w:t>
      </w:r>
      <w:r w:rsidRPr="00131667">
        <w:rPr>
          <w:u w:val="single"/>
        </w:rPr>
        <w:t>olicy</w:t>
      </w:r>
      <w:r w:rsidRPr="00F65A99">
        <w:t xml:space="preserve"> for further guidance.</w:t>
      </w:r>
    </w:p>
    <w:p w14:paraId="313CA36A" w14:textId="77777777" w:rsidR="00072620" w:rsidRDefault="00072620" w:rsidP="00072620">
      <w:pPr>
        <w:pStyle w:val="Text2Numbered"/>
        <w:numPr>
          <w:ilvl w:val="0"/>
          <w:numId w:val="0"/>
        </w:numPr>
        <w:ind w:left="1135"/>
      </w:pPr>
    </w:p>
    <w:p w14:paraId="403AA7F7" w14:textId="77777777" w:rsidR="00072620" w:rsidRDefault="00072620" w:rsidP="00072620">
      <w:pPr>
        <w:pStyle w:val="Text2Numbered"/>
        <w:numPr>
          <w:ilvl w:val="0"/>
          <w:numId w:val="0"/>
        </w:numPr>
        <w:ind w:left="1135"/>
      </w:pPr>
    </w:p>
    <w:p w14:paraId="3B83447A" w14:textId="77777777" w:rsidR="00886D04" w:rsidRDefault="00886D04" w:rsidP="00886D04">
      <w:pPr>
        <w:pStyle w:val="Heading2Numbered"/>
      </w:pPr>
      <w:bookmarkStart w:id="39" w:name="_Toc179988697"/>
      <w:r>
        <w:lastRenderedPageBreak/>
        <w:t>Appendix 2: Occupational Health Referral Guidance</w:t>
      </w:r>
      <w:bookmarkEnd w:id="39"/>
    </w:p>
    <w:p w14:paraId="35E6C2D4" w14:textId="77777777" w:rsidR="00886D04" w:rsidRPr="00391E2D" w:rsidRDefault="00886D04" w:rsidP="00886D04">
      <w:pPr>
        <w:pStyle w:val="Text2Numbered"/>
      </w:pPr>
      <w:r>
        <w:t>What makes a good referral?</w:t>
      </w:r>
    </w:p>
    <w:p w14:paraId="70CD15EE" w14:textId="548A6CB6" w:rsidR="00886D04" w:rsidRDefault="00886D04" w:rsidP="00886D04">
      <w:pPr>
        <w:pStyle w:val="Textlistindented-bullet"/>
      </w:pPr>
      <w:r>
        <w:t xml:space="preserve">This guide has been produced to give line managers advice on what is required when making a sickness absence referral to </w:t>
      </w:r>
      <w:r w:rsidR="000279F1">
        <w:t>Occupational Health</w:t>
      </w:r>
      <w:r>
        <w:t xml:space="preserve">. The </w:t>
      </w:r>
      <w:proofErr w:type="gramStart"/>
      <w:r>
        <w:t>old adage</w:t>
      </w:r>
      <w:proofErr w:type="gramEnd"/>
      <w:r>
        <w:t xml:space="preserve">, “Rubbish in, rubbish out” does actually directly relate to referrals. The more information you provide, the better the quality of the reports that will be produced to enable you to manage the referral issue. </w:t>
      </w:r>
    </w:p>
    <w:p w14:paraId="06CF4047" w14:textId="77777777" w:rsidR="00886D04" w:rsidRDefault="00886D04" w:rsidP="00886D04">
      <w:pPr>
        <w:pStyle w:val="Text2Numbered"/>
      </w:pPr>
      <w:r>
        <w:t>Reason for referral</w:t>
      </w:r>
    </w:p>
    <w:p w14:paraId="57E19E29" w14:textId="77777777" w:rsidR="00886D04" w:rsidRPr="00391E2D" w:rsidRDefault="00886D04" w:rsidP="00886D04">
      <w:pPr>
        <w:pStyle w:val="Textlistindented-bullet"/>
      </w:pPr>
      <w:r w:rsidRPr="00391E2D">
        <w:t xml:space="preserve">It is important that the reason for referral is clearly explained so that the practitioner can understand why the individual has been referred. When completing the management referral form please provide the following as a minimum: </w:t>
      </w:r>
    </w:p>
    <w:p w14:paraId="057D77D8" w14:textId="77777777" w:rsidR="00886D04" w:rsidRDefault="00886D04" w:rsidP="00886D04">
      <w:pPr>
        <w:pStyle w:val="Textlistindented-bullet"/>
        <w:numPr>
          <w:ilvl w:val="0"/>
          <w:numId w:val="35"/>
        </w:numPr>
      </w:pPr>
      <w:r>
        <w:t>Why you are referring this individual currently</w:t>
      </w:r>
    </w:p>
    <w:p w14:paraId="396B50FE" w14:textId="77777777" w:rsidR="00886D04" w:rsidRDefault="00886D04" w:rsidP="00886D04">
      <w:pPr>
        <w:pStyle w:val="Textlistindented-bullet"/>
        <w:numPr>
          <w:ilvl w:val="0"/>
          <w:numId w:val="35"/>
        </w:numPr>
      </w:pPr>
      <w:r>
        <w:t xml:space="preserve">Outline the management action you will be considering when you get the report </w:t>
      </w:r>
    </w:p>
    <w:p w14:paraId="650EEA9A" w14:textId="77777777" w:rsidR="00886D04" w:rsidRDefault="00886D04" w:rsidP="00886D04">
      <w:pPr>
        <w:pStyle w:val="Textlistindented-bullet"/>
        <w:numPr>
          <w:ilvl w:val="0"/>
          <w:numId w:val="35"/>
        </w:numPr>
      </w:pPr>
      <w:r>
        <w:t>Provide the individual’s absence details</w:t>
      </w:r>
    </w:p>
    <w:p w14:paraId="084AF6FB" w14:textId="77777777" w:rsidR="00886D04" w:rsidRDefault="00886D04" w:rsidP="00886D04">
      <w:pPr>
        <w:pStyle w:val="Textlistindented-bullet"/>
        <w:numPr>
          <w:ilvl w:val="0"/>
          <w:numId w:val="35"/>
        </w:numPr>
      </w:pPr>
      <w:r>
        <w:t xml:space="preserve">State whether the individual is currently absent from work </w:t>
      </w:r>
    </w:p>
    <w:p w14:paraId="3EF1B747" w14:textId="77777777" w:rsidR="00886D04" w:rsidRDefault="00886D04" w:rsidP="00886D04">
      <w:pPr>
        <w:pStyle w:val="Textlistindented-bullet"/>
        <w:numPr>
          <w:ilvl w:val="0"/>
          <w:numId w:val="35"/>
        </w:numPr>
      </w:pPr>
      <w:r>
        <w:t xml:space="preserve">State the diagnosis on their medical/self-certificate or attach copy </w:t>
      </w:r>
    </w:p>
    <w:p w14:paraId="5A10EC31" w14:textId="77777777" w:rsidR="00886D04" w:rsidRDefault="00886D04" w:rsidP="00886D04">
      <w:pPr>
        <w:pStyle w:val="Textlistindented-bullet"/>
        <w:numPr>
          <w:ilvl w:val="0"/>
          <w:numId w:val="35"/>
        </w:numPr>
      </w:pPr>
      <w:r>
        <w:t xml:space="preserve">Identify the first day of their absence; and </w:t>
      </w:r>
    </w:p>
    <w:p w14:paraId="564205FE" w14:textId="77777777" w:rsidR="00886D04" w:rsidRDefault="00886D04" w:rsidP="00886D04">
      <w:pPr>
        <w:pStyle w:val="Textlistindented-bullet"/>
        <w:numPr>
          <w:ilvl w:val="0"/>
          <w:numId w:val="35"/>
        </w:numPr>
      </w:pPr>
      <w:r>
        <w:t xml:space="preserve">State whether you have a confirmed a return-to-work date or an indication from the individual’s GP as to how long they may be absent. </w:t>
      </w:r>
    </w:p>
    <w:p w14:paraId="3DECB438" w14:textId="77777777" w:rsidR="00886D04" w:rsidRDefault="00886D04" w:rsidP="00886D04">
      <w:pPr>
        <w:pStyle w:val="Text2Numbered"/>
      </w:pPr>
      <w:r>
        <w:t>Background history</w:t>
      </w:r>
    </w:p>
    <w:p w14:paraId="4D411FD1" w14:textId="70005A77" w:rsidR="004F44E9" w:rsidRPr="00391E2D" w:rsidRDefault="00886D04" w:rsidP="004F44E9">
      <w:pPr>
        <w:pStyle w:val="Textlistindented-bullet"/>
      </w:pPr>
      <w:r w:rsidRPr="00391E2D">
        <w:t xml:space="preserve">The more background you can provide the better response you should receive from the OH Clinician. Remember to provide any information that you have which you believe may be relevant, for example: </w:t>
      </w:r>
    </w:p>
    <w:p w14:paraId="452CD1B4" w14:textId="77777777" w:rsidR="00886D04" w:rsidRDefault="00886D04" w:rsidP="00886D04">
      <w:pPr>
        <w:pStyle w:val="Textlistindented-bullet"/>
        <w:numPr>
          <w:ilvl w:val="0"/>
          <w:numId w:val="35"/>
        </w:numPr>
      </w:pPr>
      <w:r>
        <w:t xml:space="preserve">Is the individual’s attendance pattern causing concern? </w:t>
      </w:r>
    </w:p>
    <w:p w14:paraId="6375B883" w14:textId="77777777" w:rsidR="00886D04" w:rsidRDefault="00886D04" w:rsidP="00886D04">
      <w:pPr>
        <w:pStyle w:val="Textlistindented-bullet"/>
        <w:numPr>
          <w:ilvl w:val="0"/>
          <w:numId w:val="35"/>
        </w:numPr>
      </w:pPr>
      <w:r>
        <w:t xml:space="preserve">Is the individual able to carry out their job? </w:t>
      </w:r>
    </w:p>
    <w:p w14:paraId="3634566D" w14:textId="77777777" w:rsidR="00886D04" w:rsidRDefault="00886D04" w:rsidP="00886D04">
      <w:pPr>
        <w:pStyle w:val="Textlistindented-bullet"/>
        <w:numPr>
          <w:ilvl w:val="0"/>
          <w:numId w:val="35"/>
        </w:numPr>
      </w:pPr>
      <w:r>
        <w:t xml:space="preserve">Is there a rehabilitation plan in place that has not progressed as expected? </w:t>
      </w:r>
    </w:p>
    <w:p w14:paraId="10E46F77" w14:textId="77777777" w:rsidR="00886D04" w:rsidRDefault="00886D04" w:rsidP="00886D04">
      <w:pPr>
        <w:pStyle w:val="Textlistindented-bullet"/>
        <w:numPr>
          <w:ilvl w:val="0"/>
          <w:numId w:val="35"/>
        </w:numPr>
      </w:pPr>
      <w:r>
        <w:lastRenderedPageBreak/>
        <w:t xml:space="preserve">Does the individual have any previous history of their current condition? </w:t>
      </w:r>
    </w:p>
    <w:p w14:paraId="2694CFDF" w14:textId="77777777" w:rsidR="00886D04" w:rsidRDefault="00886D04" w:rsidP="00886D04">
      <w:pPr>
        <w:pStyle w:val="Textlistindented-bullet"/>
        <w:numPr>
          <w:ilvl w:val="0"/>
          <w:numId w:val="35"/>
        </w:numPr>
      </w:pPr>
      <w:r>
        <w:t xml:space="preserve">Are there any personal issues? </w:t>
      </w:r>
    </w:p>
    <w:p w14:paraId="35F754DC" w14:textId="77777777" w:rsidR="00886D04" w:rsidRDefault="00886D04" w:rsidP="00886D04">
      <w:pPr>
        <w:pStyle w:val="Textlistindented-bullet"/>
        <w:numPr>
          <w:ilvl w:val="0"/>
          <w:numId w:val="35"/>
        </w:numPr>
      </w:pPr>
      <w:r>
        <w:t xml:space="preserve">Does the individual’s condition impact on their social/domestic activities that you are aware of? </w:t>
      </w:r>
    </w:p>
    <w:p w14:paraId="6C7F5443" w14:textId="77777777" w:rsidR="00886D04" w:rsidRDefault="00886D04" w:rsidP="00886D04">
      <w:pPr>
        <w:pStyle w:val="Textlistindented-bullet"/>
        <w:numPr>
          <w:ilvl w:val="0"/>
          <w:numId w:val="35"/>
        </w:numPr>
      </w:pPr>
      <w:r>
        <w:t xml:space="preserve">Is the individual expected to return to work at any point in the future? </w:t>
      </w:r>
    </w:p>
    <w:p w14:paraId="6BD06E19" w14:textId="77777777" w:rsidR="00886D04" w:rsidRDefault="00886D04" w:rsidP="00886D04">
      <w:pPr>
        <w:pStyle w:val="Textlistindented-bullet"/>
        <w:numPr>
          <w:ilvl w:val="0"/>
          <w:numId w:val="35"/>
        </w:numPr>
      </w:pPr>
      <w:r>
        <w:t xml:space="preserve">Has the individual </w:t>
      </w:r>
      <w:proofErr w:type="gramStart"/>
      <w:r>
        <w:t>entered into</w:t>
      </w:r>
      <w:proofErr w:type="gramEnd"/>
      <w:r>
        <w:t xml:space="preserve"> a formal management process? </w:t>
      </w:r>
    </w:p>
    <w:p w14:paraId="361C9451" w14:textId="31C7CF80" w:rsidR="00886D04" w:rsidRDefault="00886D04" w:rsidP="00886D04">
      <w:pPr>
        <w:pStyle w:val="Text2Numbered"/>
      </w:pPr>
      <w:r>
        <w:t xml:space="preserve">Management </w:t>
      </w:r>
      <w:r w:rsidR="00676769">
        <w:t>c</w:t>
      </w:r>
      <w:r>
        <w:t>ontact</w:t>
      </w:r>
    </w:p>
    <w:p w14:paraId="0172BC2C" w14:textId="1F902B32" w:rsidR="00886D04" w:rsidRPr="00391E2D" w:rsidRDefault="00886D04" w:rsidP="00886D04">
      <w:pPr>
        <w:pStyle w:val="Textlistindented-bullet"/>
      </w:pPr>
      <w:r w:rsidRPr="00391E2D">
        <w:t xml:space="preserve">From the regular contact that you have maintained as part of the absence process you should be able to provide a lot of information to </w:t>
      </w:r>
      <w:r w:rsidR="000279F1">
        <w:t>Occupational Health</w:t>
      </w:r>
      <w:r w:rsidRPr="00391E2D">
        <w:t xml:space="preserve"> before the individual is assessed. Things to consider include: </w:t>
      </w:r>
    </w:p>
    <w:p w14:paraId="29A9A82C" w14:textId="77777777" w:rsidR="00886D04" w:rsidRDefault="00886D04" w:rsidP="00886D04">
      <w:pPr>
        <w:pStyle w:val="Textlistindented-bullet"/>
        <w:numPr>
          <w:ilvl w:val="0"/>
          <w:numId w:val="35"/>
        </w:numPr>
      </w:pPr>
      <w:r>
        <w:t xml:space="preserve">Are there any perceived barriers to returning to work? For example, immobility, physical limitations, surgery, conflicts at work or with management? </w:t>
      </w:r>
    </w:p>
    <w:p w14:paraId="6CA55EB3" w14:textId="77777777" w:rsidR="00886D04" w:rsidRDefault="00886D04" w:rsidP="00886D04">
      <w:pPr>
        <w:pStyle w:val="Textlistindented-bullet"/>
        <w:numPr>
          <w:ilvl w:val="0"/>
          <w:numId w:val="35"/>
        </w:numPr>
      </w:pPr>
      <w:r>
        <w:t xml:space="preserve">Is the individual due to see their GP or a specialist in the future? </w:t>
      </w:r>
    </w:p>
    <w:p w14:paraId="1F2EDFA5" w14:textId="77777777" w:rsidR="00886D04" w:rsidRDefault="00886D04" w:rsidP="00886D04">
      <w:pPr>
        <w:pStyle w:val="Textlistindented-bullet"/>
        <w:numPr>
          <w:ilvl w:val="0"/>
          <w:numId w:val="35"/>
        </w:numPr>
      </w:pPr>
      <w:r>
        <w:t xml:space="preserve">Are you aware of any external support the individual may be receiving, for example physiotherapy or counselling? </w:t>
      </w:r>
    </w:p>
    <w:p w14:paraId="64467A4E" w14:textId="77777777" w:rsidR="00886D04" w:rsidRDefault="00886D04" w:rsidP="00886D04">
      <w:pPr>
        <w:pStyle w:val="Textlistindented-bullet"/>
        <w:numPr>
          <w:ilvl w:val="0"/>
          <w:numId w:val="35"/>
        </w:numPr>
      </w:pPr>
      <w:r>
        <w:t xml:space="preserve">Have you already discussed any potential adjustments, e.g. hours, duties etc. </w:t>
      </w:r>
    </w:p>
    <w:p w14:paraId="7ECEF978" w14:textId="77777777" w:rsidR="00886D04" w:rsidRDefault="00886D04" w:rsidP="00886D04">
      <w:pPr>
        <w:pStyle w:val="Text2Numbered"/>
      </w:pPr>
      <w:r>
        <w:t>Adjustments or modifications</w:t>
      </w:r>
    </w:p>
    <w:p w14:paraId="65456973" w14:textId="58AFACBB" w:rsidR="00886D04" w:rsidRDefault="00886D04" w:rsidP="00886D04">
      <w:pPr>
        <w:pStyle w:val="Textlistindented-bullet"/>
      </w:pPr>
      <w:r>
        <w:t xml:space="preserve">In some cases, you may have brought an individual back to work on adjusted duties but still require </w:t>
      </w:r>
      <w:r w:rsidR="000279F1">
        <w:t>Occupational Health</w:t>
      </w:r>
      <w:r>
        <w:t xml:space="preserve"> advice. You should cover the following with any referral that you make:</w:t>
      </w:r>
    </w:p>
    <w:p w14:paraId="32EB6088" w14:textId="77777777" w:rsidR="00886D04" w:rsidRDefault="00886D04" w:rsidP="00886D04">
      <w:pPr>
        <w:pStyle w:val="Textlistindented-bullet"/>
        <w:numPr>
          <w:ilvl w:val="0"/>
          <w:numId w:val="35"/>
        </w:numPr>
      </w:pPr>
      <w:r>
        <w:t>Has there been a local agreement on adjusting the individual's work practice?</w:t>
      </w:r>
    </w:p>
    <w:p w14:paraId="0AE30FA3" w14:textId="77777777" w:rsidR="00886D04" w:rsidRDefault="00886D04" w:rsidP="00886D04">
      <w:pPr>
        <w:pStyle w:val="Textlistindented-bullet"/>
        <w:numPr>
          <w:ilvl w:val="0"/>
          <w:numId w:val="35"/>
        </w:numPr>
      </w:pPr>
      <w:r>
        <w:t>If so, was it successful? If not, what difficulties was the individual experiencing?</w:t>
      </w:r>
    </w:p>
    <w:p w14:paraId="43DB859B" w14:textId="77777777" w:rsidR="00886D04" w:rsidRDefault="00886D04" w:rsidP="00886D04">
      <w:pPr>
        <w:pStyle w:val="Textlistindented-bullet"/>
        <w:numPr>
          <w:ilvl w:val="0"/>
          <w:numId w:val="35"/>
        </w:numPr>
      </w:pPr>
      <w:r>
        <w:t>Were these adjustments made due to the Equality Act?</w:t>
      </w:r>
    </w:p>
    <w:p w14:paraId="6D29157E" w14:textId="77777777" w:rsidR="00072620" w:rsidRDefault="00072620" w:rsidP="00072620">
      <w:pPr>
        <w:pStyle w:val="Textlistindented-bullet"/>
        <w:numPr>
          <w:ilvl w:val="0"/>
          <w:numId w:val="0"/>
        </w:numPr>
        <w:ind w:left="1919"/>
      </w:pPr>
    </w:p>
    <w:p w14:paraId="0E744889" w14:textId="77777777" w:rsidR="00072620" w:rsidRDefault="00072620" w:rsidP="00072620">
      <w:pPr>
        <w:pStyle w:val="Textlistindented-bullet"/>
        <w:numPr>
          <w:ilvl w:val="0"/>
          <w:numId w:val="0"/>
        </w:numPr>
        <w:ind w:left="1919"/>
      </w:pPr>
    </w:p>
    <w:p w14:paraId="4FBE154A" w14:textId="77777777" w:rsidR="00072620" w:rsidRDefault="00072620" w:rsidP="00072620">
      <w:pPr>
        <w:pStyle w:val="Textlistindented-bullet"/>
        <w:numPr>
          <w:ilvl w:val="0"/>
          <w:numId w:val="0"/>
        </w:numPr>
        <w:ind w:left="1919"/>
      </w:pPr>
    </w:p>
    <w:p w14:paraId="57A15749" w14:textId="77777777" w:rsidR="00886D04" w:rsidRDefault="00886D04" w:rsidP="00886D04">
      <w:pPr>
        <w:pStyle w:val="Text2Numbered"/>
      </w:pPr>
      <w:r>
        <w:lastRenderedPageBreak/>
        <w:t>Further flexibilities</w:t>
      </w:r>
    </w:p>
    <w:p w14:paraId="639E6C66" w14:textId="6341CBFA" w:rsidR="00886D04" w:rsidRDefault="00886D04" w:rsidP="00886D04">
      <w:pPr>
        <w:pStyle w:val="Textlistindented-bullet"/>
      </w:pPr>
      <w:r>
        <w:t xml:space="preserve">It is important that you let </w:t>
      </w:r>
      <w:r w:rsidR="000279F1">
        <w:t xml:space="preserve">Occupational </w:t>
      </w:r>
      <w:r w:rsidR="00C66EB8">
        <w:t>H</w:t>
      </w:r>
      <w:r w:rsidR="000279F1">
        <w:t>ealth</w:t>
      </w:r>
      <w:r>
        <w:t xml:space="preserve"> know what available work or redeployment opportunities there is in their area and what further adjustments the business could support. You should therefore include information on the adjustments and modifications you could reasonably support and for how long. Examples include a rehabilitation plan, alternative work patterns, contractual changes, alternative office locations, job share and so on.</w:t>
      </w:r>
    </w:p>
    <w:p w14:paraId="4FB17FF0" w14:textId="77777777" w:rsidR="00886D04" w:rsidRDefault="00886D04" w:rsidP="00886D04">
      <w:pPr>
        <w:pStyle w:val="Text2Numbered"/>
      </w:pPr>
      <w:r>
        <w:t>Duties</w:t>
      </w:r>
    </w:p>
    <w:p w14:paraId="6785EFD4" w14:textId="2DC960D6" w:rsidR="00886D04" w:rsidRDefault="00886D04" w:rsidP="00886D04">
      <w:pPr>
        <w:pStyle w:val="Textlistindented-bullet"/>
      </w:pPr>
      <w:r>
        <w:t xml:space="preserve">It is also important that </w:t>
      </w:r>
      <w:r w:rsidR="000279F1">
        <w:t>Occupational Health</w:t>
      </w:r>
      <w:r>
        <w:t xml:space="preserve"> knows about the role the individual is contracted to so that this can be considered if rehabilitation is required. You should either include a copy of the job description or include the following details:</w:t>
      </w:r>
    </w:p>
    <w:p w14:paraId="184E8976" w14:textId="55126772" w:rsidR="00886D04" w:rsidRDefault="00886D04" w:rsidP="00886D04">
      <w:pPr>
        <w:pStyle w:val="Textlistindented-bullet"/>
        <w:numPr>
          <w:ilvl w:val="0"/>
          <w:numId w:val="35"/>
        </w:numPr>
      </w:pPr>
      <w:r>
        <w:t>The role the individual is contracted to do</w:t>
      </w:r>
    </w:p>
    <w:p w14:paraId="17FC277F" w14:textId="23176F37" w:rsidR="00886D04" w:rsidRDefault="00886D04" w:rsidP="00886D04">
      <w:pPr>
        <w:pStyle w:val="Textlistindented-bullet"/>
        <w:numPr>
          <w:ilvl w:val="0"/>
          <w:numId w:val="35"/>
        </w:numPr>
      </w:pPr>
      <w:r>
        <w:t>Whether the individual works full time or part time or works shifts or overtime</w:t>
      </w:r>
    </w:p>
    <w:p w14:paraId="3F83EC62" w14:textId="77777777" w:rsidR="00886D04" w:rsidRDefault="00886D04" w:rsidP="00886D04">
      <w:pPr>
        <w:pStyle w:val="Textlistindented-bullet"/>
        <w:numPr>
          <w:ilvl w:val="0"/>
          <w:numId w:val="35"/>
        </w:numPr>
      </w:pPr>
      <w:r>
        <w:t>The type of work the individual does - for example, clerical or administrative, security, sorting letters/packets, DSE user etc</w:t>
      </w:r>
    </w:p>
    <w:p w14:paraId="43103CC0" w14:textId="77777777" w:rsidR="00886D04" w:rsidRDefault="00886D04" w:rsidP="00886D04">
      <w:pPr>
        <w:pStyle w:val="Textlistindented-bullet"/>
        <w:numPr>
          <w:ilvl w:val="0"/>
          <w:numId w:val="35"/>
        </w:numPr>
      </w:pPr>
      <w:r>
        <w:t>Whether the individual’s role involves repetitive tasks driving, walking or using specific machinery</w:t>
      </w:r>
    </w:p>
    <w:p w14:paraId="60F760B9" w14:textId="77777777" w:rsidR="00886D04" w:rsidRDefault="00886D04" w:rsidP="00886D04">
      <w:pPr>
        <w:pStyle w:val="Textlistindented-bullet"/>
        <w:numPr>
          <w:ilvl w:val="0"/>
          <w:numId w:val="35"/>
        </w:numPr>
      </w:pPr>
      <w:r>
        <w:t>Any unusual aspects of the role</w:t>
      </w:r>
    </w:p>
    <w:p w14:paraId="0D468448" w14:textId="77777777" w:rsidR="00886D04" w:rsidRDefault="00886D04" w:rsidP="00886D04">
      <w:pPr>
        <w:pStyle w:val="Text2Numbered"/>
      </w:pPr>
      <w:r>
        <w:t>Any other relevant information</w:t>
      </w:r>
    </w:p>
    <w:p w14:paraId="654D8749" w14:textId="77777777" w:rsidR="00886D04" w:rsidRDefault="00886D04" w:rsidP="00886D04">
      <w:pPr>
        <w:pStyle w:val="Textlistindented-bullet"/>
      </w:pPr>
      <w:r>
        <w:t>Is there any other information, which would help the scrutiny practitioners manage and route this case appropriately? For example:</w:t>
      </w:r>
    </w:p>
    <w:p w14:paraId="6A4BE025" w14:textId="77777777" w:rsidR="00886D04" w:rsidRDefault="00886D04" w:rsidP="00886D04">
      <w:pPr>
        <w:pStyle w:val="Textlistindented-bullet"/>
        <w:numPr>
          <w:ilvl w:val="0"/>
          <w:numId w:val="35"/>
        </w:numPr>
      </w:pPr>
      <w:r>
        <w:t>Is there a date for a hearing or performance review?</w:t>
      </w:r>
    </w:p>
    <w:p w14:paraId="7BE2E978" w14:textId="77777777" w:rsidR="00886D04" w:rsidRDefault="00886D04" w:rsidP="00886D04">
      <w:pPr>
        <w:pStyle w:val="Textlistindented-bullet"/>
        <w:numPr>
          <w:ilvl w:val="0"/>
          <w:numId w:val="35"/>
        </w:numPr>
      </w:pPr>
      <w:r>
        <w:t>Are there any outcomes from appeals or conduct meetings; or</w:t>
      </w:r>
    </w:p>
    <w:p w14:paraId="4B238E5D" w14:textId="77777777" w:rsidR="00886D04" w:rsidRDefault="00886D04" w:rsidP="00886D04">
      <w:pPr>
        <w:pStyle w:val="Textlistindented-bullet"/>
        <w:numPr>
          <w:ilvl w:val="0"/>
          <w:numId w:val="35"/>
        </w:numPr>
      </w:pPr>
      <w:r>
        <w:t>Is the individual undertaking other work outside of the organisation.</w:t>
      </w:r>
    </w:p>
    <w:p w14:paraId="1FC6BA86" w14:textId="77777777" w:rsidR="00072620" w:rsidRDefault="00072620" w:rsidP="00072620">
      <w:pPr>
        <w:pStyle w:val="Textlistindented-bullet"/>
        <w:numPr>
          <w:ilvl w:val="0"/>
          <w:numId w:val="0"/>
        </w:numPr>
        <w:ind w:left="1919"/>
      </w:pPr>
    </w:p>
    <w:p w14:paraId="477DBA3E" w14:textId="77777777" w:rsidR="00072620" w:rsidRDefault="00072620" w:rsidP="00072620">
      <w:pPr>
        <w:pStyle w:val="Textlistindented-bullet"/>
        <w:numPr>
          <w:ilvl w:val="0"/>
          <w:numId w:val="0"/>
        </w:numPr>
        <w:ind w:left="1919"/>
      </w:pPr>
    </w:p>
    <w:p w14:paraId="2E1963AC" w14:textId="77777777" w:rsidR="00886D04" w:rsidRDefault="00886D04" w:rsidP="00886D04">
      <w:pPr>
        <w:pStyle w:val="Text2Numbered"/>
      </w:pPr>
      <w:r>
        <w:lastRenderedPageBreak/>
        <w:t>Specific questions</w:t>
      </w:r>
    </w:p>
    <w:p w14:paraId="1F1187D1" w14:textId="77777777" w:rsidR="00886D04" w:rsidRDefault="00886D04" w:rsidP="00886D04">
      <w:pPr>
        <w:pStyle w:val="Textlistindented-bullet"/>
      </w:pPr>
      <w:r>
        <w:t>Make sure that any question you want addressed is added to the referral form. To do this you should outline any other issues that you would like addressed, specific to this individual and the current referral.</w:t>
      </w:r>
    </w:p>
    <w:p w14:paraId="7E941797" w14:textId="77777777" w:rsidR="00886D04" w:rsidRDefault="00886D04" w:rsidP="00886D04">
      <w:pPr>
        <w:pStyle w:val="Textlistindented-bullet"/>
      </w:pPr>
      <w:r>
        <w:t>Please make sure that you are asking the correct question: Is the individual fit to attend a meeting or is the individual fit to return to work are two very different questions.</w:t>
      </w:r>
    </w:p>
    <w:p w14:paraId="125A04AD" w14:textId="77777777" w:rsidR="00886D04" w:rsidRDefault="00886D04" w:rsidP="00886D04">
      <w:pPr>
        <w:pStyle w:val="Textlistindented-bullet"/>
      </w:pPr>
      <w:r>
        <w:t>Please make sure a maximum of 14 individual questions or you may be advised a double appointment is necessary.</w:t>
      </w:r>
    </w:p>
    <w:p w14:paraId="22722E67" w14:textId="00501051" w:rsidR="00886D04" w:rsidRDefault="000279F1" w:rsidP="00886D04">
      <w:pPr>
        <w:pStyle w:val="Textlistindented-bullet"/>
      </w:pPr>
      <w:r>
        <w:t>Occupational Health</w:t>
      </w:r>
      <w:r w:rsidR="00886D04">
        <w:t xml:space="preserve"> will provide advice on:</w:t>
      </w:r>
    </w:p>
    <w:p w14:paraId="116AD8D2" w14:textId="77777777" w:rsidR="00886D04" w:rsidRDefault="00886D04" w:rsidP="00886D04">
      <w:pPr>
        <w:pStyle w:val="Textlistindented-bullet"/>
        <w:numPr>
          <w:ilvl w:val="0"/>
          <w:numId w:val="35"/>
        </w:numPr>
      </w:pPr>
      <w:r>
        <w:t>Any adjustments/modifications to the work role or work environment that you should consider if the Equality Act 2010 is likely to apply; and</w:t>
      </w:r>
    </w:p>
    <w:p w14:paraId="4B0CBAFE" w14:textId="3E1771C8" w:rsidR="00886D04" w:rsidRDefault="00886D04" w:rsidP="00886D04">
      <w:pPr>
        <w:pStyle w:val="Textlistindented-bullet"/>
        <w:numPr>
          <w:ilvl w:val="0"/>
          <w:numId w:val="35"/>
        </w:numPr>
      </w:pPr>
      <w:r>
        <w:t>A timescale for return to work (where possible) with a rehabilitation plan if appropriate</w:t>
      </w:r>
    </w:p>
    <w:p w14:paraId="426E7FC9" w14:textId="2474D8AE" w:rsidR="00886D04" w:rsidRDefault="00886D04" w:rsidP="00886D04">
      <w:pPr>
        <w:pStyle w:val="Textlistindented-bullet"/>
        <w:numPr>
          <w:ilvl w:val="0"/>
          <w:numId w:val="35"/>
        </w:numPr>
      </w:pPr>
      <w:r>
        <w:t xml:space="preserve">They will also comment on future expectations regarding the </w:t>
      </w:r>
      <w:r w:rsidR="004B34E9">
        <w:t>health</w:t>
      </w:r>
      <w:r>
        <w:t xml:space="preserve"> condition</w:t>
      </w:r>
    </w:p>
    <w:p w14:paraId="24290FDF" w14:textId="77777777" w:rsidR="00886D04" w:rsidRDefault="00886D04" w:rsidP="00886D04">
      <w:pPr>
        <w:pStyle w:val="Textlistindented-bullet"/>
      </w:pPr>
      <w:r w:rsidRPr="00391E2D">
        <w:t>Remember</w:t>
      </w:r>
      <w:r>
        <w:t>, the more information you provide, the better the quality of the reports that will be produced to enable you to manage your sickness absence.</w:t>
      </w:r>
    </w:p>
    <w:p w14:paraId="5652AD49" w14:textId="77777777" w:rsidR="00886D04" w:rsidRDefault="00886D04" w:rsidP="00886D04">
      <w:pPr>
        <w:pStyle w:val="Heading1Numbered"/>
      </w:pPr>
      <w:bookmarkStart w:id="40" w:name="_Toc179988698"/>
      <w:r w:rsidRPr="00DC7F16">
        <w:t>Version Control</w:t>
      </w:r>
      <w:bookmarkEnd w:id="40"/>
    </w:p>
    <w:tbl>
      <w:tblPr>
        <w:tblStyle w:val="MHATable"/>
        <w:tblW w:w="9776" w:type="dxa"/>
        <w:tblLook w:val="04A0" w:firstRow="1" w:lastRow="0" w:firstColumn="1" w:lastColumn="0" w:noHBand="0" w:noVBand="1"/>
      </w:tblPr>
      <w:tblGrid>
        <w:gridCol w:w="1146"/>
        <w:gridCol w:w="1826"/>
        <w:gridCol w:w="3402"/>
        <w:gridCol w:w="1559"/>
        <w:gridCol w:w="1843"/>
      </w:tblGrid>
      <w:tr w:rsidR="00886D04" w:rsidRPr="005E08A1" w14:paraId="411C46C2" w14:textId="77777777" w:rsidTr="0084162B">
        <w:trPr>
          <w:cnfStyle w:val="100000000000" w:firstRow="1" w:lastRow="0" w:firstColumn="0" w:lastColumn="0" w:oddVBand="0" w:evenVBand="0" w:oddHBand="0" w:evenHBand="0" w:firstRowFirstColumn="0" w:firstRowLastColumn="0" w:lastRowFirstColumn="0" w:lastRowLastColumn="0"/>
          <w:trHeight w:val="830"/>
          <w:tblHeader/>
        </w:trPr>
        <w:tc>
          <w:tcPr>
            <w:tcW w:w="1146" w:type="dxa"/>
          </w:tcPr>
          <w:p w14:paraId="3CCEAA1A" w14:textId="77777777" w:rsidR="00886D04" w:rsidRPr="005E08A1" w:rsidRDefault="00886D04" w:rsidP="0084162B">
            <w:pPr>
              <w:spacing w:line="276" w:lineRule="auto"/>
            </w:pPr>
            <w:r w:rsidRPr="005E08A1">
              <w:t>Version</w:t>
            </w:r>
          </w:p>
        </w:tc>
        <w:tc>
          <w:tcPr>
            <w:tcW w:w="1826" w:type="dxa"/>
          </w:tcPr>
          <w:p w14:paraId="5F608674" w14:textId="77777777" w:rsidR="00886D04" w:rsidRPr="005E08A1" w:rsidRDefault="00886D04" w:rsidP="0084162B">
            <w:pPr>
              <w:spacing w:line="276" w:lineRule="auto"/>
            </w:pPr>
            <w:r w:rsidRPr="005E08A1">
              <w:t>Version Date</w:t>
            </w:r>
          </w:p>
        </w:tc>
        <w:tc>
          <w:tcPr>
            <w:tcW w:w="3402" w:type="dxa"/>
          </w:tcPr>
          <w:p w14:paraId="1512F645" w14:textId="77777777" w:rsidR="00886D04" w:rsidRPr="005E08A1" w:rsidRDefault="00886D04" w:rsidP="0084162B">
            <w:pPr>
              <w:spacing w:line="276" w:lineRule="auto"/>
            </w:pPr>
            <w:r w:rsidRPr="005E08A1">
              <w:t xml:space="preserve">Revision Description / Summary of Changes </w:t>
            </w:r>
          </w:p>
        </w:tc>
        <w:tc>
          <w:tcPr>
            <w:tcW w:w="1559" w:type="dxa"/>
          </w:tcPr>
          <w:p w14:paraId="137E7EA6" w14:textId="77777777" w:rsidR="00886D04" w:rsidRPr="005E08A1" w:rsidRDefault="00886D04" w:rsidP="0084162B">
            <w:pPr>
              <w:spacing w:line="276" w:lineRule="auto"/>
            </w:pPr>
            <w:r w:rsidRPr="005E08A1">
              <w:t>Author</w:t>
            </w:r>
            <w:r>
              <w:t xml:space="preserve"> and Review Panel</w:t>
            </w:r>
          </w:p>
        </w:tc>
        <w:tc>
          <w:tcPr>
            <w:tcW w:w="1843" w:type="dxa"/>
          </w:tcPr>
          <w:p w14:paraId="76CD6804" w14:textId="77777777" w:rsidR="00886D04" w:rsidRPr="005E08A1" w:rsidRDefault="00886D04" w:rsidP="0084162B">
            <w:pPr>
              <w:spacing w:line="276" w:lineRule="auto"/>
            </w:pPr>
            <w:r w:rsidRPr="005E08A1">
              <w:t>Next Review Date</w:t>
            </w:r>
          </w:p>
        </w:tc>
      </w:tr>
      <w:tr w:rsidR="00886D04" w:rsidRPr="004C3545" w14:paraId="79AD3787" w14:textId="77777777" w:rsidTr="0084162B">
        <w:trPr>
          <w:trHeight w:val="407"/>
        </w:trPr>
        <w:tc>
          <w:tcPr>
            <w:tcW w:w="1146" w:type="dxa"/>
          </w:tcPr>
          <w:p w14:paraId="74D34A21" w14:textId="77777777" w:rsidR="00886D04" w:rsidRDefault="00886D04" w:rsidP="0084162B">
            <w:pPr>
              <w:spacing w:line="276" w:lineRule="auto"/>
            </w:pPr>
            <w:r>
              <w:t>6</w:t>
            </w:r>
          </w:p>
        </w:tc>
        <w:tc>
          <w:tcPr>
            <w:tcW w:w="1826" w:type="dxa"/>
          </w:tcPr>
          <w:p w14:paraId="68CFC308" w14:textId="77777777" w:rsidR="00886D04" w:rsidRPr="004C3545" w:rsidRDefault="00886D04" w:rsidP="0084162B">
            <w:pPr>
              <w:spacing w:line="276" w:lineRule="auto"/>
            </w:pPr>
            <w:r>
              <w:t>May 2023</w:t>
            </w:r>
          </w:p>
        </w:tc>
        <w:tc>
          <w:tcPr>
            <w:tcW w:w="3402" w:type="dxa"/>
          </w:tcPr>
          <w:p w14:paraId="0579EB3E" w14:textId="72DDFB69" w:rsidR="00886D04" w:rsidRPr="004C3545" w:rsidRDefault="00886D04" w:rsidP="0084162B">
            <w:pPr>
              <w:spacing w:line="276" w:lineRule="auto"/>
            </w:pPr>
            <w:r w:rsidRPr="004E4477">
              <w:t>HR7.1a Referrals to Occupational Health - Consent Form</w:t>
            </w:r>
            <w:r>
              <w:t xml:space="preserve"> linked</w:t>
            </w:r>
          </w:p>
        </w:tc>
        <w:tc>
          <w:tcPr>
            <w:tcW w:w="1559" w:type="dxa"/>
          </w:tcPr>
          <w:p w14:paraId="31425B21" w14:textId="77777777" w:rsidR="00886D04" w:rsidRDefault="00886D04" w:rsidP="0084162B">
            <w:pPr>
              <w:pStyle w:val="Textlist-bullet"/>
              <w:numPr>
                <w:ilvl w:val="0"/>
                <w:numId w:val="0"/>
              </w:numPr>
              <w:spacing w:line="276" w:lineRule="auto"/>
            </w:pPr>
            <w:r>
              <w:t>Head of People</w:t>
            </w:r>
          </w:p>
          <w:p w14:paraId="59AEBDE7" w14:textId="77777777" w:rsidR="00886D04" w:rsidRPr="00F040DA" w:rsidRDefault="00886D04" w:rsidP="0084162B">
            <w:pPr>
              <w:spacing w:line="276" w:lineRule="auto"/>
              <w:rPr>
                <w:u w:val="single"/>
              </w:rPr>
            </w:pPr>
            <w:r>
              <w:t>Standards and Policy Manager</w:t>
            </w:r>
          </w:p>
        </w:tc>
        <w:tc>
          <w:tcPr>
            <w:tcW w:w="1843" w:type="dxa"/>
          </w:tcPr>
          <w:p w14:paraId="1FB83A9C" w14:textId="77777777" w:rsidR="00886D04" w:rsidRPr="004C3545" w:rsidRDefault="00886D04" w:rsidP="0084162B">
            <w:pPr>
              <w:spacing w:line="276" w:lineRule="auto"/>
            </w:pPr>
            <w:r>
              <w:t>May 2025</w:t>
            </w:r>
          </w:p>
        </w:tc>
      </w:tr>
      <w:tr w:rsidR="00886D04" w:rsidRPr="004C3545" w14:paraId="03EB4480" w14:textId="77777777" w:rsidTr="0084162B">
        <w:trPr>
          <w:trHeight w:val="422"/>
        </w:trPr>
        <w:tc>
          <w:tcPr>
            <w:tcW w:w="1146" w:type="dxa"/>
          </w:tcPr>
          <w:p w14:paraId="0538337A" w14:textId="77777777" w:rsidR="00886D04" w:rsidRPr="004C3545" w:rsidRDefault="00886D04" w:rsidP="0084162B">
            <w:pPr>
              <w:spacing w:line="276" w:lineRule="auto"/>
            </w:pPr>
            <w:r>
              <w:t>7</w:t>
            </w:r>
          </w:p>
        </w:tc>
        <w:tc>
          <w:tcPr>
            <w:tcW w:w="1826" w:type="dxa"/>
          </w:tcPr>
          <w:p w14:paraId="581B857E" w14:textId="77777777" w:rsidR="00886D04" w:rsidRPr="004C3545" w:rsidRDefault="00886D04" w:rsidP="0084162B">
            <w:pPr>
              <w:spacing w:line="276" w:lineRule="auto"/>
            </w:pPr>
            <w:r>
              <w:t>December 2023</w:t>
            </w:r>
          </w:p>
        </w:tc>
        <w:tc>
          <w:tcPr>
            <w:tcW w:w="3402" w:type="dxa"/>
          </w:tcPr>
          <w:p w14:paraId="6719BF1C" w14:textId="79C8FA0D" w:rsidR="00886D04" w:rsidRPr="004C3545" w:rsidRDefault="00886D04" w:rsidP="0084162B">
            <w:pPr>
              <w:spacing w:line="276" w:lineRule="auto"/>
            </w:pPr>
            <w:r>
              <w:t xml:space="preserve">Addition of Return-to-Work Form, and Absence Statement Form guidance and references </w:t>
            </w:r>
          </w:p>
        </w:tc>
        <w:tc>
          <w:tcPr>
            <w:tcW w:w="1559" w:type="dxa"/>
          </w:tcPr>
          <w:p w14:paraId="61C570E2" w14:textId="77777777" w:rsidR="00886D04" w:rsidRPr="004C3545" w:rsidRDefault="00886D04" w:rsidP="0084162B">
            <w:pPr>
              <w:spacing w:line="276" w:lineRule="auto"/>
            </w:pPr>
            <w:r>
              <w:t>Standards and Policy Manager</w:t>
            </w:r>
          </w:p>
        </w:tc>
        <w:tc>
          <w:tcPr>
            <w:tcW w:w="1843" w:type="dxa"/>
          </w:tcPr>
          <w:p w14:paraId="6E887487" w14:textId="77777777" w:rsidR="00886D04" w:rsidRPr="004C3545" w:rsidRDefault="00886D04" w:rsidP="0084162B">
            <w:pPr>
              <w:spacing w:line="276" w:lineRule="auto"/>
            </w:pPr>
            <w:r>
              <w:t>May 2025</w:t>
            </w:r>
          </w:p>
        </w:tc>
      </w:tr>
      <w:tr w:rsidR="00886D04" w:rsidRPr="004C3545" w14:paraId="1B80662D" w14:textId="77777777" w:rsidTr="0084162B">
        <w:trPr>
          <w:trHeight w:val="407"/>
        </w:trPr>
        <w:tc>
          <w:tcPr>
            <w:tcW w:w="1146" w:type="dxa"/>
          </w:tcPr>
          <w:p w14:paraId="73AF93E0" w14:textId="77777777" w:rsidR="00886D04" w:rsidRPr="004C3545" w:rsidRDefault="00886D04" w:rsidP="0084162B">
            <w:pPr>
              <w:spacing w:line="276" w:lineRule="auto"/>
            </w:pPr>
            <w:r>
              <w:lastRenderedPageBreak/>
              <w:t>8</w:t>
            </w:r>
          </w:p>
        </w:tc>
        <w:tc>
          <w:tcPr>
            <w:tcW w:w="1826" w:type="dxa"/>
          </w:tcPr>
          <w:p w14:paraId="31C8ED1D" w14:textId="77777777" w:rsidR="00886D04" w:rsidRPr="004C3545" w:rsidRDefault="00886D04" w:rsidP="0084162B">
            <w:pPr>
              <w:spacing w:line="276" w:lineRule="auto"/>
            </w:pPr>
            <w:r>
              <w:t>April 2024</w:t>
            </w:r>
          </w:p>
        </w:tc>
        <w:tc>
          <w:tcPr>
            <w:tcW w:w="3402" w:type="dxa"/>
          </w:tcPr>
          <w:p w14:paraId="043D4B61" w14:textId="77777777" w:rsidR="00886D04" w:rsidRDefault="00886D04" w:rsidP="0084162B">
            <w:pPr>
              <w:spacing w:line="276" w:lineRule="auto"/>
            </w:pPr>
            <w:r>
              <w:t>Removal of request for colleague to sign consent form before referral</w:t>
            </w:r>
          </w:p>
          <w:p w14:paraId="3E81738C" w14:textId="77777777" w:rsidR="00886D04" w:rsidRPr="004C3545" w:rsidRDefault="00886D04" w:rsidP="0084162B">
            <w:pPr>
              <w:spacing w:line="276" w:lineRule="auto"/>
            </w:pPr>
          </w:p>
        </w:tc>
        <w:tc>
          <w:tcPr>
            <w:tcW w:w="1559" w:type="dxa"/>
          </w:tcPr>
          <w:p w14:paraId="073A9B41" w14:textId="77777777" w:rsidR="00886D04" w:rsidRDefault="00886D04" w:rsidP="0084162B">
            <w:pPr>
              <w:pStyle w:val="Textlist-bullet"/>
              <w:numPr>
                <w:ilvl w:val="0"/>
                <w:numId w:val="0"/>
              </w:numPr>
              <w:spacing w:line="276" w:lineRule="auto"/>
            </w:pPr>
            <w:r>
              <w:t>Head of People</w:t>
            </w:r>
          </w:p>
          <w:p w14:paraId="6E62B479" w14:textId="77777777" w:rsidR="00886D04" w:rsidRDefault="00886D04" w:rsidP="0084162B">
            <w:pPr>
              <w:spacing w:line="276" w:lineRule="auto"/>
            </w:pPr>
            <w:r>
              <w:t>HR Advisor</w:t>
            </w:r>
          </w:p>
          <w:p w14:paraId="5BB27812" w14:textId="77777777" w:rsidR="00886D04" w:rsidRDefault="00886D04" w:rsidP="0084162B">
            <w:pPr>
              <w:spacing w:line="276" w:lineRule="auto"/>
            </w:pPr>
          </w:p>
          <w:p w14:paraId="68B53CF4" w14:textId="77777777" w:rsidR="00886D04" w:rsidRPr="004C3545" w:rsidRDefault="00886D04" w:rsidP="0084162B">
            <w:pPr>
              <w:spacing w:line="276" w:lineRule="auto"/>
            </w:pPr>
            <w:r>
              <w:t>Standards and Policy Manager</w:t>
            </w:r>
          </w:p>
        </w:tc>
        <w:tc>
          <w:tcPr>
            <w:tcW w:w="1843" w:type="dxa"/>
          </w:tcPr>
          <w:p w14:paraId="0BF0447F" w14:textId="77777777" w:rsidR="00886D04" w:rsidRPr="004C3545" w:rsidRDefault="00886D04" w:rsidP="0084162B">
            <w:pPr>
              <w:spacing w:line="276" w:lineRule="auto"/>
            </w:pPr>
            <w:r>
              <w:t>May 2025</w:t>
            </w:r>
          </w:p>
        </w:tc>
      </w:tr>
      <w:tr w:rsidR="00886D04" w:rsidRPr="004C3545" w14:paraId="2DFCF5BD" w14:textId="77777777" w:rsidTr="0084162B">
        <w:trPr>
          <w:trHeight w:val="407"/>
        </w:trPr>
        <w:tc>
          <w:tcPr>
            <w:tcW w:w="1146" w:type="dxa"/>
          </w:tcPr>
          <w:p w14:paraId="27DC7C01" w14:textId="77777777" w:rsidR="00886D04" w:rsidRPr="004C3545" w:rsidRDefault="00886D04" w:rsidP="0084162B">
            <w:pPr>
              <w:spacing w:line="276" w:lineRule="auto"/>
            </w:pPr>
            <w:r>
              <w:t>9</w:t>
            </w:r>
          </w:p>
        </w:tc>
        <w:tc>
          <w:tcPr>
            <w:tcW w:w="1826" w:type="dxa"/>
          </w:tcPr>
          <w:p w14:paraId="508DF9EB" w14:textId="77777777" w:rsidR="00886D04" w:rsidRPr="004C3545" w:rsidRDefault="00886D04" w:rsidP="0084162B">
            <w:pPr>
              <w:spacing w:line="276" w:lineRule="auto"/>
            </w:pPr>
            <w:r>
              <w:t>June 2024</w:t>
            </w:r>
          </w:p>
        </w:tc>
        <w:tc>
          <w:tcPr>
            <w:tcW w:w="3402" w:type="dxa"/>
          </w:tcPr>
          <w:p w14:paraId="71B9981E" w14:textId="77777777" w:rsidR="00886D04" w:rsidRDefault="00886D04" w:rsidP="0084162B">
            <w:pPr>
              <w:spacing w:line="276" w:lineRule="auto"/>
            </w:pPr>
            <w:r>
              <w:t>Resources Updated.</w:t>
            </w:r>
          </w:p>
          <w:p w14:paraId="780D9861" w14:textId="77777777" w:rsidR="00886D04" w:rsidRPr="004C3545" w:rsidRDefault="00886D04" w:rsidP="0084162B">
            <w:pPr>
              <w:spacing w:line="276" w:lineRule="auto"/>
            </w:pPr>
            <w:r>
              <w:t>Appendix 2, occupational health referral guidance added</w:t>
            </w:r>
          </w:p>
        </w:tc>
        <w:tc>
          <w:tcPr>
            <w:tcW w:w="1559" w:type="dxa"/>
          </w:tcPr>
          <w:p w14:paraId="3C9BA737" w14:textId="77777777" w:rsidR="00886D04" w:rsidRPr="004C3545" w:rsidRDefault="00886D04" w:rsidP="0084162B">
            <w:pPr>
              <w:spacing w:line="276" w:lineRule="auto"/>
            </w:pPr>
            <w:r>
              <w:t>Standards and Policy Manager</w:t>
            </w:r>
          </w:p>
        </w:tc>
        <w:tc>
          <w:tcPr>
            <w:tcW w:w="1843" w:type="dxa"/>
          </w:tcPr>
          <w:p w14:paraId="3A6ACB10" w14:textId="77777777" w:rsidR="00886D04" w:rsidRPr="004C3545" w:rsidRDefault="00886D04" w:rsidP="0084162B">
            <w:pPr>
              <w:spacing w:line="276" w:lineRule="auto"/>
            </w:pPr>
            <w:r>
              <w:t>May 2025</w:t>
            </w:r>
          </w:p>
        </w:tc>
      </w:tr>
      <w:tr w:rsidR="00886D04" w:rsidRPr="004C3545" w14:paraId="73AD3853" w14:textId="77777777" w:rsidTr="0084162B">
        <w:trPr>
          <w:trHeight w:val="407"/>
        </w:trPr>
        <w:tc>
          <w:tcPr>
            <w:tcW w:w="1146" w:type="dxa"/>
          </w:tcPr>
          <w:p w14:paraId="5C6C0DBA" w14:textId="77777777" w:rsidR="00886D04" w:rsidRDefault="00886D04" w:rsidP="0084162B">
            <w:pPr>
              <w:spacing w:line="276" w:lineRule="auto"/>
            </w:pPr>
            <w:r>
              <w:t>10</w:t>
            </w:r>
          </w:p>
        </w:tc>
        <w:tc>
          <w:tcPr>
            <w:tcW w:w="1826" w:type="dxa"/>
          </w:tcPr>
          <w:p w14:paraId="38579002" w14:textId="77777777" w:rsidR="00886D04" w:rsidRDefault="00886D04" w:rsidP="0084162B">
            <w:pPr>
              <w:spacing w:line="276" w:lineRule="auto"/>
            </w:pPr>
            <w:r>
              <w:t>October 2024</w:t>
            </w:r>
          </w:p>
        </w:tc>
        <w:tc>
          <w:tcPr>
            <w:tcW w:w="3402" w:type="dxa"/>
          </w:tcPr>
          <w:p w14:paraId="123C64BC" w14:textId="77777777" w:rsidR="00886D04" w:rsidRDefault="00886D04" w:rsidP="0084162B">
            <w:pPr>
              <w:spacing w:line="276" w:lineRule="auto"/>
            </w:pPr>
            <w:r>
              <w:t>Changed Grievance Policy to Resolution Policy</w:t>
            </w:r>
          </w:p>
          <w:p w14:paraId="31F14921" w14:textId="77777777" w:rsidR="00886D04" w:rsidRDefault="00886D04" w:rsidP="0084162B">
            <w:pPr>
              <w:spacing w:line="276" w:lineRule="auto"/>
            </w:pPr>
            <w:r>
              <w:t>Removed Policy Codes</w:t>
            </w:r>
          </w:p>
          <w:p w14:paraId="108F3FBF" w14:textId="77777777" w:rsidR="00886D04" w:rsidRDefault="00886D04" w:rsidP="0084162B">
            <w:pPr>
              <w:spacing w:line="276" w:lineRule="auto"/>
            </w:pPr>
            <w:r>
              <w:t>Updated external resources</w:t>
            </w:r>
          </w:p>
          <w:p w14:paraId="7352A7FD" w14:textId="77777777" w:rsidR="00886D04" w:rsidRDefault="00886D04" w:rsidP="0084162B">
            <w:pPr>
              <w:spacing w:line="276" w:lineRule="auto"/>
            </w:pPr>
            <w:r>
              <w:t xml:space="preserve">Removal of Absence Statement in line with new reporting process in </w:t>
            </w:r>
            <w:proofErr w:type="spellStart"/>
            <w:r>
              <w:t>iTrent</w:t>
            </w:r>
            <w:proofErr w:type="spellEnd"/>
          </w:p>
          <w:p w14:paraId="605392D7" w14:textId="77777777" w:rsidR="004B34E9" w:rsidRDefault="004B34E9" w:rsidP="0084162B">
            <w:pPr>
              <w:spacing w:line="276" w:lineRule="auto"/>
            </w:pPr>
            <w:r>
              <w:t>Branding compliance</w:t>
            </w:r>
          </w:p>
          <w:p w14:paraId="628D442C" w14:textId="4C52F636" w:rsidR="000279F1" w:rsidRDefault="000279F1" w:rsidP="0084162B">
            <w:pPr>
              <w:spacing w:line="276" w:lineRule="auto"/>
            </w:pPr>
            <w:r>
              <w:t>Removed reference to Medigold</w:t>
            </w:r>
          </w:p>
        </w:tc>
        <w:tc>
          <w:tcPr>
            <w:tcW w:w="1559" w:type="dxa"/>
          </w:tcPr>
          <w:p w14:paraId="0E150386" w14:textId="5734D809" w:rsidR="004B34E9" w:rsidRDefault="00886D04" w:rsidP="0084162B">
            <w:pPr>
              <w:spacing w:line="276" w:lineRule="auto"/>
            </w:pPr>
            <w:r>
              <w:t>Standards and Policy Manager</w:t>
            </w:r>
          </w:p>
          <w:p w14:paraId="31CEFFAB" w14:textId="77777777" w:rsidR="004B34E9" w:rsidRDefault="004B34E9" w:rsidP="0084162B">
            <w:pPr>
              <w:spacing w:line="276" w:lineRule="auto"/>
            </w:pPr>
          </w:p>
          <w:p w14:paraId="3EE40183" w14:textId="77777777" w:rsidR="00886D04" w:rsidRDefault="00886D04" w:rsidP="0084162B">
            <w:pPr>
              <w:spacing w:line="276" w:lineRule="auto"/>
            </w:pPr>
            <w:r>
              <w:t>Head of People</w:t>
            </w:r>
          </w:p>
          <w:p w14:paraId="5B97AA4C" w14:textId="77777777" w:rsidR="004B34E9" w:rsidRDefault="004B34E9" w:rsidP="0084162B">
            <w:pPr>
              <w:spacing w:line="276" w:lineRule="auto"/>
            </w:pPr>
          </w:p>
          <w:p w14:paraId="3A69E29A" w14:textId="646D18EC" w:rsidR="00886D04" w:rsidRDefault="00886D04" w:rsidP="0084162B">
            <w:pPr>
              <w:spacing w:line="276" w:lineRule="auto"/>
            </w:pPr>
            <w:r>
              <w:t>Head of Payroll and Shared Services</w:t>
            </w:r>
          </w:p>
        </w:tc>
        <w:tc>
          <w:tcPr>
            <w:tcW w:w="1843" w:type="dxa"/>
          </w:tcPr>
          <w:p w14:paraId="0B2709BC" w14:textId="77777777" w:rsidR="00886D04" w:rsidRDefault="00886D04" w:rsidP="0084162B">
            <w:pPr>
              <w:spacing w:line="276" w:lineRule="auto"/>
            </w:pPr>
            <w:r>
              <w:t>May 2025</w:t>
            </w:r>
          </w:p>
        </w:tc>
      </w:tr>
      <w:tr w:rsidR="0089649F" w:rsidRPr="004C3545" w14:paraId="5CDBDE57" w14:textId="77777777" w:rsidTr="0084162B">
        <w:trPr>
          <w:trHeight w:val="407"/>
        </w:trPr>
        <w:tc>
          <w:tcPr>
            <w:tcW w:w="1146" w:type="dxa"/>
          </w:tcPr>
          <w:p w14:paraId="3C584EED" w14:textId="290968BA" w:rsidR="0089649F" w:rsidRDefault="0089649F" w:rsidP="0084162B">
            <w:pPr>
              <w:spacing w:line="276" w:lineRule="auto"/>
            </w:pPr>
            <w:r>
              <w:t>11</w:t>
            </w:r>
          </w:p>
        </w:tc>
        <w:tc>
          <w:tcPr>
            <w:tcW w:w="1826" w:type="dxa"/>
          </w:tcPr>
          <w:p w14:paraId="22D8B2E4" w14:textId="2353BB72" w:rsidR="0089649F" w:rsidRDefault="0089649F" w:rsidP="0084162B">
            <w:pPr>
              <w:spacing w:line="276" w:lineRule="auto"/>
            </w:pPr>
            <w:r>
              <w:t>January 2025</w:t>
            </w:r>
          </w:p>
        </w:tc>
        <w:tc>
          <w:tcPr>
            <w:tcW w:w="3402" w:type="dxa"/>
          </w:tcPr>
          <w:p w14:paraId="6E5391AB" w14:textId="14458590" w:rsidR="0089649F" w:rsidRDefault="001357FF" w:rsidP="0084162B">
            <w:pPr>
              <w:spacing w:line="276" w:lineRule="auto"/>
            </w:pPr>
            <w:r>
              <w:t xml:space="preserve">Section 4 edited to reflect </w:t>
            </w:r>
            <w:r>
              <w:t xml:space="preserve">Bradford </w:t>
            </w:r>
            <w:r>
              <w:t>F</w:t>
            </w:r>
            <w:r>
              <w:t>actor now calculated by MHA People.</w:t>
            </w:r>
          </w:p>
        </w:tc>
        <w:tc>
          <w:tcPr>
            <w:tcW w:w="1559" w:type="dxa"/>
          </w:tcPr>
          <w:p w14:paraId="5A1815F4" w14:textId="77777777" w:rsidR="0089649F" w:rsidRDefault="0089649F" w:rsidP="0084162B">
            <w:pPr>
              <w:spacing w:line="276" w:lineRule="auto"/>
            </w:pPr>
            <w:r>
              <w:t>Standards and Policy Manager</w:t>
            </w:r>
          </w:p>
          <w:p w14:paraId="04011F49" w14:textId="77777777" w:rsidR="001357FF" w:rsidRDefault="001357FF" w:rsidP="0084162B">
            <w:pPr>
              <w:spacing w:line="276" w:lineRule="auto"/>
            </w:pPr>
          </w:p>
          <w:p w14:paraId="170839D8" w14:textId="57923A04" w:rsidR="001357FF" w:rsidRDefault="001357FF" w:rsidP="0084162B">
            <w:pPr>
              <w:spacing w:line="276" w:lineRule="auto"/>
            </w:pPr>
            <w:r>
              <w:t>Head of People</w:t>
            </w:r>
          </w:p>
        </w:tc>
        <w:tc>
          <w:tcPr>
            <w:tcW w:w="1843" w:type="dxa"/>
          </w:tcPr>
          <w:p w14:paraId="319FDC86" w14:textId="07507658" w:rsidR="0089649F" w:rsidRDefault="0089649F" w:rsidP="0084162B">
            <w:pPr>
              <w:spacing w:line="276" w:lineRule="auto"/>
            </w:pPr>
            <w:r>
              <w:t>May 2025</w:t>
            </w:r>
          </w:p>
        </w:tc>
      </w:tr>
      <w:bookmarkEnd w:id="1"/>
      <w:bookmarkEnd w:id="2"/>
      <w:bookmarkEnd w:id="3"/>
      <w:bookmarkEnd w:id="4"/>
      <w:bookmarkEnd w:id="5"/>
    </w:tbl>
    <w:p w14:paraId="5C7C1A9A" w14:textId="0AEF57B4" w:rsidR="009A0ED4" w:rsidRDefault="009A0ED4" w:rsidP="003D2387">
      <w:pPr>
        <w:pStyle w:val="Heading1Numbered"/>
        <w:numPr>
          <w:ilvl w:val="0"/>
          <w:numId w:val="0"/>
        </w:numPr>
        <w:ind w:left="1134" w:hanging="1134"/>
        <w:outlineLvl w:val="9"/>
      </w:pPr>
    </w:p>
    <w:sectPr w:rsidR="009A0ED4" w:rsidSect="00FD6BD4">
      <w:headerReference w:type="default" r:id="rId16"/>
      <w:footerReference w:type="default" r:id="rId17"/>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ABADF" w14:textId="77777777" w:rsidR="000A0D41" w:rsidRDefault="000A0D41" w:rsidP="001876E7">
      <w:pPr>
        <w:spacing w:line="240" w:lineRule="auto"/>
      </w:pPr>
      <w:r>
        <w:separator/>
      </w:r>
    </w:p>
  </w:endnote>
  <w:endnote w:type="continuationSeparator" w:id="0">
    <w:p w14:paraId="32BB464E" w14:textId="77777777" w:rsidR="000A0D41" w:rsidRDefault="000A0D41"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72FA4E99" w:rsidR="003865D9" w:rsidRDefault="00534E4A" w:rsidP="00454821">
            <w:pPr>
              <w:pStyle w:val="FooterText"/>
              <w:tabs>
                <w:tab w:val="right" w:pos="9498"/>
              </w:tabs>
              <w:jc w:val="left"/>
            </w:pPr>
            <w:r>
              <w:t>Sickness Absence Management Policy</w:t>
            </w:r>
            <w:r w:rsidR="00F040DA">
              <w:t xml:space="preserve"> </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8BA17" w14:textId="77777777" w:rsidR="000A0D41" w:rsidRDefault="000A0D41" w:rsidP="001876E7">
      <w:pPr>
        <w:spacing w:line="240" w:lineRule="auto"/>
      </w:pPr>
      <w:r>
        <w:separator/>
      </w:r>
    </w:p>
  </w:footnote>
  <w:footnote w:type="continuationSeparator" w:id="0">
    <w:p w14:paraId="75FA639D" w14:textId="77777777" w:rsidR="000A0D41" w:rsidRDefault="000A0D41"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3F2496"/>
    <w:multiLevelType w:val="hybridMultilevel"/>
    <w:tmpl w:val="4034861E"/>
    <w:lvl w:ilvl="0" w:tplc="ADFC183E">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4"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4"/>
  </w:num>
  <w:num w:numId="7" w16cid:durableId="139810974">
    <w:abstractNumId w:val="4"/>
  </w:num>
  <w:num w:numId="8" w16cid:durableId="478111977">
    <w:abstractNumId w:val="11"/>
  </w:num>
  <w:num w:numId="9" w16cid:durableId="672680783">
    <w:abstractNumId w:val="10"/>
  </w:num>
  <w:num w:numId="10" w16cid:durableId="582229400">
    <w:abstractNumId w:val="16"/>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7"/>
  </w:num>
  <w:num w:numId="23" w16cid:durableId="673651929">
    <w:abstractNumId w:val="15"/>
  </w:num>
  <w:num w:numId="24" w16cid:durableId="1700010823">
    <w:abstractNumId w:val="0"/>
  </w:num>
  <w:num w:numId="25" w16cid:durableId="929629248">
    <w:abstractNumId w:val="15"/>
    <w:lvlOverride w:ilvl="0">
      <w:startOverride w:val="1"/>
    </w:lvlOverride>
  </w:num>
  <w:num w:numId="26" w16cid:durableId="593829245">
    <w:abstractNumId w:val="15"/>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432720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279F1"/>
    <w:rsid w:val="000553E0"/>
    <w:rsid w:val="000646E5"/>
    <w:rsid w:val="00070650"/>
    <w:rsid w:val="00072620"/>
    <w:rsid w:val="000771AD"/>
    <w:rsid w:val="00095815"/>
    <w:rsid w:val="000A0D41"/>
    <w:rsid w:val="000C7997"/>
    <w:rsid w:val="000D41D5"/>
    <w:rsid w:val="000F25D4"/>
    <w:rsid w:val="000F64C5"/>
    <w:rsid w:val="001248CF"/>
    <w:rsid w:val="001310BB"/>
    <w:rsid w:val="00131667"/>
    <w:rsid w:val="0013340B"/>
    <w:rsid w:val="001357FF"/>
    <w:rsid w:val="00147C3B"/>
    <w:rsid w:val="001876E7"/>
    <w:rsid w:val="00194A22"/>
    <w:rsid w:val="001A7829"/>
    <w:rsid w:val="001B5C40"/>
    <w:rsid w:val="001E4229"/>
    <w:rsid w:val="00247801"/>
    <w:rsid w:val="00247A1E"/>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A65DD"/>
    <w:rsid w:val="003B2431"/>
    <w:rsid w:val="003B77AA"/>
    <w:rsid w:val="003C04D5"/>
    <w:rsid w:val="003C59CC"/>
    <w:rsid w:val="003D2387"/>
    <w:rsid w:val="003F52EA"/>
    <w:rsid w:val="0042795E"/>
    <w:rsid w:val="0043268D"/>
    <w:rsid w:val="004428C9"/>
    <w:rsid w:val="004460BE"/>
    <w:rsid w:val="00451A46"/>
    <w:rsid w:val="00454821"/>
    <w:rsid w:val="0045562B"/>
    <w:rsid w:val="00471203"/>
    <w:rsid w:val="004726A7"/>
    <w:rsid w:val="00480B30"/>
    <w:rsid w:val="004924CF"/>
    <w:rsid w:val="00496E11"/>
    <w:rsid w:val="004A48AB"/>
    <w:rsid w:val="004A5F05"/>
    <w:rsid w:val="004B34E9"/>
    <w:rsid w:val="004B36CD"/>
    <w:rsid w:val="004C3545"/>
    <w:rsid w:val="004D40E7"/>
    <w:rsid w:val="004E6142"/>
    <w:rsid w:val="004F44E9"/>
    <w:rsid w:val="00507AF2"/>
    <w:rsid w:val="00512916"/>
    <w:rsid w:val="0051530E"/>
    <w:rsid w:val="0052519E"/>
    <w:rsid w:val="00534E4A"/>
    <w:rsid w:val="005518A9"/>
    <w:rsid w:val="005711B3"/>
    <w:rsid w:val="00572560"/>
    <w:rsid w:val="0059266A"/>
    <w:rsid w:val="0059348B"/>
    <w:rsid w:val="00596E48"/>
    <w:rsid w:val="005A508B"/>
    <w:rsid w:val="005B348D"/>
    <w:rsid w:val="005D0374"/>
    <w:rsid w:val="005D62C0"/>
    <w:rsid w:val="005D69AD"/>
    <w:rsid w:val="005E08A1"/>
    <w:rsid w:val="005E3A1B"/>
    <w:rsid w:val="00610B2B"/>
    <w:rsid w:val="0063081A"/>
    <w:rsid w:val="00630A77"/>
    <w:rsid w:val="0063326C"/>
    <w:rsid w:val="006371CC"/>
    <w:rsid w:val="006423BB"/>
    <w:rsid w:val="0066591C"/>
    <w:rsid w:val="00667C4A"/>
    <w:rsid w:val="00676769"/>
    <w:rsid w:val="00686058"/>
    <w:rsid w:val="006B01D9"/>
    <w:rsid w:val="006B0609"/>
    <w:rsid w:val="006B4F33"/>
    <w:rsid w:val="006F5892"/>
    <w:rsid w:val="00711D55"/>
    <w:rsid w:val="00717A8D"/>
    <w:rsid w:val="00723627"/>
    <w:rsid w:val="007256EF"/>
    <w:rsid w:val="00730CA5"/>
    <w:rsid w:val="00744A83"/>
    <w:rsid w:val="007539BA"/>
    <w:rsid w:val="00764B4C"/>
    <w:rsid w:val="00776701"/>
    <w:rsid w:val="0078447F"/>
    <w:rsid w:val="0078642D"/>
    <w:rsid w:val="0079374B"/>
    <w:rsid w:val="00796772"/>
    <w:rsid w:val="007A5825"/>
    <w:rsid w:val="007B2919"/>
    <w:rsid w:val="007C08F0"/>
    <w:rsid w:val="007C2DAF"/>
    <w:rsid w:val="007E1123"/>
    <w:rsid w:val="007F6761"/>
    <w:rsid w:val="008038ED"/>
    <w:rsid w:val="0081228C"/>
    <w:rsid w:val="00831235"/>
    <w:rsid w:val="00832C4B"/>
    <w:rsid w:val="0084471B"/>
    <w:rsid w:val="00847753"/>
    <w:rsid w:val="00856D41"/>
    <w:rsid w:val="00861EB0"/>
    <w:rsid w:val="0087097E"/>
    <w:rsid w:val="00886D04"/>
    <w:rsid w:val="008874B0"/>
    <w:rsid w:val="00893D07"/>
    <w:rsid w:val="00894E99"/>
    <w:rsid w:val="0089649F"/>
    <w:rsid w:val="008A7363"/>
    <w:rsid w:val="008B0A37"/>
    <w:rsid w:val="008B1D97"/>
    <w:rsid w:val="008D1B9A"/>
    <w:rsid w:val="008D3C32"/>
    <w:rsid w:val="008D6213"/>
    <w:rsid w:val="008D791B"/>
    <w:rsid w:val="008E3334"/>
    <w:rsid w:val="008E3EFB"/>
    <w:rsid w:val="008F09EB"/>
    <w:rsid w:val="008F41A1"/>
    <w:rsid w:val="00903AA2"/>
    <w:rsid w:val="009050C4"/>
    <w:rsid w:val="00914FC1"/>
    <w:rsid w:val="00921168"/>
    <w:rsid w:val="00922DB3"/>
    <w:rsid w:val="00947D46"/>
    <w:rsid w:val="009655E2"/>
    <w:rsid w:val="00966903"/>
    <w:rsid w:val="00973E48"/>
    <w:rsid w:val="009A0ED4"/>
    <w:rsid w:val="009D0277"/>
    <w:rsid w:val="009E3487"/>
    <w:rsid w:val="00A03C58"/>
    <w:rsid w:val="00A17E0E"/>
    <w:rsid w:val="00A24DA1"/>
    <w:rsid w:val="00A34D37"/>
    <w:rsid w:val="00A36714"/>
    <w:rsid w:val="00A43329"/>
    <w:rsid w:val="00A52F66"/>
    <w:rsid w:val="00A61E40"/>
    <w:rsid w:val="00A67F9D"/>
    <w:rsid w:val="00A92CD7"/>
    <w:rsid w:val="00AA0D99"/>
    <w:rsid w:val="00AB4A71"/>
    <w:rsid w:val="00AD5FD5"/>
    <w:rsid w:val="00AE5E04"/>
    <w:rsid w:val="00AF1001"/>
    <w:rsid w:val="00B148E6"/>
    <w:rsid w:val="00B148FF"/>
    <w:rsid w:val="00B22399"/>
    <w:rsid w:val="00B2494E"/>
    <w:rsid w:val="00B275B1"/>
    <w:rsid w:val="00B46F84"/>
    <w:rsid w:val="00B56F75"/>
    <w:rsid w:val="00B601C9"/>
    <w:rsid w:val="00B8132B"/>
    <w:rsid w:val="00B84517"/>
    <w:rsid w:val="00BA22C2"/>
    <w:rsid w:val="00C108E0"/>
    <w:rsid w:val="00C114D1"/>
    <w:rsid w:val="00C143CB"/>
    <w:rsid w:val="00C20301"/>
    <w:rsid w:val="00C26C7B"/>
    <w:rsid w:val="00C41ACB"/>
    <w:rsid w:val="00C44824"/>
    <w:rsid w:val="00C5449F"/>
    <w:rsid w:val="00C66EB8"/>
    <w:rsid w:val="00C81C94"/>
    <w:rsid w:val="00C93C14"/>
    <w:rsid w:val="00CB43C5"/>
    <w:rsid w:val="00CB6415"/>
    <w:rsid w:val="00CD5DBF"/>
    <w:rsid w:val="00CF6C46"/>
    <w:rsid w:val="00CF7537"/>
    <w:rsid w:val="00D10E87"/>
    <w:rsid w:val="00D232C1"/>
    <w:rsid w:val="00D4040D"/>
    <w:rsid w:val="00D558F5"/>
    <w:rsid w:val="00D77D91"/>
    <w:rsid w:val="00DB2058"/>
    <w:rsid w:val="00DB24AA"/>
    <w:rsid w:val="00DC7F16"/>
    <w:rsid w:val="00DE7388"/>
    <w:rsid w:val="00DF67AA"/>
    <w:rsid w:val="00E02EA5"/>
    <w:rsid w:val="00E04B72"/>
    <w:rsid w:val="00E06E01"/>
    <w:rsid w:val="00E3506D"/>
    <w:rsid w:val="00E365D6"/>
    <w:rsid w:val="00E40653"/>
    <w:rsid w:val="00E561CE"/>
    <w:rsid w:val="00E755AD"/>
    <w:rsid w:val="00E75D23"/>
    <w:rsid w:val="00E75D27"/>
    <w:rsid w:val="00E86F23"/>
    <w:rsid w:val="00E87F15"/>
    <w:rsid w:val="00E9164D"/>
    <w:rsid w:val="00E94C2F"/>
    <w:rsid w:val="00EB4016"/>
    <w:rsid w:val="00EC05E0"/>
    <w:rsid w:val="00EC4F61"/>
    <w:rsid w:val="00ED047B"/>
    <w:rsid w:val="00ED7DB5"/>
    <w:rsid w:val="00EE7121"/>
    <w:rsid w:val="00EF3699"/>
    <w:rsid w:val="00EF3DC7"/>
    <w:rsid w:val="00EF60A6"/>
    <w:rsid w:val="00F040DA"/>
    <w:rsid w:val="00F22D39"/>
    <w:rsid w:val="00F30A5F"/>
    <w:rsid w:val="00F6153E"/>
    <w:rsid w:val="00F81E83"/>
    <w:rsid w:val="00F9138C"/>
    <w:rsid w:val="00F91DD0"/>
    <w:rsid w:val="00FA1162"/>
    <w:rsid w:val="00FA1BCB"/>
    <w:rsid w:val="00FB5C56"/>
    <w:rsid w:val="00FC3195"/>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Revision">
    <w:name w:val="Revision"/>
    <w:hidden/>
    <w:uiPriority w:val="99"/>
    <w:semiHidden/>
    <w:rsid w:val="00A03C58"/>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ranet.mha.org.uk/Interact/Pages/Content/Document.aspx?id=2491&amp;utm_source=interact&amp;utm_medium=quick_search&amp;utm_term=%e2%80%a2%09Grievance+policy+%5bHR8.6%5d+or+"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intranet.mha.org.uk/Interact/Pages/Content/Document.aspx?id=2488&amp;utm_source=interact&amp;utm_medium=quick_search&amp;utm_term=discip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Interact/Pages/Content/Document.aspx?id=2480&amp;utm_source=interact&amp;utm_medium=quick_search&amp;utm_term=holiday+arra" TargetMode="External"/><Relationship Id="rId5" Type="http://schemas.openxmlformats.org/officeDocument/2006/relationships/webSettings" Target="webSettings.xml"/><Relationship Id="rId15" Type="http://schemas.openxmlformats.org/officeDocument/2006/relationships/hyperlink" Target="https://www.legislation.gov.uk/ukpga/2010/15/contents" TargetMode="External"/><Relationship Id="rId10" Type="http://schemas.openxmlformats.org/officeDocument/2006/relationships/hyperlink" Target="https://intranet.mha.org.uk/Interact/Pages/Content/Document.aspx?id=2478&amp;utm_source=interact&amp;utm_medium=quick_search&amp;utm_term=specia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hyperlink" Target="https://intranet.mha.org.uk/Interact/Pages/Content/Document.aspx?id=2486&amp;utm_source=interact&amp;utm_medium=quick_search&amp;utm_term=code+of+con"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AC7F0723-E21D-45EB-A588-FB07F6CA10AD}"/>
</file>

<file path=customXml/itemProps3.xml><?xml version="1.0" encoding="utf-8"?>
<ds:datastoreItem xmlns:ds="http://schemas.openxmlformats.org/officeDocument/2006/customXml" ds:itemID="{6C21768A-B29E-4F2C-B6EF-B911BEED7339}"/>
</file>

<file path=customXml/itemProps4.xml><?xml version="1.0" encoding="utf-8"?>
<ds:datastoreItem xmlns:ds="http://schemas.openxmlformats.org/officeDocument/2006/customXml" ds:itemID="{E8C05C67-FA4D-4382-9030-14879FAF59FB}"/>
</file>

<file path=docProps/app.xml><?xml version="1.0" encoding="utf-8"?>
<Properties xmlns="http://schemas.openxmlformats.org/officeDocument/2006/extended-properties" xmlns:vt="http://schemas.openxmlformats.org/officeDocument/2006/docPropsVTypes">
  <Template>Normal</Template>
  <TotalTime>5</TotalTime>
  <Pages>17</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Rebecca Tennant</cp:lastModifiedBy>
  <cp:revision>5</cp:revision>
  <cp:lastPrinted>2023-02-15T14:18:00Z</cp:lastPrinted>
  <dcterms:created xsi:type="dcterms:W3CDTF">2025-01-14T14:24:00Z</dcterms:created>
  <dcterms:modified xsi:type="dcterms:W3CDTF">2025-01-14T14:28:00Z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