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8C8C" w14:textId="77777777" w:rsidR="00DF67AA" w:rsidRDefault="00DF67AA" w:rsidP="00903AA2">
      <w:pPr>
        <w:rPr>
          <w:spacing w:val="10"/>
        </w:rPr>
      </w:pPr>
    </w:p>
    <w:p w14:paraId="59F6A648" w14:textId="77777777" w:rsidR="00DF67AA" w:rsidRDefault="00DF67AA" w:rsidP="00903AA2">
      <w:pPr>
        <w:rPr>
          <w:spacing w:val="10"/>
        </w:rPr>
      </w:pPr>
    </w:p>
    <w:p w14:paraId="665606AC" w14:textId="77777777" w:rsidR="00FA1162" w:rsidRDefault="00FA1162" w:rsidP="00903AA2">
      <w:pPr>
        <w:rPr>
          <w:spacing w:val="10"/>
        </w:rPr>
      </w:pPr>
    </w:p>
    <w:p w14:paraId="0D4AF19E" w14:textId="77777777" w:rsidR="00DF67AA" w:rsidRDefault="00306ED7" w:rsidP="00FA1162">
      <w:pPr>
        <w:rPr>
          <w:spacing w:val="10"/>
        </w:rPr>
      </w:pPr>
      <w:r w:rsidRPr="0063326C">
        <w:rPr>
          <w:noProof/>
          <w:spacing w:val="10"/>
        </w:rPr>
        <mc:AlternateContent>
          <mc:Choice Requires="wps">
            <w:drawing>
              <wp:inline distT="0" distB="0" distL="0" distR="0" wp14:anchorId="2A4CAC8A" wp14:editId="5A83F2F6">
                <wp:extent cx="6058894" cy="1932167"/>
                <wp:effectExtent l="0" t="0" r="1841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1"/>
                        </a:solidFill>
                        <a:ln w="9525">
                          <a:solidFill>
                            <a:schemeClr val="accent1"/>
                          </a:solidFill>
                          <a:miter lim="800000"/>
                          <a:headEnd/>
                          <a:tailEnd/>
                        </a:ln>
                      </wps:spPr>
                      <wps:txbx>
                        <w:txbxContent>
                          <w:p w14:paraId="25843075" w14:textId="3409DBD3" w:rsidR="00306ED7" w:rsidRPr="00847753" w:rsidRDefault="00C7053A" w:rsidP="00306ED7">
                            <w:pPr>
                              <w:pStyle w:val="PolicyTitle"/>
                            </w:pPr>
                            <w:r>
                              <w:t>Special Leave Policy and Procedure</w:t>
                            </w:r>
                          </w:p>
                          <w:p w14:paraId="5B43BA71" w14:textId="0420D5AB" w:rsidR="00306ED7" w:rsidRPr="00847753" w:rsidRDefault="00306ED7" w:rsidP="00306ED7">
                            <w:pPr>
                              <w:pStyle w:val="PolicyCode"/>
                            </w:pPr>
                            <w:r>
                              <w:t>HR</w:t>
                            </w:r>
                            <w:r w:rsidR="00C7053A">
                              <w:t>7.2</w:t>
                            </w:r>
                            <w:r w:rsidRPr="00847753">
                              <w:t xml:space="preserve"> </w:t>
                            </w:r>
                            <w:r>
                              <w:t>Employment Policies</w:t>
                            </w:r>
                          </w:p>
                          <w:p w14:paraId="505454E5" w14:textId="2B27ED04" w:rsidR="00306ED7" w:rsidRPr="00847753" w:rsidRDefault="002A2D9E" w:rsidP="00306ED7">
                            <w:pPr>
                              <w:pStyle w:val="PolicyDate"/>
                            </w:pPr>
                            <w:r>
                              <w:t>March</w:t>
                            </w:r>
                            <w:r w:rsidR="004D237B">
                              <w:t xml:space="preserve"> 2024</w:t>
                            </w:r>
                          </w:p>
                        </w:txbxContent>
                      </wps:txbx>
                      <wps:bodyPr rot="0" vert="horz" wrap="square" lIns="91440" tIns="45720" rIns="91440" bIns="45720" anchor="t" anchorCtr="0">
                        <a:spAutoFit/>
                      </wps:bodyPr>
                    </wps:wsp>
                  </a:graphicData>
                </a:graphic>
              </wp:inline>
            </w:drawing>
          </mc:Choice>
          <mc:Fallback>
            <w:pict>
              <v:shapetype w14:anchorId="2A4CAC8A"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" fillcolor="#4f868e [3204]" strokecolor="#4f868e [3204]">
                <v:textbox style="mso-fit-shape-to-text:t">
                  <w:txbxContent>
                    <w:p w14:paraId="25843075" w14:textId="3409DBD3" w:rsidR="00306ED7" w:rsidRPr="00847753" w:rsidRDefault="00C7053A" w:rsidP="00306ED7">
                      <w:pPr>
                        <w:pStyle w:val="PolicyTitle"/>
                      </w:pPr>
                      <w:r>
                        <w:t>Special Leave Policy and Procedure</w:t>
                      </w:r>
                    </w:p>
                    <w:p w14:paraId="5B43BA71" w14:textId="0420D5AB" w:rsidR="00306ED7" w:rsidRPr="00847753" w:rsidRDefault="00306ED7" w:rsidP="00306ED7">
                      <w:pPr>
                        <w:pStyle w:val="PolicyCode"/>
                      </w:pPr>
                      <w:r>
                        <w:t>HR</w:t>
                      </w:r>
                      <w:r w:rsidR="00C7053A">
                        <w:t>7.2</w:t>
                      </w:r>
                      <w:r w:rsidRPr="00847753">
                        <w:t xml:space="preserve"> </w:t>
                      </w:r>
                      <w:r>
                        <w:t>Employment Policies</w:t>
                      </w:r>
                    </w:p>
                    <w:p w14:paraId="505454E5" w14:textId="2B27ED04" w:rsidR="00306ED7" w:rsidRPr="00847753" w:rsidRDefault="002A2D9E" w:rsidP="00306ED7">
                      <w:pPr>
                        <w:pStyle w:val="PolicyDate"/>
                      </w:pPr>
                      <w:r>
                        <w:t>March</w:t>
                      </w:r>
                      <w:r w:rsidR="004D237B">
                        <w:t xml:space="preserve"> 2024</w:t>
                      </w:r>
                    </w:p>
                  </w:txbxContent>
                </v:textbox>
                <w10:anchorlock/>
              </v:shape>
            </w:pict>
          </mc:Fallback>
        </mc:AlternateContent>
      </w:r>
      <w:r w:rsidR="00386B5D">
        <w:rPr>
          <w:noProof/>
          <w:spacing w:val="10"/>
        </w:rPr>
        <w:drawing>
          <wp:anchor distT="0" distB="0" distL="114300" distR="114300" simplePos="0" relativeHeight="251658240" behindDoc="0" locked="0" layoutInCell="1" allowOverlap="1" wp14:anchorId="130CB67D" wp14:editId="69C19B32">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bookmarkStart w:id="0" w:name="TOC" w:displacedByCustomXml="next"/>
    <w:bookmarkEnd w:id="0" w:displacedByCustomXml="next"/>
    <w:bookmarkStart w:id="1" w:name="_Toc117507298" w:displacedByCustomXml="next"/>
    <w:bookmarkStart w:id="2" w:name="_Toc117507165" w:displacedByCustomXml="next"/>
    <w:bookmarkStart w:id="3" w:name="_Toc117268426" w:displacedByCustomXml="next"/>
    <w:bookmarkStart w:id="4" w:name="_Toc117269235" w:displacedByCustomXml="next"/>
    <w:bookmarkStart w:id="5" w:name="_Toc117508253" w:displacedByCustomXml="next"/>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F23FAEA" w14:textId="77777777" w:rsidR="00DF67AA" w:rsidRDefault="00471203" w:rsidP="00070650">
          <w:pPr>
            <w:rPr>
              <w:rFonts w:cs="Arial"/>
              <w:b/>
              <w:bCs/>
              <w:sz w:val="28"/>
              <w:szCs w:val="28"/>
            </w:rPr>
          </w:pPr>
          <w:r w:rsidRPr="00070650">
            <w:rPr>
              <w:rFonts w:cs="Arial"/>
              <w:b/>
              <w:bCs/>
              <w:sz w:val="28"/>
              <w:szCs w:val="28"/>
            </w:rPr>
            <w:t>Contents</w:t>
          </w:r>
        </w:p>
        <w:p w14:paraId="45EDC195" w14:textId="6D510A07" w:rsidR="002A2D9E"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1313017" w:history="1">
            <w:r w:rsidR="002A2D9E" w:rsidRPr="000B4B4A">
              <w:rPr>
                <w:rStyle w:val="Hyperlink"/>
              </w:rPr>
              <w:t>1</w:t>
            </w:r>
            <w:r w:rsidR="002A2D9E">
              <w:rPr>
                <w:rFonts w:asciiTheme="minorHAnsi" w:eastAsiaTheme="minorEastAsia" w:hAnsiTheme="minorHAnsi"/>
                <w:kern w:val="2"/>
                <w:lang w:eastAsia="en-GB"/>
                <w14:ligatures w14:val="standardContextual"/>
              </w:rPr>
              <w:tab/>
            </w:r>
            <w:r w:rsidR="002A2D9E" w:rsidRPr="000B4B4A">
              <w:rPr>
                <w:rStyle w:val="Hyperlink"/>
              </w:rPr>
              <w:t>Introduction</w:t>
            </w:r>
            <w:r w:rsidR="002A2D9E">
              <w:rPr>
                <w:webHidden/>
              </w:rPr>
              <w:tab/>
            </w:r>
            <w:r w:rsidR="002A2D9E">
              <w:rPr>
                <w:webHidden/>
              </w:rPr>
              <w:fldChar w:fldCharType="begin"/>
            </w:r>
            <w:r w:rsidR="002A2D9E">
              <w:rPr>
                <w:webHidden/>
              </w:rPr>
              <w:instrText xml:space="preserve"> PAGEREF _Toc161313017 \h </w:instrText>
            </w:r>
            <w:r w:rsidR="002A2D9E">
              <w:rPr>
                <w:webHidden/>
              </w:rPr>
            </w:r>
            <w:r w:rsidR="002A2D9E">
              <w:rPr>
                <w:webHidden/>
              </w:rPr>
              <w:fldChar w:fldCharType="separate"/>
            </w:r>
            <w:r w:rsidR="00D346A4">
              <w:rPr>
                <w:webHidden/>
              </w:rPr>
              <w:t>2</w:t>
            </w:r>
            <w:r w:rsidR="002A2D9E">
              <w:rPr>
                <w:webHidden/>
              </w:rPr>
              <w:fldChar w:fldCharType="end"/>
            </w:r>
          </w:hyperlink>
        </w:p>
        <w:p w14:paraId="4D2849C5" w14:textId="72B05276" w:rsidR="002A2D9E" w:rsidRDefault="0027404F">
          <w:pPr>
            <w:pStyle w:val="TOC1"/>
            <w:rPr>
              <w:rFonts w:asciiTheme="minorHAnsi" w:eastAsiaTheme="minorEastAsia" w:hAnsiTheme="minorHAnsi"/>
              <w:kern w:val="2"/>
              <w:lang w:eastAsia="en-GB"/>
              <w14:ligatures w14:val="standardContextual"/>
            </w:rPr>
          </w:pPr>
          <w:hyperlink w:anchor="_Toc161313018" w:history="1">
            <w:r w:rsidR="002A2D9E" w:rsidRPr="000B4B4A">
              <w:rPr>
                <w:rStyle w:val="Hyperlink"/>
              </w:rPr>
              <w:t>2</w:t>
            </w:r>
            <w:r w:rsidR="002A2D9E">
              <w:rPr>
                <w:rFonts w:asciiTheme="minorHAnsi" w:eastAsiaTheme="minorEastAsia" w:hAnsiTheme="minorHAnsi"/>
                <w:kern w:val="2"/>
                <w:lang w:eastAsia="en-GB"/>
                <w14:ligatures w14:val="standardContextual"/>
              </w:rPr>
              <w:tab/>
            </w:r>
            <w:r w:rsidR="002A2D9E" w:rsidRPr="000B4B4A">
              <w:rPr>
                <w:rStyle w:val="Hyperlink"/>
              </w:rPr>
              <w:t>Scope and Purpose</w:t>
            </w:r>
            <w:r w:rsidR="002A2D9E">
              <w:rPr>
                <w:webHidden/>
              </w:rPr>
              <w:tab/>
            </w:r>
            <w:r w:rsidR="002A2D9E">
              <w:rPr>
                <w:webHidden/>
              </w:rPr>
              <w:fldChar w:fldCharType="begin"/>
            </w:r>
            <w:r w:rsidR="002A2D9E">
              <w:rPr>
                <w:webHidden/>
              </w:rPr>
              <w:instrText xml:space="preserve"> PAGEREF _Toc161313018 \h </w:instrText>
            </w:r>
            <w:r w:rsidR="002A2D9E">
              <w:rPr>
                <w:webHidden/>
              </w:rPr>
            </w:r>
            <w:r w:rsidR="002A2D9E">
              <w:rPr>
                <w:webHidden/>
              </w:rPr>
              <w:fldChar w:fldCharType="separate"/>
            </w:r>
            <w:r w:rsidR="00D346A4">
              <w:rPr>
                <w:webHidden/>
              </w:rPr>
              <w:t>2</w:t>
            </w:r>
            <w:r w:rsidR="002A2D9E">
              <w:rPr>
                <w:webHidden/>
              </w:rPr>
              <w:fldChar w:fldCharType="end"/>
            </w:r>
          </w:hyperlink>
        </w:p>
        <w:p w14:paraId="1DA2DFD6" w14:textId="40F98E06" w:rsidR="002A2D9E" w:rsidRDefault="0027404F">
          <w:pPr>
            <w:pStyle w:val="TOC1"/>
            <w:rPr>
              <w:rFonts w:asciiTheme="minorHAnsi" w:eastAsiaTheme="minorEastAsia" w:hAnsiTheme="minorHAnsi"/>
              <w:kern w:val="2"/>
              <w:lang w:eastAsia="en-GB"/>
              <w14:ligatures w14:val="standardContextual"/>
            </w:rPr>
          </w:pPr>
          <w:hyperlink w:anchor="_Toc161313019" w:history="1">
            <w:r w:rsidR="002A2D9E" w:rsidRPr="000B4B4A">
              <w:rPr>
                <w:rStyle w:val="Hyperlink"/>
              </w:rPr>
              <w:t>3</w:t>
            </w:r>
            <w:r w:rsidR="002A2D9E">
              <w:rPr>
                <w:rFonts w:asciiTheme="minorHAnsi" w:eastAsiaTheme="minorEastAsia" w:hAnsiTheme="minorHAnsi"/>
                <w:kern w:val="2"/>
                <w:lang w:eastAsia="en-GB"/>
                <w14:ligatures w14:val="standardContextual"/>
              </w:rPr>
              <w:tab/>
            </w:r>
            <w:r w:rsidR="002A2D9E" w:rsidRPr="000B4B4A">
              <w:rPr>
                <w:rStyle w:val="Hyperlink"/>
              </w:rPr>
              <w:t>Definitions</w:t>
            </w:r>
            <w:r w:rsidR="002A2D9E">
              <w:rPr>
                <w:webHidden/>
              </w:rPr>
              <w:tab/>
            </w:r>
            <w:r w:rsidR="002A2D9E">
              <w:rPr>
                <w:webHidden/>
              </w:rPr>
              <w:fldChar w:fldCharType="begin"/>
            </w:r>
            <w:r w:rsidR="002A2D9E">
              <w:rPr>
                <w:webHidden/>
              </w:rPr>
              <w:instrText xml:space="preserve"> PAGEREF _Toc161313019 \h </w:instrText>
            </w:r>
            <w:r w:rsidR="002A2D9E">
              <w:rPr>
                <w:webHidden/>
              </w:rPr>
            </w:r>
            <w:r w:rsidR="002A2D9E">
              <w:rPr>
                <w:webHidden/>
              </w:rPr>
              <w:fldChar w:fldCharType="separate"/>
            </w:r>
            <w:r w:rsidR="00D346A4">
              <w:rPr>
                <w:webHidden/>
              </w:rPr>
              <w:t>3</w:t>
            </w:r>
            <w:r w:rsidR="002A2D9E">
              <w:rPr>
                <w:webHidden/>
              </w:rPr>
              <w:fldChar w:fldCharType="end"/>
            </w:r>
          </w:hyperlink>
        </w:p>
        <w:p w14:paraId="0C71E358" w14:textId="2A8C2790" w:rsidR="002A2D9E" w:rsidRDefault="0027404F">
          <w:pPr>
            <w:pStyle w:val="TOC1"/>
            <w:rPr>
              <w:rFonts w:asciiTheme="minorHAnsi" w:eastAsiaTheme="minorEastAsia" w:hAnsiTheme="minorHAnsi"/>
              <w:kern w:val="2"/>
              <w:lang w:eastAsia="en-GB"/>
              <w14:ligatures w14:val="standardContextual"/>
            </w:rPr>
          </w:pPr>
          <w:hyperlink w:anchor="_Toc161313020" w:history="1">
            <w:r w:rsidR="002A2D9E" w:rsidRPr="000B4B4A">
              <w:rPr>
                <w:rStyle w:val="Hyperlink"/>
              </w:rPr>
              <w:t>4</w:t>
            </w:r>
            <w:r w:rsidR="002A2D9E">
              <w:rPr>
                <w:rFonts w:asciiTheme="minorHAnsi" w:eastAsiaTheme="minorEastAsia" w:hAnsiTheme="minorHAnsi"/>
                <w:kern w:val="2"/>
                <w:lang w:eastAsia="en-GB"/>
                <w14:ligatures w14:val="standardContextual"/>
              </w:rPr>
              <w:tab/>
            </w:r>
            <w:r w:rsidR="002A2D9E" w:rsidRPr="000B4B4A">
              <w:rPr>
                <w:rStyle w:val="Hyperlink"/>
              </w:rPr>
              <w:t>Bereavement Leave</w:t>
            </w:r>
            <w:r w:rsidR="002A2D9E">
              <w:rPr>
                <w:webHidden/>
              </w:rPr>
              <w:tab/>
            </w:r>
            <w:r w:rsidR="002A2D9E">
              <w:rPr>
                <w:webHidden/>
              </w:rPr>
              <w:fldChar w:fldCharType="begin"/>
            </w:r>
            <w:r w:rsidR="002A2D9E">
              <w:rPr>
                <w:webHidden/>
              </w:rPr>
              <w:instrText xml:space="preserve"> PAGEREF _Toc161313020 \h </w:instrText>
            </w:r>
            <w:r w:rsidR="002A2D9E">
              <w:rPr>
                <w:webHidden/>
              </w:rPr>
            </w:r>
            <w:r w:rsidR="002A2D9E">
              <w:rPr>
                <w:webHidden/>
              </w:rPr>
              <w:fldChar w:fldCharType="separate"/>
            </w:r>
            <w:r w:rsidR="00D346A4">
              <w:rPr>
                <w:webHidden/>
              </w:rPr>
              <w:t>4</w:t>
            </w:r>
            <w:r w:rsidR="002A2D9E">
              <w:rPr>
                <w:webHidden/>
              </w:rPr>
              <w:fldChar w:fldCharType="end"/>
            </w:r>
          </w:hyperlink>
        </w:p>
        <w:p w14:paraId="082B6F34" w14:textId="418500A9" w:rsidR="002A2D9E" w:rsidRDefault="0027404F">
          <w:pPr>
            <w:pStyle w:val="TOC1"/>
            <w:rPr>
              <w:rFonts w:asciiTheme="minorHAnsi" w:eastAsiaTheme="minorEastAsia" w:hAnsiTheme="minorHAnsi"/>
              <w:kern w:val="2"/>
              <w:lang w:eastAsia="en-GB"/>
              <w14:ligatures w14:val="standardContextual"/>
            </w:rPr>
          </w:pPr>
          <w:hyperlink w:anchor="_Toc161313021" w:history="1">
            <w:r w:rsidR="002A2D9E" w:rsidRPr="000B4B4A">
              <w:rPr>
                <w:rStyle w:val="Hyperlink"/>
              </w:rPr>
              <w:t>5</w:t>
            </w:r>
            <w:r w:rsidR="002A2D9E">
              <w:rPr>
                <w:rFonts w:asciiTheme="minorHAnsi" w:eastAsiaTheme="minorEastAsia" w:hAnsiTheme="minorHAnsi"/>
                <w:kern w:val="2"/>
                <w:lang w:eastAsia="en-GB"/>
                <w14:ligatures w14:val="standardContextual"/>
              </w:rPr>
              <w:tab/>
            </w:r>
            <w:r w:rsidR="002A2D9E" w:rsidRPr="000B4B4A">
              <w:rPr>
                <w:rStyle w:val="Hyperlink"/>
              </w:rPr>
              <w:t>Family and Domestic Crisis Leave</w:t>
            </w:r>
            <w:r w:rsidR="002A2D9E">
              <w:rPr>
                <w:webHidden/>
              </w:rPr>
              <w:tab/>
            </w:r>
            <w:r w:rsidR="002A2D9E">
              <w:rPr>
                <w:webHidden/>
              </w:rPr>
              <w:fldChar w:fldCharType="begin"/>
            </w:r>
            <w:r w:rsidR="002A2D9E">
              <w:rPr>
                <w:webHidden/>
              </w:rPr>
              <w:instrText xml:space="preserve"> PAGEREF _Toc161313021 \h </w:instrText>
            </w:r>
            <w:r w:rsidR="002A2D9E">
              <w:rPr>
                <w:webHidden/>
              </w:rPr>
            </w:r>
            <w:r w:rsidR="002A2D9E">
              <w:rPr>
                <w:webHidden/>
              </w:rPr>
              <w:fldChar w:fldCharType="separate"/>
            </w:r>
            <w:r w:rsidR="00D346A4">
              <w:rPr>
                <w:webHidden/>
              </w:rPr>
              <w:t>6</w:t>
            </w:r>
            <w:r w:rsidR="002A2D9E">
              <w:rPr>
                <w:webHidden/>
              </w:rPr>
              <w:fldChar w:fldCharType="end"/>
            </w:r>
          </w:hyperlink>
        </w:p>
        <w:p w14:paraId="0555D544" w14:textId="65EEEF35" w:rsidR="002A2D9E" w:rsidRDefault="0027404F">
          <w:pPr>
            <w:pStyle w:val="TOC1"/>
            <w:rPr>
              <w:rFonts w:asciiTheme="minorHAnsi" w:eastAsiaTheme="minorEastAsia" w:hAnsiTheme="minorHAnsi"/>
              <w:kern w:val="2"/>
              <w:lang w:eastAsia="en-GB"/>
              <w14:ligatures w14:val="standardContextual"/>
            </w:rPr>
          </w:pPr>
          <w:hyperlink w:anchor="_Toc161313022" w:history="1">
            <w:r w:rsidR="002A2D9E" w:rsidRPr="000B4B4A">
              <w:rPr>
                <w:rStyle w:val="Hyperlink"/>
              </w:rPr>
              <w:t>6</w:t>
            </w:r>
            <w:r w:rsidR="002A2D9E">
              <w:rPr>
                <w:rFonts w:asciiTheme="minorHAnsi" w:eastAsiaTheme="minorEastAsia" w:hAnsiTheme="minorHAnsi"/>
                <w:kern w:val="2"/>
                <w:lang w:eastAsia="en-GB"/>
                <w14:ligatures w14:val="standardContextual"/>
              </w:rPr>
              <w:tab/>
            </w:r>
            <w:r w:rsidR="002A2D9E" w:rsidRPr="000B4B4A">
              <w:rPr>
                <w:rStyle w:val="Hyperlink"/>
              </w:rPr>
              <w:t>Medical, Dental, and Hospital Appointments Leave</w:t>
            </w:r>
            <w:r w:rsidR="002A2D9E">
              <w:rPr>
                <w:webHidden/>
              </w:rPr>
              <w:tab/>
            </w:r>
            <w:r w:rsidR="002A2D9E">
              <w:rPr>
                <w:webHidden/>
              </w:rPr>
              <w:fldChar w:fldCharType="begin"/>
            </w:r>
            <w:r w:rsidR="002A2D9E">
              <w:rPr>
                <w:webHidden/>
              </w:rPr>
              <w:instrText xml:space="preserve"> PAGEREF _Toc161313022 \h </w:instrText>
            </w:r>
            <w:r w:rsidR="002A2D9E">
              <w:rPr>
                <w:webHidden/>
              </w:rPr>
            </w:r>
            <w:r w:rsidR="002A2D9E">
              <w:rPr>
                <w:webHidden/>
              </w:rPr>
              <w:fldChar w:fldCharType="separate"/>
            </w:r>
            <w:r w:rsidR="00D346A4">
              <w:rPr>
                <w:webHidden/>
              </w:rPr>
              <w:t>7</w:t>
            </w:r>
            <w:r w:rsidR="002A2D9E">
              <w:rPr>
                <w:webHidden/>
              </w:rPr>
              <w:fldChar w:fldCharType="end"/>
            </w:r>
          </w:hyperlink>
        </w:p>
        <w:p w14:paraId="48E34E18" w14:textId="40891F1F" w:rsidR="002A2D9E" w:rsidRDefault="0027404F">
          <w:pPr>
            <w:pStyle w:val="TOC1"/>
            <w:rPr>
              <w:rFonts w:asciiTheme="minorHAnsi" w:eastAsiaTheme="minorEastAsia" w:hAnsiTheme="minorHAnsi"/>
              <w:kern w:val="2"/>
              <w:lang w:eastAsia="en-GB"/>
              <w14:ligatures w14:val="standardContextual"/>
            </w:rPr>
          </w:pPr>
          <w:hyperlink w:anchor="_Toc161313023" w:history="1">
            <w:r w:rsidR="002A2D9E" w:rsidRPr="000B4B4A">
              <w:rPr>
                <w:rStyle w:val="Hyperlink"/>
              </w:rPr>
              <w:t>7</w:t>
            </w:r>
            <w:r w:rsidR="002A2D9E">
              <w:rPr>
                <w:rFonts w:asciiTheme="minorHAnsi" w:eastAsiaTheme="minorEastAsia" w:hAnsiTheme="minorHAnsi"/>
                <w:kern w:val="2"/>
                <w:lang w:eastAsia="en-GB"/>
                <w14:ligatures w14:val="standardContextual"/>
              </w:rPr>
              <w:tab/>
            </w:r>
            <w:r w:rsidR="002A2D9E" w:rsidRPr="000B4B4A">
              <w:rPr>
                <w:rStyle w:val="Hyperlink"/>
              </w:rPr>
              <w:t>Carers Leave</w:t>
            </w:r>
            <w:r w:rsidR="002A2D9E">
              <w:rPr>
                <w:webHidden/>
              </w:rPr>
              <w:tab/>
            </w:r>
            <w:r w:rsidR="002A2D9E">
              <w:rPr>
                <w:webHidden/>
              </w:rPr>
              <w:fldChar w:fldCharType="begin"/>
            </w:r>
            <w:r w:rsidR="002A2D9E">
              <w:rPr>
                <w:webHidden/>
              </w:rPr>
              <w:instrText xml:space="preserve"> PAGEREF _Toc161313023 \h </w:instrText>
            </w:r>
            <w:r w:rsidR="002A2D9E">
              <w:rPr>
                <w:webHidden/>
              </w:rPr>
            </w:r>
            <w:r w:rsidR="002A2D9E">
              <w:rPr>
                <w:webHidden/>
              </w:rPr>
              <w:fldChar w:fldCharType="separate"/>
            </w:r>
            <w:r w:rsidR="00D346A4">
              <w:rPr>
                <w:webHidden/>
              </w:rPr>
              <w:t>8</w:t>
            </w:r>
            <w:r w:rsidR="002A2D9E">
              <w:rPr>
                <w:webHidden/>
              </w:rPr>
              <w:fldChar w:fldCharType="end"/>
            </w:r>
          </w:hyperlink>
        </w:p>
        <w:p w14:paraId="5337D7FE" w14:textId="18823C28" w:rsidR="002A2D9E" w:rsidRDefault="0027404F">
          <w:pPr>
            <w:pStyle w:val="TOC1"/>
            <w:rPr>
              <w:rFonts w:asciiTheme="minorHAnsi" w:eastAsiaTheme="minorEastAsia" w:hAnsiTheme="minorHAnsi"/>
              <w:kern w:val="2"/>
              <w:lang w:eastAsia="en-GB"/>
              <w14:ligatures w14:val="standardContextual"/>
            </w:rPr>
          </w:pPr>
          <w:hyperlink w:anchor="_Toc161313024" w:history="1">
            <w:r w:rsidR="002A2D9E" w:rsidRPr="000B4B4A">
              <w:rPr>
                <w:rStyle w:val="Hyperlink"/>
              </w:rPr>
              <w:t>8</w:t>
            </w:r>
            <w:r w:rsidR="002A2D9E">
              <w:rPr>
                <w:rFonts w:asciiTheme="minorHAnsi" w:eastAsiaTheme="minorEastAsia" w:hAnsiTheme="minorHAnsi"/>
                <w:kern w:val="2"/>
                <w:lang w:eastAsia="en-GB"/>
                <w14:ligatures w14:val="standardContextual"/>
              </w:rPr>
              <w:tab/>
            </w:r>
            <w:r w:rsidR="002A2D9E" w:rsidRPr="000B4B4A">
              <w:rPr>
                <w:rStyle w:val="Hyperlink"/>
              </w:rPr>
              <w:t>Public Duties Leave</w:t>
            </w:r>
            <w:r w:rsidR="002A2D9E">
              <w:rPr>
                <w:webHidden/>
              </w:rPr>
              <w:tab/>
            </w:r>
            <w:r w:rsidR="002A2D9E">
              <w:rPr>
                <w:webHidden/>
              </w:rPr>
              <w:fldChar w:fldCharType="begin"/>
            </w:r>
            <w:r w:rsidR="002A2D9E">
              <w:rPr>
                <w:webHidden/>
              </w:rPr>
              <w:instrText xml:space="preserve"> PAGEREF _Toc161313024 \h </w:instrText>
            </w:r>
            <w:r w:rsidR="002A2D9E">
              <w:rPr>
                <w:webHidden/>
              </w:rPr>
            </w:r>
            <w:r w:rsidR="002A2D9E">
              <w:rPr>
                <w:webHidden/>
              </w:rPr>
              <w:fldChar w:fldCharType="separate"/>
            </w:r>
            <w:r w:rsidR="00D346A4">
              <w:rPr>
                <w:webHidden/>
              </w:rPr>
              <w:t>8</w:t>
            </w:r>
            <w:r w:rsidR="002A2D9E">
              <w:rPr>
                <w:webHidden/>
              </w:rPr>
              <w:fldChar w:fldCharType="end"/>
            </w:r>
          </w:hyperlink>
        </w:p>
        <w:p w14:paraId="20660CFB" w14:textId="3726A962" w:rsidR="002A2D9E" w:rsidRDefault="0027404F">
          <w:pPr>
            <w:pStyle w:val="TOC1"/>
            <w:rPr>
              <w:rFonts w:asciiTheme="minorHAnsi" w:eastAsiaTheme="minorEastAsia" w:hAnsiTheme="minorHAnsi"/>
              <w:kern w:val="2"/>
              <w:lang w:eastAsia="en-GB"/>
              <w14:ligatures w14:val="standardContextual"/>
            </w:rPr>
          </w:pPr>
          <w:hyperlink w:anchor="_Toc161313025" w:history="1">
            <w:r w:rsidR="002A2D9E" w:rsidRPr="000B4B4A">
              <w:rPr>
                <w:rStyle w:val="Hyperlink"/>
              </w:rPr>
              <w:t>9</w:t>
            </w:r>
            <w:r w:rsidR="002A2D9E">
              <w:rPr>
                <w:rFonts w:asciiTheme="minorHAnsi" w:eastAsiaTheme="minorEastAsia" w:hAnsiTheme="minorHAnsi"/>
                <w:kern w:val="2"/>
                <w:lang w:eastAsia="en-GB"/>
                <w14:ligatures w14:val="standardContextual"/>
              </w:rPr>
              <w:tab/>
            </w:r>
            <w:r w:rsidR="002A2D9E" w:rsidRPr="000B4B4A">
              <w:rPr>
                <w:rStyle w:val="Hyperlink"/>
              </w:rPr>
              <w:t>Requesting Special Leave – Procedure</w:t>
            </w:r>
            <w:r w:rsidR="002A2D9E">
              <w:rPr>
                <w:webHidden/>
              </w:rPr>
              <w:tab/>
            </w:r>
            <w:r w:rsidR="002A2D9E">
              <w:rPr>
                <w:webHidden/>
              </w:rPr>
              <w:fldChar w:fldCharType="begin"/>
            </w:r>
            <w:r w:rsidR="002A2D9E">
              <w:rPr>
                <w:webHidden/>
              </w:rPr>
              <w:instrText xml:space="preserve"> PAGEREF _Toc161313025 \h </w:instrText>
            </w:r>
            <w:r w:rsidR="002A2D9E">
              <w:rPr>
                <w:webHidden/>
              </w:rPr>
            </w:r>
            <w:r w:rsidR="002A2D9E">
              <w:rPr>
                <w:webHidden/>
              </w:rPr>
              <w:fldChar w:fldCharType="separate"/>
            </w:r>
            <w:r w:rsidR="00D346A4">
              <w:rPr>
                <w:webHidden/>
              </w:rPr>
              <w:t>12</w:t>
            </w:r>
            <w:r w:rsidR="002A2D9E">
              <w:rPr>
                <w:webHidden/>
              </w:rPr>
              <w:fldChar w:fldCharType="end"/>
            </w:r>
          </w:hyperlink>
        </w:p>
        <w:p w14:paraId="060CCDA2" w14:textId="4AEF8693" w:rsidR="002A2D9E" w:rsidRDefault="0027404F">
          <w:pPr>
            <w:pStyle w:val="TOC1"/>
            <w:rPr>
              <w:rFonts w:asciiTheme="minorHAnsi" w:eastAsiaTheme="minorEastAsia" w:hAnsiTheme="minorHAnsi"/>
              <w:kern w:val="2"/>
              <w:lang w:eastAsia="en-GB"/>
              <w14:ligatures w14:val="standardContextual"/>
            </w:rPr>
          </w:pPr>
          <w:hyperlink w:anchor="_Toc161313026" w:history="1">
            <w:r w:rsidR="002A2D9E" w:rsidRPr="000B4B4A">
              <w:rPr>
                <w:rStyle w:val="Hyperlink"/>
              </w:rPr>
              <w:t>10</w:t>
            </w:r>
            <w:r w:rsidR="002A2D9E">
              <w:rPr>
                <w:rFonts w:asciiTheme="minorHAnsi" w:eastAsiaTheme="minorEastAsia" w:hAnsiTheme="minorHAnsi"/>
                <w:kern w:val="2"/>
                <w:lang w:eastAsia="en-GB"/>
                <w14:ligatures w14:val="standardContextual"/>
              </w:rPr>
              <w:tab/>
            </w:r>
            <w:r w:rsidR="002A2D9E" w:rsidRPr="000B4B4A">
              <w:rPr>
                <w:rStyle w:val="Hyperlink"/>
              </w:rPr>
              <w:t>Colleague Support</w:t>
            </w:r>
            <w:r w:rsidR="002A2D9E">
              <w:rPr>
                <w:webHidden/>
              </w:rPr>
              <w:tab/>
            </w:r>
            <w:r w:rsidR="002A2D9E">
              <w:rPr>
                <w:webHidden/>
              </w:rPr>
              <w:fldChar w:fldCharType="begin"/>
            </w:r>
            <w:r w:rsidR="002A2D9E">
              <w:rPr>
                <w:webHidden/>
              </w:rPr>
              <w:instrText xml:space="preserve"> PAGEREF _Toc161313026 \h </w:instrText>
            </w:r>
            <w:r w:rsidR="002A2D9E">
              <w:rPr>
                <w:webHidden/>
              </w:rPr>
            </w:r>
            <w:r w:rsidR="002A2D9E">
              <w:rPr>
                <w:webHidden/>
              </w:rPr>
              <w:fldChar w:fldCharType="separate"/>
            </w:r>
            <w:r w:rsidR="00D346A4">
              <w:rPr>
                <w:webHidden/>
              </w:rPr>
              <w:t>13</w:t>
            </w:r>
            <w:r w:rsidR="002A2D9E">
              <w:rPr>
                <w:webHidden/>
              </w:rPr>
              <w:fldChar w:fldCharType="end"/>
            </w:r>
          </w:hyperlink>
        </w:p>
        <w:p w14:paraId="3439682A" w14:textId="06612932" w:rsidR="002A2D9E" w:rsidRDefault="0027404F">
          <w:pPr>
            <w:pStyle w:val="TOC1"/>
            <w:rPr>
              <w:rFonts w:asciiTheme="minorHAnsi" w:eastAsiaTheme="minorEastAsia" w:hAnsiTheme="minorHAnsi"/>
              <w:kern w:val="2"/>
              <w:lang w:eastAsia="en-GB"/>
              <w14:ligatures w14:val="standardContextual"/>
            </w:rPr>
          </w:pPr>
          <w:hyperlink w:anchor="_Toc161313027" w:history="1">
            <w:r w:rsidR="002A2D9E" w:rsidRPr="000B4B4A">
              <w:rPr>
                <w:rStyle w:val="Hyperlink"/>
              </w:rPr>
              <w:t>11</w:t>
            </w:r>
            <w:r w:rsidR="002A2D9E">
              <w:rPr>
                <w:rFonts w:asciiTheme="minorHAnsi" w:eastAsiaTheme="minorEastAsia" w:hAnsiTheme="minorHAnsi"/>
                <w:kern w:val="2"/>
                <w:lang w:eastAsia="en-GB"/>
                <w14:ligatures w14:val="standardContextual"/>
              </w:rPr>
              <w:tab/>
            </w:r>
            <w:r w:rsidR="002A2D9E" w:rsidRPr="000B4B4A">
              <w:rPr>
                <w:rStyle w:val="Hyperlink"/>
              </w:rPr>
              <w:t>Roles and Responsibilities</w:t>
            </w:r>
            <w:r w:rsidR="002A2D9E">
              <w:rPr>
                <w:webHidden/>
              </w:rPr>
              <w:tab/>
            </w:r>
            <w:r w:rsidR="002A2D9E">
              <w:rPr>
                <w:webHidden/>
              </w:rPr>
              <w:fldChar w:fldCharType="begin"/>
            </w:r>
            <w:r w:rsidR="002A2D9E">
              <w:rPr>
                <w:webHidden/>
              </w:rPr>
              <w:instrText xml:space="preserve"> PAGEREF _Toc161313027 \h </w:instrText>
            </w:r>
            <w:r w:rsidR="002A2D9E">
              <w:rPr>
                <w:webHidden/>
              </w:rPr>
            </w:r>
            <w:r w:rsidR="002A2D9E">
              <w:rPr>
                <w:webHidden/>
              </w:rPr>
              <w:fldChar w:fldCharType="separate"/>
            </w:r>
            <w:r w:rsidR="00D346A4">
              <w:rPr>
                <w:webHidden/>
              </w:rPr>
              <w:t>13</w:t>
            </w:r>
            <w:r w:rsidR="002A2D9E">
              <w:rPr>
                <w:webHidden/>
              </w:rPr>
              <w:fldChar w:fldCharType="end"/>
            </w:r>
          </w:hyperlink>
        </w:p>
        <w:p w14:paraId="195DE276" w14:textId="6DC3101A" w:rsidR="002A2D9E" w:rsidRDefault="0027404F">
          <w:pPr>
            <w:pStyle w:val="TOC1"/>
            <w:rPr>
              <w:rFonts w:asciiTheme="minorHAnsi" w:eastAsiaTheme="minorEastAsia" w:hAnsiTheme="minorHAnsi"/>
              <w:kern w:val="2"/>
              <w:lang w:eastAsia="en-GB"/>
              <w14:ligatures w14:val="standardContextual"/>
            </w:rPr>
          </w:pPr>
          <w:hyperlink w:anchor="_Toc161313028" w:history="1">
            <w:r w:rsidR="002A2D9E" w:rsidRPr="000B4B4A">
              <w:rPr>
                <w:rStyle w:val="Hyperlink"/>
              </w:rPr>
              <w:t>12</w:t>
            </w:r>
            <w:r w:rsidR="002A2D9E">
              <w:rPr>
                <w:rFonts w:asciiTheme="minorHAnsi" w:eastAsiaTheme="minorEastAsia" w:hAnsiTheme="minorHAnsi"/>
                <w:kern w:val="2"/>
                <w:lang w:eastAsia="en-GB"/>
                <w14:ligatures w14:val="standardContextual"/>
              </w:rPr>
              <w:tab/>
            </w:r>
            <w:r w:rsidR="002A2D9E" w:rsidRPr="000B4B4A">
              <w:rPr>
                <w:rStyle w:val="Hyperlink"/>
              </w:rPr>
              <w:t>Training and Monitoring</w:t>
            </w:r>
            <w:r w:rsidR="002A2D9E">
              <w:rPr>
                <w:webHidden/>
              </w:rPr>
              <w:tab/>
            </w:r>
            <w:r w:rsidR="002A2D9E">
              <w:rPr>
                <w:webHidden/>
              </w:rPr>
              <w:fldChar w:fldCharType="begin"/>
            </w:r>
            <w:r w:rsidR="002A2D9E">
              <w:rPr>
                <w:webHidden/>
              </w:rPr>
              <w:instrText xml:space="preserve"> PAGEREF _Toc161313028 \h </w:instrText>
            </w:r>
            <w:r w:rsidR="002A2D9E">
              <w:rPr>
                <w:webHidden/>
              </w:rPr>
            </w:r>
            <w:r w:rsidR="002A2D9E">
              <w:rPr>
                <w:webHidden/>
              </w:rPr>
              <w:fldChar w:fldCharType="separate"/>
            </w:r>
            <w:r w:rsidR="00D346A4">
              <w:rPr>
                <w:webHidden/>
              </w:rPr>
              <w:t>14</w:t>
            </w:r>
            <w:r w:rsidR="002A2D9E">
              <w:rPr>
                <w:webHidden/>
              </w:rPr>
              <w:fldChar w:fldCharType="end"/>
            </w:r>
          </w:hyperlink>
        </w:p>
        <w:p w14:paraId="41C57C1E" w14:textId="511D6A46" w:rsidR="002A2D9E" w:rsidRDefault="0027404F">
          <w:pPr>
            <w:pStyle w:val="TOC1"/>
            <w:rPr>
              <w:rFonts w:asciiTheme="minorHAnsi" w:eastAsiaTheme="minorEastAsia" w:hAnsiTheme="minorHAnsi"/>
              <w:kern w:val="2"/>
              <w:lang w:eastAsia="en-GB"/>
              <w14:ligatures w14:val="standardContextual"/>
            </w:rPr>
          </w:pPr>
          <w:hyperlink w:anchor="_Toc161313029" w:history="1">
            <w:r w:rsidR="002A2D9E" w:rsidRPr="000B4B4A">
              <w:rPr>
                <w:rStyle w:val="Hyperlink"/>
              </w:rPr>
              <w:t>13</w:t>
            </w:r>
            <w:r w:rsidR="002A2D9E">
              <w:rPr>
                <w:rFonts w:asciiTheme="minorHAnsi" w:eastAsiaTheme="minorEastAsia" w:hAnsiTheme="minorHAnsi"/>
                <w:kern w:val="2"/>
                <w:lang w:eastAsia="en-GB"/>
                <w14:ligatures w14:val="standardContextual"/>
              </w:rPr>
              <w:tab/>
            </w:r>
            <w:r w:rsidR="002A2D9E" w:rsidRPr="000B4B4A">
              <w:rPr>
                <w:rStyle w:val="Hyperlink"/>
              </w:rPr>
              <w:t>Communication and Dissemination</w:t>
            </w:r>
            <w:r w:rsidR="002A2D9E">
              <w:rPr>
                <w:webHidden/>
              </w:rPr>
              <w:tab/>
            </w:r>
            <w:r w:rsidR="002A2D9E">
              <w:rPr>
                <w:webHidden/>
              </w:rPr>
              <w:fldChar w:fldCharType="begin"/>
            </w:r>
            <w:r w:rsidR="002A2D9E">
              <w:rPr>
                <w:webHidden/>
              </w:rPr>
              <w:instrText xml:space="preserve"> PAGEREF _Toc161313029 \h </w:instrText>
            </w:r>
            <w:r w:rsidR="002A2D9E">
              <w:rPr>
                <w:webHidden/>
              </w:rPr>
            </w:r>
            <w:r w:rsidR="002A2D9E">
              <w:rPr>
                <w:webHidden/>
              </w:rPr>
              <w:fldChar w:fldCharType="separate"/>
            </w:r>
            <w:r w:rsidR="00D346A4">
              <w:rPr>
                <w:webHidden/>
              </w:rPr>
              <w:t>14</w:t>
            </w:r>
            <w:r w:rsidR="002A2D9E">
              <w:rPr>
                <w:webHidden/>
              </w:rPr>
              <w:fldChar w:fldCharType="end"/>
            </w:r>
          </w:hyperlink>
        </w:p>
        <w:p w14:paraId="50376E07" w14:textId="5036E53A" w:rsidR="002A2D9E" w:rsidRDefault="0027404F">
          <w:pPr>
            <w:pStyle w:val="TOC1"/>
            <w:rPr>
              <w:rFonts w:asciiTheme="minorHAnsi" w:eastAsiaTheme="minorEastAsia" w:hAnsiTheme="minorHAnsi"/>
              <w:kern w:val="2"/>
              <w:lang w:eastAsia="en-GB"/>
              <w14:ligatures w14:val="standardContextual"/>
            </w:rPr>
          </w:pPr>
          <w:hyperlink w:anchor="_Toc161313030" w:history="1">
            <w:r w:rsidR="002A2D9E" w:rsidRPr="000B4B4A">
              <w:rPr>
                <w:rStyle w:val="Hyperlink"/>
              </w:rPr>
              <w:t>14</w:t>
            </w:r>
            <w:r w:rsidR="002A2D9E">
              <w:rPr>
                <w:rFonts w:asciiTheme="minorHAnsi" w:eastAsiaTheme="minorEastAsia" w:hAnsiTheme="minorHAnsi"/>
                <w:kern w:val="2"/>
                <w:lang w:eastAsia="en-GB"/>
                <w14:ligatures w14:val="standardContextual"/>
              </w:rPr>
              <w:tab/>
            </w:r>
            <w:r w:rsidR="002A2D9E" w:rsidRPr="000B4B4A">
              <w:rPr>
                <w:rStyle w:val="Hyperlink"/>
              </w:rPr>
              <w:t>EDI Impact Assessments</w:t>
            </w:r>
            <w:r w:rsidR="002A2D9E">
              <w:rPr>
                <w:webHidden/>
              </w:rPr>
              <w:tab/>
            </w:r>
            <w:r w:rsidR="002A2D9E">
              <w:rPr>
                <w:webHidden/>
              </w:rPr>
              <w:fldChar w:fldCharType="begin"/>
            </w:r>
            <w:r w:rsidR="002A2D9E">
              <w:rPr>
                <w:webHidden/>
              </w:rPr>
              <w:instrText xml:space="preserve"> PAGEREF _Toc161313030 \h </w:instrText>
            </w:r>
            <w:r w:rsidR="002A2D9E">
              <w:rPr>
                <w:webHidden/>
              </w:rPr>
            </w:r>
            <w:r w:rsidR="002A2D9E">
              <w:rPr>
                <w:webHidden/>
              </w:rPr>
              <w:fldChar w:fldCharType="separate"/>
            </w:r>
            <w:r w:rsidR="00D346A4">
              <w:rPr>
                <w:webHidden/>
              </w:rPr>
              <w:t>15</w:t>
            </w:r>
            <w:r w:rsidR="002A2D9E">
              <w:rPr>
                <w:webHidden/>
              </w:rPr>
              <w:fldChar w:fldCharType="end"/>
            </w:r>
          </w:hyperlink>
        </w:p>
        <w:p w14:paraId="7984E84B" w14:textId="29DFD3B0" w:rsidR="002A2D9E" w:rsidRDefault="0027404F">
          <w:pPr>
            <w:pStyle w:val="TOC1"/>
            <w:rPr>
              <w:rFonts w:asciiTheme="minorHAnsi" w:eastAsiaTheme="minorEastAsia" w:hAnsiTheme="minorHAnsi"/>
              <w:kern w:val="2"/>
              <w:lang w:eastAsia="en-GB"/>
              <w14:ligatures w14:val="standardContextual"/>
            </w:rPr>
          </w:pPr>
          <w:hyperlink w:anchor="_Toc161313031" w:history="1">
            <w:r w:rsidR="002A2D9E" w:rsidRPr="000B4B4A">
              <w:rPr>
                <w:rStyle w:val="Hyperlink"/>
              </w:rPr>
              <w:t>15</w:t>
            </w:r>
            <w:r w:rsidR="002A2D9E">
              <w:rPr>
                <w:rFonts w:asciiTheme="minorHAnsi" w:eastAsiaTheme="minorEastAsia" w:hAnsiTheme="minorHAnsi"/>
                <w:kern w:val="2"/>
                <w:lang w:eastAsia="en-GB"/>
                <w14:ligatures w14:val="standardContextual"/>
              </w:rPr>
              <w:tab/>
            </w:r>
            <w:r w:rsidR="002A2D9E" w:rsidRPr="000B4B4A">
              <w:rPr>
                <w:rStyle w:val="Hyperlink"/>
              </w:rPr>
              <w:t>Resources</w:t>
            </w:r>
            <w:r w:rsidR="002A2D9E">
              <w:rPr>
                <w:webHidden/>
              </w:rPr>
              <w:tab/>
            </w:r>
            <w:r w:rsidR="002A2D9E">
              <w:rPr>
                <w:webHidden/>
              </w:rPr>
              <w:fldChar w:fldCharType="begin"/>
            </w:r>
            <w:r w:rsidR="002A2D9E">
              <w:rPr>
                <w:webHidden/>
              </w:rPr>
              <w:instrText xml:space="preserve"> PAGEREF _Toc161313031 \h </w:instrText>
            </w:r>
            <w:r w:rsidR="002A2D9E">
              <w:rPr>
                <w:webHidden/>
              </w:rPr>
            </w:r>
            <w:r w:rsidR="002A2D9E">
              <w:rPr>
                <w:webHidden/>
              </w:rPr>
              <w:fldChar w:fldCharType="separate"/>
            </w:r>
            <w:r w:rsidR="00D346A4">
              <w:rPr>
                <w:webHidden/>
              </w:rPr>
              <w:t>15</w:t>
            </w:r>
            <w:r w:rsidR="002A2D9E">
              <w:rPr>
                <w:webHidden/>
              </w:rPr>
              <w:fldChar w:fldCharType="end"/>
            </w:r>
          </w:hyperlink>
        </w:p>
        <w:p w14:paraId="7AD078B5" w14:textId="001B6EF0" w:rsidR="002A2D9E" w:rsidRDefault="0027404F">
          <w:pPr>
            <w:pStyle w:val="TOC1"/>
            <w:rPr>
              <w:rFonts w:asciiTheme="minorHAnsi" w:eastAsiaTheme="minorEastAsia" w:hAnsiTheme="minorHAnsi"/>
              <w:kern w:val="2"/>
              <w:lang w:eastAsia="en-GB"/>
              <w14:ligatures w14:val="standardContextual"/>
            </w:rPr>
          </w:pPr>
          <w:hyperlink w:anchor="_Toc161313032" w:history="1">
            <w:r w:rsidR="002A2D9E" w:rsidRPr="000B4B4A">
              <w:rPr>
                <w:rStyle w:val="Hyperlink"/>
              </w:rPr>
              <w:t>16</w:t>
            </w:r>
            <w:r w:rsidR="002A2D9E">
              <w:rPr>
                <w:rFonts w:asciiTheme="minorHAnsi" w:eastAsiaTheme="minorEastAsia" w:hAnsiTheme="minorHAnsi"/>
                <w:kern w:val="2"/>
                <w:lang w:eastAsia="en-GB"/>
                <w14:ligatures w14:val="standardContextual"/>
              </w:rPr>
              <w:tab/>
            </w:r>
            <w:r w:rsidR="002A2D9E" w:rsidRPr="000B4B4A">
              <w:rPr>
                <w:rStyle w:val="Hyperlink"/>
              </w:rPr>
              <w:t>Version Control</w:t>
            </w:r>
            <w:r w:rsidR="002A2D9E">
              <w:rPr>
                <w:webHidden/>
              </w:rPr>
              <w:tab/>
            </w:r>
            <w:r w:rsidR="002A2D9E">
              <w:rPr>
                <w:webHidden/>
              </w:rPr>
              <w:fldChar w:fldCharType="begin"/>
            </w:r>
            <w:r w:rsidR="002A2D9E">
              <w:rPr>
                <w:webHidden/>
              </w:rPr>
              <w:instrText xml:space="preserve"> PAGEREF _Toc161313032 \h </w:instrText>
            </w:r>
            <w:r w:rsidR="002A2D9E">
              <w:rPr>
                <w:webHidden/>
              </w:rPr>
            </w:r>
            <w:r w:rsidR="002A2D9E">
              <w:rPr>
                <w:webHidden/>
              </w:rPr>
              <w:fldChar w:fldCharType="separate"/>
            </w:r>
            <w:r w:rsidR="00D346A4">
              <w:rPr>
                <w:webHidden/>
              </w:rPr>
              <w:t>15</w:t>
            </w:r>
            <w:r w:rsidR="002A2D9E">
              <w:rPr>
                <w:webHidden/>
              </w:rPr>
              <w:fldChar w:fldCharType="end"/>
            </w:r>
          </w:hyperlink>
        </w:p>
        <w:p w14:paraId="07E2DBE3" w14:textId="2AB3B483" w:rsidR="00DF67AA" w:rsidRPr="002E4B12" w:rsidRDefault="00F91DD0" w:rsidP="004D237B">
          <w:pPr>
            <w:pStyle w:val="TOC1"/>
          </w:pPr>
          <w:r>
            <w:rPr>
              <w:rFonts w:cs="Arial"/>
              <w:spacing w:val="7"/>
            </w:rPr>
            <w:fldChar w:fldCharType="end"/>
          </w:r>
        </w:p>
      </w:sdtContent>
    </w:sdt>
    <w:p w14:paraId="6D58AF09" w14:textId="77777777" w:rsidR="002A2D9E" w:rsidRDefault="002A2D9E" w:rsidP="00C7053A">
      <w:pPr>
        <w:pStyle w:val="Textlist-bullet"/>
        <w:numPr>
          <w:ilvl w:val="0"/>
          <w:numId w:val="0"/>
        </w:numPr>
        <w:ind w:left="357"/>
        <w:rPr>
          <w:b/>
          <w:bCs/>
          <w:color w:val="D4007F" w:themeColor="accent2"/>
        </w:rPr>
      </w:pPr>
    </w:p>
    <w:p w14:paraId="1EEF7495" w14:textId="77777777" w:rsidR="002A2D9E" w:rsidRDefault="002A2D9E" w:rsidP="00C7053A">
      <w:pPr>
        <w:pStyle w:val="Textlist-bullet"/>
        <w:numPr>
          <w:ilvl w:val="0"/>
          <w:numId w:val="0"/>
        </w:numPr>
        <w:ind w:left="357"/>
        <w:rPr>
          <w:b/>
          <w:bCs/>
          <w:color w:val="D4007F" w:themeColor="accent2"/>
        </w:rPr>
      </w:pPr>
    </w:p>
    <w:p w14:paraId="251A4179" w14:textId="7B62E5F9" w:rsidR="009A0ED4" w:rsidRDefault="009A0ED4" w:rsidP="00D558F5">
      <w:pPr>
        <w:pStyle w:val="Heading1Numbered"/>
      </w:pPr>
      <w:bookmarkStart w:id="6" w:name="_Toc161313017"/>
      <w:r w:rsidRPr="00D558F5">
        <w:t>Introduction</w:t>
      </w:r>
      <w:bookmarkEnd w:id="6"/>
    </w:p>
    <w:p w14:paraId="63B7AB5A" w14:textId="569F2553" w:rsidR="00CD5954" w:rsidRPr="00CD5954" w:rsidRDefault="00CD5954" w:rsidP="00CD5954">
      <w:pPr>
        <w:pStyle w:val="Text1Numbered"/>
      </w:pPr>
      <w:r>
        <w:t xml:space="preserve">MHA </w:t>
      </w:r>
      <w:r w:rsidRPr="00CD5954">
        <w:t xml:space="preserve">recognises that there are times when </w:t>
      </w:r>
      <w:r>
        <w:t>colleagues</w:t>
      </w:r>
      <w:r w:rsidRPr="00CD5954">
        <w:t xml:space="preserve"> have to balance the demands of work with domestic, </w:t>
      </w:r>
      <w:r w:rsidR="00314B04" w:rsidRPr="00CD5954">
        <w:t>personal,</w:t>
      </w:r>
      <w:r w:rsidRPr="00CD5954">
        <w:t xml:space="preserve"> and family matters</w:t>
      </w:r>
      <w:r w:rsidR="0064309F" w:rsidRPr="00CD5954">
        <w:t xml:space="preserve">. </w:t>
      </w:r>
      <w:r w:rsidRPr="00CD5954">
        <w:t>In addition to personal commitments, they may also have responsibilities in the wider community</w:t>
      </w:r>
      <w:r>
        <w:t>.</w:t>
      </w:r>
    </w:p>
    <w:p w14:paraId="50FC7BDB" w14:textId="77777777" w:rsidR="00CD5954" w:rsidRDefault="00CD5954" w:rsidP="00CD5954">
      <w:pPr>
        <w:pStyle w:val="Text1Numbered"/>
        <w:numPr>
          <w:ilvl w:val="0"/>
          <w:numId w:val="0"/>
        </w:numPr>
        <w:ind w:left="1135"/>
      </w:pPr>
    </w:p>
    <w:p w14:paraId="43DDE628" w14:textId="491BF7C1" w:rsidR="001457E1" w:rsidRDefault="001457E1" w:rsidP="001457E1">
      <w:pPr>
        <w:pStyle w:val="Text1Numbered"/>
      </w:pPr>
      <w:r>
        <w:t>This policy provides</w:t>
      </w:r>
      <w:r w:rsidRPr="00A663C8">
        <w:t xml:space="preserve"> a range of provisions in order to enable colleagues to take a period of time off in </w:t>
      </w:r>
      <w:r>
        <w:t>‘special leave’</w:t>
      </w:r>
      <w:r w:rsidRPr="00A663C8">
        <w:t xml:space="preserve"> circumstances without loss of annual holiday entitlement</w:t>
      </w:r>
      <w:r>
        <w:t xml:space="preserve"> or impact on a colleagues Bradford Factor score. Special leave includes leave relating to:</w:t>
      </w:r>
    </w:p>
    <w:p w14:paraId="3B388B5B" w14:textId="72ED3055" w:rsidR="00BB0D11" w:rsidRDefault="00BB0D11" w:rsidP="00BB0D11">
      <w:pPr>
        <w:pStyle w:val="Textlistindented-bullet"/>
      </w:pPr>
      <w:r>
        <w:t>Bereavement Leave</w:t>
      </w:r>
    </w:p>
    <w:p w14:paraId="5434E3FF" w14:textId="77777777" w:rsidR="00BB0D11" w:rsidRDefault="00BB0D11" w:rsidP="00BB0D11">
      <w:pPr>
        <w:pStyle w:val="Textlistindented-bullet"/>
      </w:pPr>
      <w:r>
        <w:t>Family and Domestic Crisis’</w:t>
      </w:r>
    </w:p>
    <w:p w14:paraId="257B44E2" w14:textId="77777777" w:rsidR="00BB0D11" w:rsidRDefault="00BB0D11" w:rsidP="00BB0D11">
      <w:pPr>
        <w:pStyle w:val="Textlistindented-bullet"/>
      </w:pPr>
      <w:r>
        <w:t>Medical, Dental, and Hospital Appointments</w:t>
      </w:r>
    </w:p>
    <w:p w14:paraId="4C06C822" w14:textId="3D3A1AA9" w:rsidR="00BB0D11" w:rsidRDefault="00BB0D11" w:rsidP="00BB0D11">
      <w:pPr>
        <w:pStyle w:val="Textlistindented-bullet"/>
      </w:pPr>
      <w:r>
        <w:t>Carers Leave</w:t>
      </w:r>
    </w:p>
    <w:p w14:paraId="35678143" w14:textId="7DE80705" w:rsidR="001457E1" w:rsidRDefault="001457E1" w:rsidP="001457E1">
      <w:pPr>
        <w:pStyle w:val="Textlistindented-bullet"/>
      </w:pPr>
      <w:r>
        <w:t>Public Duties</w:t>
      </w:r>
    </w:p>
    <w:p w14:paraId="479E85B5" w14:textId="4CA74937" w:rsidR="00C7053A" w:rsidRDefault="00C7053A" w:rsidP="00FB55F8">
      <w:pPr>
        <w:pStyle w:val="Text1Numbered"/>
      </w:pPr>
      <w:r>
        <w:t xml:space="preserve">For leave relating to annual leave, refer to Holiday Arrangement Policy [HR7.4]. For leave relating to sickness, refer to </w:t>
      </w:r>
      <w:r w:rsidRPr="00C7053A">
        <w:t>Sickness Absence Management Policy</w:t>
      </w:r>
      <w:r>
        <w:t xml:space="preserve"> [HR7.1].</w:t>
      </w:r>
      <w:r w:rsidR="00A663C8">
        <w:t xml:space="preserve"> For leave relating to maternity, paternity, adoption, and parental leave refer to </w:t>
      </w:r>
      <w:r w:rsidR="00F428C6">
        <w:t>[</w:t>
      </w:r>
      <w:r w:rsidR="00BB0D11">
        <w:t>HR7.3</w:t>
      </w:r>
      <w:r w:rsidR="00F428C6">
        <w:t>]</w:t>
      </w:r>
      <w:r w:rsidR="00BB0D11">
        <w:t>.</w:t>
      </w:r>
    </w:p>
    <w:p w14:paraId="0E90FB15" w14:textId="7ED189C0" w:rsidR="002E4B12" w:rsidRDefault="009A0ED4" w:rsidP="00C7053A">
      <w:pPr>
        <w:pStyle w:val="Heading1Numbered"/>
      </w:pPr>
      <w:bookmarkStart w:id="7" w:name="_Toc161313018"/>
      <w:r w:rsidRPr="00EF3699">
        <w:t xml:space="preserve">Scope </w:t>
      </w:r>
      <w:r w:rsidR="001310BB" w:rsidRPr="00EF3699">
        <w:t>and</w:t>
      </w:r>
      <w:r w:rsidRPr="00EF3699">
        <w:t xml:space="preserve"> </w:t>
      </w:r>
      <w:r w:rsidRPr="00D558F5">
        <w:t>Purpose</w:t>
      </w:r>
      <w:bookmarkEnd w:id="7"/>
    </w:p>
    <w:p w14:paraId="0BE04814" w14:textId="2CD2FA5D" w:rsidR="00A663C8" w:rsidRDefault="00A663C8" w:rsidP="00A663C8">
      <w:pPr>
        <w:pStyle w:val="Text1Numbered"/>
      </w:pPr>
      <w:r>
        <w:t xml:space="preserve">This policy is relevant to </w:t>
      </w:r>
      <w:r w:rsidR="001457E1">
        <w:t>a</w:t>
      </w:r>
      <w:r w:rsidRPr="00A663C8">
        <w:t>ll colleagues working under a contract of employment within MHA who meet the eligibility requirements detailed within each provision of this policy.</w:t>
      </w:r>
    </w:p>
    <w:p w14:paraId="2FC08958" w14:textId="77777777" w:rsidR="001457E1" w:rsidRDefault="001457E1" w:rsidP="001457E1">
      <w:pPr>
        <w:pStyle w:val="Text1Numbered"/>
        <w:numPr>
          <w:ilvl w:val="0"/>
          <w:numId w:val="0"/>
        </w:numPr>
        <w:ind w:left="1135"/>
      </w:pPr>
    </w:p>
    <w:p w14:paraId="7089EA33" w14:textId="29C03F8C" w:rsidR="001457E1" w:rsidRDefault="001457E1" w:rsidP="00A663C8">
      <w:pPr>
        <w:pStyle w:val="Text1Numbered"/>
      </w:pPr>
      <w:r>
        <w:t>The purpose of this policy is to set out MHA’s provision and procedures relating to taking and requesting special leave.</w:t>
      </w:r>
    </w:p>
    <w:p w14:paraId="1D543F80" w14:textId="77777777" w:rsidR="002A2D9E" w:rsidRDefault="002A2D9E" w:rsidP="002A2D9E">
      <w:pPr>
        <w:pStyle w:val="ListParagraph"/>
      </w:pPr>
    </w:p>
    <w:p w14:paraId="60FC497A" w14:textId="77777777" w:rsidR="002A2D9E" w:rsidRDefault="002A2D9E" w:rsidP="002A2D9E">
      <w:pPr>
        <w:pStyle w:val="Text1Numbered"/>
        <w:numPr>
          <w:ilvl w:val="0"/>
          <w:numId w:val="0"/>
        </w:numPr>
        <w:ind w:left="1135"/>
      </w:pPr>
    </w:p>
    <w:p w14:paraId="0815C685" w14:textId="77777777" w:rsidR="00DF67AA" w:rsidRPr="00EF3699" w:rsidRDefault="009A0ED4" w:rsidP="00EC4F61">
      <w:pPr>
        <w:pStyle w:val="Heading1Numbered"/>
      </w:pPr>
      <w:bookmarkStart w:id="8" w:name="_Toc161313019"/>
      <w:r w:rsidRPr="00EF3699">
        <w:t>Definitions</w:t>
      </w:r>
      <w:bookmarkEnd w:id="8"/>
    </w:p>
    <w:tbl>
      <w:tblPr>
        <w:tblStyle w:val="MHATable"/>
        <w:tblW w:w="0" w:type="auto"/>
        <w:tblLook w:val="04A0" w:firstRow="1" w:lastRow="0" w:firstColumn="1" w:lastColumn="0" w:noHBand="0" w:noVBand="1"/>
      </w:tblPr>
      <w:tblGrid>
        <w:gridCol w:w="2830"/>
        <w:gridCol w:w="6663"/>
      </w:tblGrid>
      <w:tr w:rsidR="00D40DD9" w:rsidRPr="004C3545" w14:paraId="0790E293" w14:textId="77777777" w:rsidTr="002A2D9E">
        <w:trPr>
          <w:cnfStyle w:val="100000000000" w:firstRow="1" w:lastRow="0" w:firstColumn="0" w:lastColumn="0" w:oddVBand="0" w:evenVBand="0" w:oddHBand="0" w:evenHBand="0" w:firstRowFirstColumn="0" w:firstRowLastColumn="0" w:lastRowFirstColumn="0" w:lastRowLastColumn="0"/>
          <w:tblHeader/>
        </w:trPr>
        <w:tc>
          <w:tcPr>
            <w:tcW w:w="2830" w:type="dxa"/>
          </w:tcPr>
          <w:p w14:paraId="466D8A19" w14:textId="77777777" w:rsidR="00D40DD9" w:rsidRPr="004C3545" w:rsidRDefault="00D40DD9" w:rsidP="00737EDE">
            <w:r>
              <w:t>Term</w:t>
            </w:r>
          </w:p>
        </w:tc>
        <w:tc>
          <w:tcPr>
            <w:tcW w:w="6663" w:type="dxa"/>
          </w:tcPr>
          <w:p w14:paraId="7357BA3E" w14:textId="77777777" w:rsidR="00D40DD9" w:rsidRPr="004C3545" w:rsidRDefault="00D40DD9" w:rsidP="00737EDE">
            <w:r>
              <w:t>Definition</w:t>
            </w:r>
          </w:p>
        </w:tc>
      </w:tr>
      <w:tr w:rsidR="00BB0D11" w:rsidRPr="004C3545" w14:paraId="1F4A92A6" w14:textId="77777777" w:rsidTr="00737EDE">
        <w:tc>
          <w:tcPr>
            <w:tcW w:w="2830" w:type="dxa"/>
          </w:tcPr>
          <w:p w14:paraId="217F9175" w14:textId="34DB8453" w:rsidR="00BB0D11" w:rsidRPr="00314B04" w:rsidRDefault="00BB0D11" w:rsidP="00BB0D11">
            <w:pPr>
              <w:rPr>
                <w:b/>
                <w:bCs/>
              </w:rPr>
            </w:pPr>
            <w:r w:rsidRPr="00314B04">
              <w:rPr>
                <w:b/>
                <w:bCs/>
              </w:rPr>
              <w:t xml:space="preserve">Bereavement Leave </w:t>
            </w:r>
          </w:p>
        </w:tc>
        <w:tc>
          <w:tcPr>
            <w:tcW w:w="6663" w:type="dxa"/>
          </w:tcPr>
          <w:p w14:paraId="70F17C2A" w14:textId="3CFC3981" w:rsidR="00BB0D11" w:rsidRDefault="00BB0D11" w:rsidP="00BB0D11">
            <w:r w:rsidRPr="002244B4">
              <w:t>Bereavement leave is paid leave that allows a</w:t>
            </w:r>
            <w:r>
              <w:t xml:space="preserve"> colleague to take </w:t>
            </w:r>
            <w:r w:rsidRPr="002244B4">
              <w:t>time off to deal with their personal grief and related practical arrangements</w:t>
            </w:r>
            <w:r w:rsidR="00B40F6A">
              <w:t>.</w:t>
            </w:r>
          </w:p>
          <w:p w14:paraId="35FBFDF6" w14:textId="17A1CAD6" w:rsidR="00BB0D11" w:rsidRDefault="00BB0D11" w:rsidP="00BB0D11"/>
        </w:tc>
      </w:tr>
      <w:tr w:rsidR="00BB0D11" w:rsidRPr="004C3545" w14:paraId="72860FEF" w14:textId="77777777" w:rsidTr="00737EDE">
        <w:tc>
          <w:tcPr>
            <w:tcW w:w="2830" w:type="dxa"/>
          </w:tcPr>
          <w:p w14:paraId="0AE89A56" w14:textId="28817F5D" w:rsidR="00BB0D11" w:rsidRPr="00314B04" w:rsidRDefault="00BB0D11" w:rsidP="00BB0D11">
            <w:pPr>
              <w:rPr>
                <w:b/>
                <w:bCs/>
              </w:rPr>
            </w:pPr>
            <w:r w:rsidRPr="00314B04">
              <w:rPr>
                <w:b/>
                <w:bCs/>
              </w:rPr>
              <w:t>Family and Domestic Crisis Leave</w:t>
            </w:r>
          </w:p>
        </w:tc>
        <w:tc>
          <w:tcPr>
            <w:tcW w:w="6663" w:type="dxa"/>
          </w:tcPr>
          <w:p w14:paraId="18759948" w14:textId="0AFFDFE4" w:rsidR="00BB0D11" w:rsidRDefault="00BB0D11" w:rsidP="00BB0D11">
            <w:r w:rsidRPr="00C33A30">
              <w:t>A colleague may require family/domestic crisis leave in order to deal with emergency situations</w:t>
            </w:r>
            <w:r>
              <w:t>.</w:t>
            </w:r>
          </w:p>
        </w:tc>
      </w:tr>
      <w:tr w:rsidR="00C33A30" w:rsidRPr="004C3545" w14:paraId="26EADC11" w14:textId="77777777" w:rsidTr="00061AF9">
        <w:tc>
          <w:tcPr>
            <w:tcW w:w="2830" w:type="dxa"/>
            <w:shd w:val="clear" w:color="auto" w:fill="auto"/>
          </w:tcPr>
          <w:p w14:paraId="62B0FE1C" w14:textId="1C34A588" w:rsidR="00C33A30" w:rsidRPr="00314B04" w:rsidRDefault="00C33A30" w:rsidP="00737EDE">
            <w:pPr>
              <w:rPr>
                <w:b/>
                <w:bCs/>
              </w:rPr>
            </w:pPr>
            <w:r w:rsidRPr="00314B04">
              <w:rPr>
                <w:b/>
                <w:bCs/>
              </w:rPr>
              <w:t>Medical, Dental, and Hospital Appointments Leave</w:t>
            </w:r>
          </w:p>
        </w:tc>
        <w:tc>
          <w:tcPr>
            <w:tcW w:w="6663" w:type="dxa"/>
            <w:shd w:val="clear" w:color="auto" w:fill="auto"/>
          </w:tcPr>
          <w:p w14:paraId="3B116F62" w14:textId="323EB88D" w:rsidR="00C33A30" w:rsidRPr="00C33A30" w:rsidRDefault="00C33A30" w:rsidP="00737EDE">
            <w:r>
              <w:t xml:space="preserve">Leave relating to medical, dental, and hospital appointments. </w:t>
            </w:r>
          </w:p>
        </w:tc>
      </w:tr>
      <w:tr w:rsidR="00BB0D11" w:rsidRPr="004C3545" w14:paraId="12A2C918" w14:textId="77777777" w:rsidTr="00061AF9">
        <w:tc>
          <w:tcPr>
            <w:tcW w:w="2830" w:type="dxa"/>
            <w:shd w:val="clear" w:color="auto" w:fill="auto"/>
          </w:tcPr>
          <w:p w14:paraId="30A0EB82" w14:textId="34EF3E72" w:rsidR="00BB0D11" w:rsidRPr="00F772A4" w:rsidRDefault="00BB0D11" w:rsidP="001457E1">
            <w:pPr>
              <w:rPr>
                <w:b/>
                <w:bCs/>
                <w:highlight w:val="yellow"/>
              </w:rPr>
            </w:pPr>
            <w:r w:rsidRPr="00061AF9">
              <w:rPr>
                <w:b/>
                <w:bCs/>
              </w:rPr>
              <w:t>Carers Leave</w:t>
            </w:r>
          </w:p>
        </w:tc>
        <w:tc>
          <w:tcPr>
            <w:tcW w:w="6663" w:type="dxa"/>
            <w:shd w:val="clear" w:color="auto" w:fill="auto"/>
          </w:tcPr>
          <w:p w14:paraId="2877AFDF" w14:textId="593B78EC" w:rsidR="00BB0D11" w:rsidRPr="00F772A4" w:rsidRDefault="003D05C8" w:rsidP="004F17FA">
            <w:pPr>
              <w:rPr>
                <w:highlight w:val="yellow"/>
              </w:rPr>
            </w:pPr>
            <w:r w:rsidRPr="00061AF9">
              <w:t>Leave to provide or arrange care for a dependant with a long-term care need.</w:t>
            </w:r>
          </w:p>
        </w:tc>
      </w:tr>
      <w:tr w:rsidR="004F17FA" w:rsidRPr="004C3545" w14:paraId="36CA091F" w14:textId="77777777" w:rsidTr="00061AF9">
        <w:tc>
          <w:tcPr>
            <w:tcW w:w="2830" w:type="dxa"/>
            <w:shd w:val="clear" w:color="auto" w:fill="auto"/>
          </w:tcPr>
          <w:p w14:paraId="5F223F6A" w14:textId="48871938" w:rsidR="004F17FA" w:rsidRPr="00314B04" w:rsidRDefault="004F17FA" w:rsidP="001457E1">
            <w:pPr>
              <w:rPr>
                <w:b/>
                <w:bCs/>
              </w:rPr>
            </w:pPr>
            <w:r w:rsidRPr="00314B04">
              <w:rPr>
                <w:b/>
                <w:bCs/>
              </w:rPr>
              <w:t>Public Duties</w:t>
            </w:r>
          </w:p>
        </w:tc>
        <w:tc>
          <w:tcPr>
            <w:tcW w:w="6663" w:type="dxa"/>
            <w:shd w:val="clear" w:color="auto" w:fill="auto"/>
          </w:tcPr>
          <w:p w14:paraId="5ED63073" w14:textId="0624CE05" w:rsidR="004F17FA" w:rsidRDefault="004F17FA" w:rsidP="004F17FA">
            <w:r>
              <w:t>In the interpretation of this policy the following appointments will be defined as “public duties”:</w:t>
            </w:r>
          </w:p>
          <w:p w14:paraId="5A0D8BC2" w14:textId="2041E5D3" w:rsidR="004F17FA" w:rsidRDefault="004F17FA" w:rsidP="00314B04">
            <w:pPr>
              <w:pStyle w:val="Textlist-letters"/>
            </w:pPr>
            <w:r>
              <w:t>A justice of the peace</w:t>
            </w:r>
          </w:p>
          <w:p w14:paraId="54B78577" w14:textId="64C0682A" w:rsidR="004F17FA" w:rsidRDefault="004F17FA" w:rsidP="00314B04">
            <w:pPr>
              <w:pStyle w:val="Textlist-letters"/>
            </w:pPr>
            <w:r>
              <w:t>A member of a local authority</w:t>
            </w:r>
          </w:p>
          <w:p w14:paraId="1F8806F7" w14:textId="0BF7603E" w:rsidR="004F17FA" w:rsidRDefault="004F17FA" w:rsidP="00314B04">
            <w:pPr>
              <w:pStyle w:val="Textlist-letters"/>
            </w:pPr>
            <w:r>
              <w:t>A member of a statutory tribunal</w:t>
            </w:r>
          </w:p>
          <w:p w14:paraId="407FF850" w14:textId="5FC0F62D" w:rsidR="004F17FA" w:rsidRDefault="004F17FA" w:rsidP="00314B04">
            <w:pPr>
              <w:pStyle w:val="Textlist-letters"/>
            </w:pPr>
            <w:r>
              <w:t>A member of a health authority, family practitioner committee or, in Scotland, a health board</w:t>
            </w:r>
          </w:p>
          <w:p w14:paraId="0865F2F4" w14:textId="08D5B61F" w:rsidR="004F17FA" w:rsidRDefault="004F17FA" w:rsidP="00314B04">
            <w:pPr>
              <w:pStyle w:val="Textlist-letters"/>
            </w:pPr>
            <w:r>
              <w:t>A member of a managing or governing body of a school or college maintained by a local education authority or grant maintained establishment, central institution, or college of education in Scotland</w:t>
            </w:r>
          </w:p>
          <w:p w14:paraId="4A261E9B" w14:textId="03DE2BC7" w:rsidR="004F17FA" w:rsidRDefault="004F17FA" w:rsidP="00314B04">
            <w:pPr>
              <w:pStyle w:val="Textlist-letters"/>
            </w:pPr>
            <w:r>
              <w:t>Members of the governing bodies of higher education authorities,</w:t>
            </w:r>
          </w:p>
          <w:p w14:paraId="33710158" w14:textId="6C8F567D" w:rsidR="004F17FA" w:rsidRDefault="004F17FA" w:rsidP="00314B04">
            <w:pPr>
              <w:pStyle w:val="Textlist-letters"/>
            </w:pPr>
            <w:r>
              <w:t>School boards, or the boards of management of self-governing schools</w:t>
            </w:r>
          </w:p>
          <w:p w14:paraId="114D4910" w14:textId="60A479C0" w:rsidR="004F17FA" w:rsidRDefault="004F17FA" w:rsidP="00314B04">
            <w:pPr>
              <w:pStyle w:val="Textlist-letters"/>
            </w:pPr>
            <w:r>
              <w:t xml:space="preserve">A member of the environment agency or the Scottish environment protection agency </w:t>
            </w:r>
          </w:p>
          <w:p w14:paraId="5CF8B836" w14:textId="4050A89E" w:rsidR="004F17FA" w:rsidRDefault="004F17FA" w:rsidP="00314B04">
            <w:pPr>
              <w:pStyle w:val="Textlist-letters"/>
            </w:pPr>
            <w:r>
              <w:t>A member of a board’s authority</w:t>
            </w:r>
          </w:p>
          <w:p w14:paraId="4CBFE1CF" w14:textId="45E95288" w:rsidR="004F17FA" w:rsidRDefault="004F17FA" w:rsidP="00314B04">
            <w:pPr>
              <w:pStyle w:val="Textlist-letters"/>
            </w:pPr>
            <w:r>
              <w:t>A member of a prison board of visitors or a prison visiting committee</w:t>
            </w:r>
          </w:p>
          <w:p w14:paraId="3FE7B2FA" w14:textId="38EB1075" w:rsidR="004F17FA" w:rsidRPr="004F17FA" w:rsidRDefault="004F17FA" w:rsidP="00314B04">
            <w:pPr>
              <w:pStyle w:val="Textlist-letters"/>
            </w:pPr>
            <w:r w:rsidRPr="004F17FA">
              <w:t>The service authority for the national criminal intelligence service or the service authority for the national crime squad.</w:t>
            </w:r>
          </w:p>
        </w:tc>
      </w:tr>
    </w:tbl>
    <w:p w14:paraId="2DCB35D3" w14:textId="77777777" w:rsidR="008D6213" w:rsidRDefault="008D6213" w:rsidP="00903AA2">
      <w:pPr>
        <w:rPr>
          <w:rFonts w:cs="Arial"/>
          <w:spacing w:val="7"/>
        </w:rPr>
      </w:pPr>
    </w:p>
    <w:p w14:paraId="7C65E9DA" w14:textId="599AE9F2" w:rsidR="00BB0D11" w:rsidRDefault="00BB0D11" w:rsidP="00BB0D11">
      <w:pPr>
        <w:pStyle w:val="Heading1Numbered"/>
      </w:pPr>
      <w:bookmarkStart w:id="9" w:name="_Toc161313020"/>
      <w:r>
        <w:t>Bereavement Leave</w:t>
      </w:r>
      <w:bookmarkEnd w:id="9"/>
    </w:p>
    <w:p w14:paraId="6CC94156" w14:textId="509752C8" w:rsidR="00BB0D11" w:rsidRDefault="00BB0D11" w:rsidP="00BB0D11">
      <w:pPr>
        <w:pStyle w:val="Text1Numbered"/>
      </w:pPr>
      <w:r w:rsidRPr="001457E1">
        <w:t xml:space="preserve">MHA recognises that experiencing a </w:t>
      </w:r>
      <w:r w:rsidR="002A2D9E">
        <w:t xml:space="preserve">death </w:t>
      </w:r>
      <w:r w:rsidRPr="001457E1">
        <w:t>is a very difficult period for colleagues and can be very distressing.</w:t>
      </w:r>
      <w:r>
        <w:t xml:space="preserve"> </w:t>
      </w:r>
      <w:r w:rsidRPr="001457E1">
        <w:t>MHA encourage colleagues to discuss any bereavement with their line manager to enable support to be offered</w:t>
      </w:r>
      <w:r w:rsidR="0064309F" w:rsidRPr="001457E1">
        <w:t xml:space="preserve">. </w:t>
      </w:r>
      <w:r w:rsidRPr="001457E1">
        <w:t xml:space="preserve">The formal request for leave must be agreed with the Home / Scheme / Department </w:t>
      </w:r>
      <w:r w:rsidR="00B40F6A">
        <w:t xml:space="preserve">or equivalent </w:t>
      </w:r>
      <w:r w:rsidRPr="001457E1">
        <w:t>Manager.</w:t>
      </w:r>
    </w:p>
    <w:p w14:paraId="7FDC64DE" w14:textId="77777777" w:rsidR="00BB0D11" w:rsidRPr="001457E1" w:rsidRDefault="00BB0D11" w:rsidP="00BB0D11">
      <w:pPr>
        <w:pStyle w:val="Text1Numbered"/>
        <w:numPr>
          <w:ilvl w:val="0"/>
          <w:numId w:val="0"/>
        </w:numPr>
        <w:ind w:left="1135"/>
      </w:pPr>
    </w:p>
    <w:p w14:paraId="451696C1" w14:textId="529627A5" w:rsidR="00BB0D11" w:rsidRDefault="00BB0D11" w:rsidP="00BB0D11">
      <w:pPr>
        <w:pStyle w:val="Text1Numbered"/>
      </w:pPr>
      <w:r w:rsidRPr="001457E1">
        <w:t>Consideration must always be given to any cultural and or religious requirements in the application of this policy.</w:t>
      </w:r>
    </w:p>
    <w:p w14:paraId="586BD253" w14:textId="77777777" w:rsidR="00061AF9" w:rsidRDefault="00061AF9" w:rsidP="00061AF9">
      <w:pPr>
        <w:pStyle w:val="Text1Numbered"/>
        <w:numPr>
          <w:ilvl w:val="0"/>
          <w:numId w:val="0"/>
        </w:numPr>
      </w:pPr>
    </w:p>
    <w:p w14:paraId="017B6BBF" w14:textId="7FD765ED" w:rsidR="004D237B" w:rsidRDefault="004D237B" w:rsidP="00BB0D11">
      <w:pPr>
        <w:pStyle w:val="Text1Numbered"/>
      </w:pPr>
      <w:r>
        <w:t xml:space="preserve">Consideration should also be given </w:t>
      </w:r>
      <w:r w:rsidRPr="00061AF9">
        <w:t>where a</w:t>
      </w:r>
      <w:r>
        <w:t xml:space="preserve"> colleagues </w:t>
      </w:r>
      <w:r w:rsidRPr="00061AF9">
        <w:t>immediate relative dies abroad and</w:t>
      </w:r>
      <w:r>
        <w:t xml:space="preserve"> are required </w:t>
      </w:r>
      <w:r w:rsidRPr="00061AF9">
        <w:t>to take charge of the funeral arrangements.</w:t>
      </w:r>
    </w:p>
    <w:p w14:paraId="254A886E" w14:textId="77777777" w:rsidR="002A2D9E" w:rsidRDefault="002A2D9E" w:rsidP="002A2D9E">
      <w:pPr>
        <w:pStyle w:val="Text1Numbered"/>
        <w:numPr>
          <w:ilvl w:val="0"/>
          <w:numId w:val="0"/>
        </w:numPr>
      </w:pPr>
    </w:p>
    <w:p w14:paraId="1625870B" w14:textId="77777777" w:rsidR="00BB0D11" w:rsidRPr="00061AF9" w:rsidRDefault="00BB0D11" w:rsidP="002A2D9E">
      <w:pPr>
        <w:pStyle w:val="Text1Numbered"/>
      </w:pPr>
      <w:r w:rsidRPr="00061AF9">
        <w:t>For anyone suffering bereavement the following entitlements will apply:</w:t>
      </w:r>
    </w:p>
    <w:p w14:paraId="38BA7675" w14:textId="01532464" w:rsidR="00BB0D11" w:rsidRDefault="00BB0D11" w:rsidP="00BB0D11">
      <w:pPr>
        <w:pStyle w:val="Textlistindented-bullet"/>
      </w:pPr>
      <w:r>
        <w:t xml:space="preserve">Up to one </w:t>
      </w:r>
      <w:r w:rsidR="00B63214">
        <w:t xml:space="preserve">working </w:t>
      </w:r>
      <w:r>
        <w:t xml:space="preserve">weeks’ paid leave will be granted for the </w:t>
      </w:r>
      <w:r w:rsidR="002A2D9E">
        <w:t>death</w:t>
      </w:r>
      <w:r>
        <w:t xml:space="preserve"> of a spouse, partner, sibling, or parent</w:t>
      </w:r>
      <w:r w:rsidR="0064309F">
        <w:t xml:space="preserve">. </w:t>
      </w:r>
      <w:r>
        <w:t xml:space="preserve">This week can be taken as a whole week or individual </w:t>
      </w:r>
      <w:r w:rsidR="002A2D9E">
        <w:t>days. This</w:t>
      </w:r>
      <w:r>
        <w:t xml:space="preserve"> period should include time for the funeral.</w:t>
      </w:r>
    </w:p>
    <w:p w14:paraId="645F2897" w14:textId="657BB783" w:rsidR="00BB0D11" w:rsidRDefault="00BB0D11" w:rsidP="00BB0D11">
      <w:pPr>
        <w:pStyle w:val="Textlistindented-bullet"/>
      </w:pPr>
      <w:r>
        <w:t xml:space="preserve">One days paid leave for the </w:t>
      </w:r>
      <w:r w:rsidR="002A2D9E">
        <w:t xml:space="preserve">death </w:t>
      </w:r>
      <w:r>
        <w:t>of other relatives.</w:t>
      </w:r>
      <w:r w:rsidR="00DF72E6" w:rsidRPr="00DF72E6">
        <w:t xml:space="preserve"> </w:t>
      </w:r>
      <w:r w:rsidR="00DF72E6">
        <w:t xml:space="preserve">This may be extended to up to a week if there are </w:t>
      </w:r>
      <w:r w:rsidR="004D237B">
        <w:t xml:space="preserve">relevant </w:t>
      </w:r>
      <w:r w:rsidR="00DF72E6">
        <w:t xml:space="preserve">circumstances that support that. </w:t>
      </w:r>
      <w:r w:rsidR="004D237B">
        <w:t>For further advice please contact the HR team</w:t>
      </w:r>
      <w:r w:rsidR="0064309F">
        <w:t xml:space="preserve">. </w:t>
      </w:r>
    </w:p>
    <w:p w14:paraId="31A50AA3" w14:textId="51718681" w:rsidR="00BB0D11" w:rsidRDefault="00BB0D11" w:rsidP="00BB0D11">
      <w:pPr>
        <w:pStyle w:val="Textlistindented-bullet"/>
      </w:pPr>
      <w:r>
        <w:t>Additional time off, without pay, will be considered depending on the individual circumstance</w:t>
      </w:r>
      <w:r w:rsidR="0064309F">
        <w:t xml:space="preserve">. </w:t>
      </w:r>
    </w:p>
    <w:p w14:paraId="2395EAA1" w14:textId="77777777" w:rsidR="00BB0D11" w:rsidRPr="001457E1" w:rsidRDefault="00BB0D11" w:rsidP="00BB0D11">
      <w:pPr>
        <w:pStyle w:val="Text1Numbered"/>
        <w:rPr>
          <w:b/>
          <w:bCs/>
        </w:rPr>
      </w:pPr>
      <w:r w:rsidRPr="001457E1">
        <w:rPr>
          <w:b/>
          <w:bCs/>
        </w:rPr>
        <w:t>Parental Bereavement Leave</w:t>
      </w:r>
    </w:p>
    <w:p w14:paraId="4956ED0B" w14:textId="7CAE9E43" w:rsidR="00BB0D11" w:rsidRDefault="00BB0D11" w:rsidP="00BB0D11">
      <w:pPr>
        <w:pStyle w:val="Text2Numbered"/>
      </w:pPr>
      <w:r>
        <w:t xml:space="preserve">For those colleagues </w:t>
      </w:r>
      <w:r w:rsidR="00DF72E6">
        <w:t xml:space="preserve">with parental responsibility (including foster, </w:t>
      </w:r>
      <w:r w:rsidR="0064309F">
        <w:t>guardians,</w:t>
      </w:r>
      <w:r w:rsidR="00DF72E6">
        <w:t xml:space="preserve"> and adoptive pa</w:t>
      </w:r>
      <w:r w:rsidR="005B5DDA">
        <w:t>rent</w:t>
      </w:r>
      <w:r w:rsidR="00DF72E6">
        <w:t xml:space="preserve">) </w:t>
      </w:r>
      <w:r>
        <w:t xml:space="preserve">who suffer the distressing </w:t>
      </w:r>
      <w:r w:rsidR="002A2D9E">
        <w:t>death</w:t>
      </w:r>
      <w:r>
        <w:t xml:space="preserve"> of a child under 18, or a stillbirth after 24 weeks or more of pregnancy, the</w:t>
      </w:r>
      <w:r w:rsidR="005B5DDA">
        <w:t xml:space="preserve">y are entitled to two weeks leave and pay. </w:t>
      </w:r>
    </w:p>
    <w:p w14:paraId="26D08E92" w14:textId="77777777" w:rsidR="00BB0D11" w:rsidRDefault="00BB0D11" w:rsidP="00BB0D11">
      <w:pPr>
        <w:pStyle w:val="Text2Numbered"/>
        <w:numPr>
          <w:ilvl w:val="0"/>
          <w:numId w:val="0"/>
        </w:numPr>
        <w:ind w:left="1135"/>
      </w:pPr>
    </w:p>
    <w:p w14:paraId="4C327C00" w14:textId="01E5A33A" w:rsidR="00BB0D11" w:rsidRDefault="00BB0D11" w:rsidP="00BB0D11">
      <w:pPr>
        <w:pStyle w:val="Text2Numbered"/>
      </w:pPr>
      <w:r>
        <w:t xml:space="preserve">The two weeks do not have to be taken together but can only be taken as whole weeks. The two weeks must be taken within 56 weeks of the </w:t>
      </w:r>
      <w:r w:rsidR="002A2D9E">
        <w:t xml:space="preserve">death </w:t>
      </w:r>
      <w:r>
        <w:t>of the child. Payment will be made based on contracted hours per week.</w:t>
      </w:r>
    </w:p>
    <w:p w14:paraId="47CBEDDC" w14:textId="77777777" w:rsidR="00BB0D11" w:rsidRDefault="00BB0D11" w:rsidP="00BB0D11">
      <w:pPr>
        <w:pStyle w:val="Text2Numbered"/>
        <w:numPr>
          <w:ilvl w:val="0"/>
          <w:numId w:val="0"/>
        </w:numPr>
        <w:ind w:left="1135"/>
      </w:pPr>
    </w:p>
    <w:p w14:paraId="7570E3F1" w14:textId="100712E2" w:rsidR="00BB0D11" w:rsidRDefault="00BB0D11" w:rsidP="00BB0D11">
      <w:pPr>
        <w:pStyle w:val="Text2Numbered"/>
      </w:pPr>
      <w:r>
        <w:t>For the parents who suffer a still birth after 24 weeks of pregnancy they are also entitled to take their full entitlement to maternity and paternity leave subject to eligibility</w:t>
      </w:r>
      <w:r w:rsidR="0064309F">
        <w:t xml:space="preserve">. </w:t>
      </w:r>
      <w:r>
        <w:t>Parental bereavement leave cannot be taken at the same time as maternity or paternity leave.</w:t>
      </w:r>
    </w:p>
    <w:p w14:paraId="06E57849" w14:textId="77777777" w:rsidR="00BB0D11" w:rsidRDefault="00BB0D11" w:rsidP="00BB0D11">
      <w:pPr>
        <w:pStyle w:val="Text2Numbered"/>
        <w:numPr>
          <w:ilvl w:val="0"/>
          <w:numId w:val="0"/>
        </w:numPr>
        <w:ind w:left="1135"/>
      </w:pPr>
    </w:p>
    <w:p w14:paraId="099A1E71" w14:textId="2DAE33BF" w:rsidR="00061AF9" w:rsidRDefault="00BB0D11" w:rsidP="002A2D9E">
      <w:pPr>
        <w:pStyle w:val="Text2Numbered"/>
      </w:pPr>
      <w:r>
        <w:t>Where more than one child dies or is stillborn, colleagues are entitled to two weeks of parental bereavement leave in relation to each child.</w:t>
      </w:r>
    </w:p>
    <w:p w14:paraId="27A7A737" w14:textId="77777777" w:rsidR="002A2D9E" w:rsidRDefault="002A2D9E" w:rsidP="002A2D9E">
      <w:pPr>
        <w:pStyle w:val="Text2Numbered"/>
        <w:numPr>
          <w:ilvl w:val="0"/>
          <w:numId w:val="0"/>
        </w:numPr>
      </w:pPr>
    </w:p>
    <w:p w14:paraId="5F502A24" w14:textId="2295957B" w:rsidR="00061AF9" w:rsidRDefault="00873E7A" w:rsidP="002A2D9E">
      <w:pPr>
        <w:pStyle w:val="Text2Numbered"/>
      </w:pPr>
      <w:r w:rsidRPr="00061AF9">
        <w:t xml:space="preserve">Notice of the intention to take Parental Bereavement Leave within the first 56 days </w:t>
      </w:r>
      <w:r w:rsidR="00AC0E0F" w:rsidRPr="00061AF9">
        <w:t xml:space="preserve">(8 weeks) </w:t>
      </w:r>
      <w:r w:rsidRPr="00061AF9">
        <w:t xml:space="preserve">of the </w:t>
      </w:r>
      <w:r w:rsidR="002A2D9E">
        <w:t xml:space="preserve">death </w:t>
      </w:r>
      <w:r w:rsidRPr="00061AF9">
        <w:t>must be given before the start of the shift on which the Bereavement Leave begins</w:t>
      </w:r>
      <w:r w:rsidR="0064309F" w:rsidRPr="00061AF9">
        <w:t xml:space="preserve">. </w:t>
      </w:r>
    </w:p>
    <w:p w14:paraId="70597570" w14:textId="77777777" w:rsidR="002A2D9E" w:rsidRPr="00061AF9" w:rsidRDefault="002A2D9E" w:rsidP="002A2D9E">
      <w:pPr>
        <w:pStyle w:val="Text2Numbered"/>
        <w:numPr>
          <w:ilvl w:val="0"/>
          <w:numId w:val="0"/>
        </w:numPr>
      </w:pPr>
    </w:p>
    <w:p w14:paraId="369C7453" w14:textId="5EB403AC" w:rsidR="00061AF9" w:rsidRPr="00061AF9" w:rsidRDefault="00873E7A" w:rsidP="002A2D9E">
      <w:pPr>
        <w:pStyle w:val="Text2Numbered"/>
      </w:pPr>
      <w:r w:rsidRPr="00061AF9">
        <w:t xml:space="preserve">Notice of the intention to take Bereavement Leave after the first 56 days </w:t>
      </w:r>
      <w:r w:rsidR="00AC0E0F" w:rsidRPr="00061AF9">
        <w:t xml:space="preserve">(8 weeks) </w:t>
      </w:r>
      <w:r w:rsidRPr="00061AF9">
        <w:t xml:space="preserve">of the </w:t>
      </w:r>
      <w:r w:rsidR="002A2D9E">
        <w:t xml:space="preserve">death </w:t>
      </w:r>
      <w:r w:rsidRPr="00061AF9">
        <w:t>must be given one week before the leave starts.</w:t>
      </w:r>
    </w:p>
    <w:p w14:paraId="33235255" w14:textId="6C7D8B9D" w:rsidR="00873E7A" w:rsidRPr="00061AF9" w:rsidRDefault="00873E7A" w:rsidP="00061AF9">
      <w:pPr>
        <w:pStyle w:val="Text2Numbered"/>
        <w:numPr>
          <w:ilvl w:val="0"/>
          <w:numId w:val="0"/>
        </w:numPr>
        <w:ind w:left="1135"/>
      </w:pPr>
      <w:r w:rsidRPr="00061AF9">
        <w:t>Colleagues should confirm:</w:t>
      </w:r>
    </w:p>
    <w:p w14:paraId="25D27D7A" w14:textId="3FFEB11D" w:rsidR="00873E7A" w:rsidRPr="00061AF9" w:rsidRDefault="00873E7A" w:rsidP="00873E7A">
      <w:pPr>
        <w:pStyle w:val="ListParagraph"/>
        <w:numPr>
          <w:ilvl w:val="0"/>
          <w:numId w:val="38"/>
        </w:numPr>
        <w:spacing w:line="276" w:lineRule="auto"/>
        <w:jc w:val="both"/>
      </w:pPr>
      <w:r w:rsidRPr="00061AF9">
        <w:t xml:space="preserve">the date of the </w:t>
      </w:r>
      <w:r w:rsidR="002A2D9E" w:rsidRPr="00061AF9">
        <w:t>child</w:t>
      </w:r>
      <w:r w:rsidR="002A2D9E">
        <w:t>’s</w:t>
      </w:r>
      <w:r w:rsidRPr="00061AF9">
        <w:t xml:space="preserve"> </w:t>
      </w:r>
      <w:r w:rsidR="002A2D9E">
        <w:t>death</w:t>
      </w:r>
    </w:p>
    <w:p w14:paraId="2363ADD6" w14:textId="6B49580D" w:rsidR="00061AF9" w:rsidRPr="00061AF9" w:rsidRDefault="00873E7A" w:rsidP="00873E7A">
      <w:pPr>
        <w:pStyle w:val="ListParagraph"/>
        <w:numPr>
          <w:ilvl w:val="0"/>
          <w:numId w:val="38"/>
        </w:numPr>
        <w:spacing w:line="276" w:lineRule="auto"/>
        <w:jc w:val="both"/>
      </w:pPr>
      <w:r w:rsidRPr="00061AF9">
        <w:t xml:space="preserve">when the Parental Bereavement Leave begins </w:t>
      </w:r>
    </w:p>
    <w:p w14:paraId="1339ED20" w14:textId="6E6347EE" w:rsidR="00873E7A" w:rsidRDefault="00873E7A" w:rsidP="00061AF9">
      <w:pPr>
        <w:pStyle w:val="ListParagraph"/>
        <w:numPr>
          <w:ilvl w:val="0"/>
          <w:numId w:val="38"/>
        </w:numPr>
        <w:spacing w:line="276" w:lineRule="auto"/>
        <w:jc w:val="both"/>
      </w:pPr>
      <w:r w:rsidRPr="00061AF9">
        <w:t>whether they are taking one or two working weeks on this occasion</w:t>
      </w:r>
    </w:p>
    <w:p w14:paraId="4D4A4A6A" w14:textId="77777777" w:rsidR="00061AF9" w:rsidRDefault="00061AF9" w:rsidP="00061AF9">
      <w:pPr>
        <w:pStyle w:val="ListParagraph"/>
        <w:spacing w:line="276" w:lineRule="auto"/>
        <w:ind w:left="360"/>
        <w:jc w:val="both"/>
      </w:pPr>
    </w:p>
    <w:p w14:paraId="3E7DE520" w14:textId="77777777" w:rsidR="00873E7A" w:rsidRPr="00061AF9" w:rsidRDefault="00873E7A" w:rsidP="002A2D9E">
      <w:pPr>
        <w:pStyle w:val="Text2Numbered"/>
      </w:pPr>
      <w:r w:rsidRPr="00061AF9">
        <w:t>The leave can be cancelled using the above notice periods so long as the leave has not already started.</w:t>
      </w:r>
    </w:p>
    <w:p w14:paraId="7378A89D" w14:textId="77777777" w:rsidR="005B5DDA" w:rsidRDefault="005B5DDA" w:rsidP="00061AF9">
      <w:pPr>
        <w:pStyle w:val="Text2Numbered"/>
        <w:numPr>
          <w:ilvl w:val="0"/>
          <w:numId w:val="0"/>
        </w:numPr>
      </w:pPr>
    </w:p>
    <w:p w14:paraId="2A3FDFF0" w14:textId="3FA5BB17" w:rsidR="00DF72E6" w:rsidRDefault="00DF72E6" w:rsidP="00BB0D11">
      <w:pPr>
        <w:pStyle w:val="Text2Numbered"/>
      </w:pPr>
      <w:r>
        <w:t xml:space="preserve">For more information and support related to </w:t>
      </w:r>
      <w:r w:rsidR="002A2D9E">
        <w:t xml:space="preserve">death </w:t>
      </w:r>
      <w:r>
        <w:t>of a baby during pregnancy please see HR</w:t>
      </w:r>
      <w:r w:rsidR="00A57609">
        <w:t>7.3</w:t>
      </w:r>
      <w:r>
        <w:t xml:space="preserve"> Parental Leave policy. </w:t>
      </w:r>
    </w:p>
    <w:p w14:paraId="11AFDDE6" w14:textId="77777777" w:rsidR="00BB0D11" w:rsidRDefault="00BB0D11" w:rsidP="00BB0D11">
      <w:pPr>
        <w:pStyle w:val="Heading1Numbered"/>
      </w:pPr>
      <w:bookmarkStart w:id="10" w:name="_Toc161313021"/>
      <w:r>
        <w:t>Family and Domestic Crisis Leave</w:t>
      </w:r>
      <w:bookmarkEnd w:id="10"/>
    </w:p>
    <w:p w14:paraId="22E07F32" w14:textId="6F681163" w:rsidR="00BB0D11" w:rsidRPr="00AB4251" w:rsidRDefault="00BB0D11" w:rsidP="002A2D9E">
      <w:pPr>
        <w:pStyle w:val="Text1Numbered"/>
      </w:pPr>
      <w:r w:rsidRPr="00AB4251">
        <w:t xml:space="preserve">A colleague may require </w:t>
      </w:r>
      <w:r w:rsidR="00782957">
        <w:t xml:space="preserve">reasonable time off </w:t>
      </w:r>
      <w:r w:rsidR="00782957" w:rsidRPr="00AB4251">
        <w:t xml:space="preserve">in order to deal with emergency situations </w:t>
      </w:r>
      <w:r w:rsidR="00782957">
        <w:t xml:space="preserve">in relation to a </w:t>
      </w:r>
      <w:r w:rsidRPr="00AB4251">
        <w:t>family/domestic crisis .  For example:</w:t>
      </w:r>
    </w:p>
    <w:p w14:paraId="197C7550" w14:textId="77777777" w:rsidR="00BB0D11" w:rsidRDefault="00BB0D11" w:rsidP="00BB0D11">
      <w:pPr>
        <w:pStyle w:val="Textlistindented-bullet"/>
      </w:pPr>
      <w:r>
        <w:t>Serious illness of a close relative</w:t>
      </w:r>
    </w:p>
    <w:p w14:paraId="56AD30DD" w14:textId="77777777" w:rsidR="00BB0D11" w:rsidRDefault="00BB0D11" w:rsidP="00BB0D11">
      <w:pPr>
        <w:pStyle w:val="Textlistindented-bullet"/>
      </w:pPr>
      <w:r>
        <w:t>Sudden illness of a person for whom the colleague has caring responsibilities</w:t>
      </w:r>
    </w:p>
    <w:p w14:paraId="4D386DF8" w14:textId="77777777" w:rsidR="00BB0D11" w:rsidRDefault="00BB0D11" w:rsidP="00BB0D11">
      <w:pPr>
        <w:pStyle w:val="Textlistindented-bullet"/>
      </w:pPr>
      <w:r>
        <w:t>Where the colleague has to make arrangement for the provision of care for a dependant who is ill or injured or because of the unexpected disruption of arrangements already in place to care for the dependant</w:t>
      </w:r>
    </w:p>
    <w:p w14:paraId="08DF9B37" w14:textId="77777777" w:rsidR="00BB0D11" w:rsidRDefault="00BB0D11" w:rsidP="00BB0D11">
      <w:pPr>
        <w:pStyle w:val="Textlistindented-bullet"/>
      </w:pPr>
      <w:r>
        <w:t>To deal with an incident which involves a child of the colleague, and which occurs unexpectedly whilst the child is at school</w:t>
      </w:r>
    </w:p>
    <w:p w14:paraId="05523179" w14:textId="77777777" w:rsidR="00BB0D11" w:rsidRDefault="00BB0D11" w:rsidP="00BB0D11">
      <w:pPr>
        <w:pStyle w:val="Textlistindented-bullet"/>
      </w:pPr>
      <w:r>
        <w:t>Domestic emergency requiring urgent attendance e.g., Flood, fire, burglary.</w:t>
      </w:r>
    </w:p>
    <w:p w14:paraId="3D40B40B" w14:textId="77777777" w:rsidR="00BB0D11" w:rsidRDefault="00BB0D11" w:rsidP="002A2D9E">
      <w:pPr>
        <w:pStyle w:val="Text1Numbered"/>
      </w:pPr>
      <w:r>
        <w:t>This list is not exhaustive, and consideration may be given to granting family / domestic leave in other circumstances.</w:t>
      </w:r>
    </w:p>
    <w:p w14:paraId="336F4797" w14:textId="77777777" w:rsidR="002A2D9E" w:rsidRDefault="002A2D9E" w:rsidP="002A2D9E">
      <w:pPr>
        <w:pStyle w:val="Text1Numbered"/>
        <w:numPr>
          <w:ilvl w:val="0"/>
          <w:numId w:val="0"/>
        </w:numPr>
        <w:ind w:left="1135"/>
      </w:pPr>
    </w:p>
    <w:p w14:paraId="3BF43D55" w14:textId="140F8BB4" w:rsidR="00BB0D11" w:rsidRDefault="00BB0D11" w:rsidP="002A2D9E">
      <w:pPr>
        <w:pStyle w:val="Text1Numbered"/>
      </w:pPr>
      <w:r>
        <w:t>A dependant is defined as a colleague’s spouse, child or parent, a person who lives in the same household as the colleague (other than a tenant or boarder) or can be any person who reasonably relies on the colleague to make such arrangements on their behalf.</w:t>
      </w:r>
    </w:p>
    <w:p w14:paraId="23E1BF6C" w14:textId="77777777" w:rsidR="00BB0D11" w:rsidRDefault="00BB0D11" w:rsidP="002A2D9E">
      <w:pPr>
        <w:pStyle w:val="Text1Numbered"/>
        <w:numPr>
          <w:ilvl w:val="0"/>
          <w:numId w:val="0"/>
        </w:numPr>
        <w:ind w:left="1135"/>
      </w:pPr>
    </w:p>
    <w:p w14:paraId="26794809" w14:textId="77777777" w:rsidR="00BB0D11" w:rsidRDefault="00BB0D11" w:rsidP="002A2D9E">
      <w:pPr>
        <w:pStyle w:val="Text1Numbered"/>
      </w:pPr>
      <w:r>
        <w:t xml:space="preserve">On occasions where a colleague knows in advance that a family / domestic situation may arise, the colleagues is expected to make contingency plans, where possible. In these situations, family / domestic crisis leave would not normally be granted. </w:t>
      </w:r>
    </w:p>
    <w:p w14:paraId="15CD44C8" w14:textId="77777777" w:rsidR="00BB0D11" w:rsidRDefault="00BB0D11" w:rsidP="002A2D9E">
      <w:pPr>
        <w:pStyle w:val="Text1Numbered"/>
        <w:numPr>
          <w:ilvl w:val="0"/>
          <w:numId w:val="0"/>
        </w:numPr>
        <w:ind w:left="1135"/>
      </w:pPr>
    </w:p>
    <w:p w14:paraId="7ED47961" w14:textId="1E88BD9E" w:rsidR="00BB0D11" w:rsidRDefault="00BB0D11" w:rsidP="002A2D9E">
      <w:pPr>
        <w:pStyle w:val="Text1Numbered"/>
      </w:pPr>
      <w:r>
        <w:t>In cases of an unexpected family / domestic crisis or emergency, colleagues may be granted up to one working week with pay per annum</w:t>
      </w:r>
      <w:r w:rsidR="0064309F">
        <w:t xml:space="preserve">. </w:t>
      </w:r>
      <w:r>
        <w:t>However, this should only be used to allow the colleague to make necessary arrangements to deal with the emergency</w:t>
      </w:r>
      <w:r w:rsidR="0064309F">
        <w:t xml:space="preserve">. </w:t>
      </w:r>
      <w:r>
        <w:t>For example, the sudden illness of a child would normally result in only the first day being given as special leave to give time to organise alternative childcare arrangements</w:t>
      </w:r>
      <w:r w:rsidR="0064309F">
        <w:t xml:space="preserve">. </w:t>
      </w:r>
    </w:p>
    <w:p w14:paraId="38417E71" w14:textId="77777777" w:rsidR="00BB0D11" w:rsidRDefault="00BB0D11" w:rsidP="002A2D9E">
      <w:pPr>
        <w:pStyle w:val="Text1Numbered"/>
        <w:numPr>
          <w:ilvl w:val="0"/>
          <w:numId w:val="0"/>
        </w:numPr>
        <w:ind w:left="1135"/>
      </w:pPr>
    </w:p>
    <w:p w14:paraId="439C86CC" w14:textId="4EDA9CF1" w:rsidR="00BB0D11" w:rsidRDefault="00BB0D11" w:rsidP="002A2D9E">
      <w:pPr>
        <w:pStyle w:val="Text1Numbered"/>
      </w:pPr>
      <w:r>
        <w:t>Consideration will be given to colleagues requiring additional leave for exceptional reasons</w:t>
      </w:r>
      <w:r w:rsidR="0064309F">
        <w:t xml:space="preserve">. </w:t>
      </w:r>
      <w:r>
        <w:t>Where appropriate, additional time off without pay may be considered but this must be approved by an Area Manager or equivalent.</w:t>
      </w:r>
    </w:p>
    <w:p w14:paraId="66EC2077" w14:textId="77777777" w:rsidR="00BB0D11" w:rsidRDefault="00BB0D11" w:rsidP="002A2D9E">
      <w:pPr>
        <w:pStyle w:val="Text1Numbered"/>
        <w:numPr>
          <w:ilvl w:val="0"/>
          <w:numId w:val="0"/>
        </w:numPr>
        <w:ind w:left="1135"/>
      </w:pPr>
    </w:p>
    <w:p w14:paraId="0BA665B4" w14:textId="77777777" w:rsidR="00BB0D11" w:rsidRDefault="00BB0D11" w:rsidP="002A2D9E">
      <w:pPr>
        <w:pStyle w:val="Text1Numbered"/>
      </w:pPr>
      <w:r>
        <w:t xml:space="preserve">Where appropriate, and in exceptional circumstances only and at the discretion of senior management additional time off with pay may be considered up to a maximum of 6 working weeks but this must be explicitly approved by the Chief Executive and the Director of People and Corporate Services. </w:t>
      </w:r>
    </w:p>
    <w:p w14:paraId="774A0345" w14:textId="26FABF73" w:rsidR="00AB4251" w:rsidRDefault="00AB4251" w:rsidP="00AB4251">
      <w:pPr>
        <w:pStyle w:val="Heading1Numbered"/>
      </w:pPr>
      <w:bookmarkStart w:id="11" w:name="_Toc161313022"/>
      <w:r>
        <w:t>Medical, Dental, and Hospital Appointments</w:t>
      </w:r>
      <w:r w:rsidR="004F17FA">
        <w:t xml:space="preserve"> Leave</w:t>
      </w:r>
      <w:bookmarkEnd w:id="11"/>
    </w:p>
    <w:p w14:paraId="5760DF08" w14:textId="7D93B9DE" w:rsidR="00C33A30" w:rsidRDefault="00C33A30" w:rsidP="00AB4251">
      <w:pPr>
        <w:pStyle w:val="Text1Numbered"/>
      </w:pPr>
      <w:r>
        <w:t>Examples of medical, dental, and hospital appointments leave may include:</w:t>
      </w:r>
    </w:p>
    <w:p w14:paraId="74CA6259" w14:textId="4B3DA6A7" w:rsidR="00C33A30" w:rsidRDefault="00C33A30" w:rsidP="00C33A30">
      <w:pPr>
        <w:pStyle w:val="Textlistindented-bullet"/>
      </w:pPr>
      <w:r>
        <w:t>Doctors’ appointments and treatment</w:t>
      </w:r>
    </w:p>
    <w:p w14:paraId="4F73B3EC" w14:textId="46E700A0" w:rsidR="00C33A30" w:rsidRDefault="00C33A30" w:rsidP="00C33A30">
      <w:pPr>
        <w:pStyle w:val="Textlistindented-bullet"/>
      </w:pPr>
      <w:r>
        <w:t>Dentist appointments and treatment</w:t>
      </w:r>
    </w:p>
    <w:p w14:paraId="3822CA48" w14:textId="34FAFBB4" w:rsidR="00C33A30" w:rsidRPr="000D29BF" w:rsidRDefault="00C33A30" w:rsidP="00C33A30">
      <w:pPr>
        <w:pStyle w:val="Textlistindented-bullet"/>
      </w:pPr>
      <w:r>
        <w:t xml:space="preserve">Hospital appointments </w:t>
      </w:r>
      <w:r w:rsidRPr="000D29BF">
        <w:t>and treatment</w:t>
      </w:r>
    </w:p>
    <w:p w14:paraId="6D6C777C" w14:textId="1CEC5289" w:rsidR="00AB4251" w:rsidRDefault="000D29BF" w:rsidP="00AB4251">
      <w:pPr>
        <w:pStyle w:val="Text1Numbered"/>
      </w:pPr>
      <w:r>
        <w:t>Wherever possible, c</w:t>
      </w:r>
      <w:r w:rsidR="00AB4251">
        <w:t>olleagues should arrange their medical, dental or hospital appointments outside normal working hours wherever possible</w:t>
      </w:r>
      <w:r w:rsidR="0064309F">
        <w:t xml:space="preserve">. </w:t>
      </w:r>
      <w:r w:rsidR="00AB4251">
        <w:t>For those working part-time or on a rota basis, time off for appointments will only be granted in an emergency</w:t>
      </w:r>
      <w:r w:rsidR="0064309F">
        <w:t xml:space="preserve">. </w:t>
      </w:r>
      <w:r w:rsidR="00AB4251">
        <w:t>For those working, when appointments cannot be made in an evening or on a Saturday, then they should be made at the beginning or end of the working day</w:t>
      </w:r>
      <w:r w:rsidR="0064309F">
        <w:t xml:space="preserve">. </w:t>
      </w:r>
      <w:r w:rsidR="00AB4251">
        <w:t xml:space="preserve">If </w:t>
      </w:r>
      <w:r w:rsidR="00314B04">
        <w:t>flexitime</w:t>
      </w:r>
      <w:r w:rsidR="00AB4251">
        <w:t xml:space="preserve"> is in operation, then time should be taken outside of core hours.</w:t>
      </w:r>
    </w:p>
    <w:p w14:paraId="7530AEFA" w14:textId="77777777" w:rsidR="00AB4251" w:rsidRDefault="00AB4251" w:rsidP="00AB4251">
      <w:pPr>
        <w:pStyle w:val="Text1Numbered"/>
        <w:numPr>
          <w:ilvl w:val="0"/>
          <w:numId w:val="0"/>
        </w:numPr>
        <w:ind w:left="1135"/>
      </w:pPr>
    </w:p>
    <w:p w14:paraId="67B5B26A" w14:textId="5825AA33" w:rsidR="00AB4251" w:rsidRDefault="00AB4251" w:rsidP="00AB4251">
      <w:pPr>
        <w:pStyle w:val="Text1Numbered"/>
      </w:pPr>
      <w:r>
        <w:t>Providing that the colleague notifies their manager in advance, time off for these appointments will be treated as paid time off</w:t>
      </w:r>
      <w:r w:rsidR="0064309F">
        <w:t xml:space="preserve">. </w:t>
      </w:r>
      <w:r>
        <w:t>In the unlikely event that the appointment lasts for more than half the day then it will be treated as sickness absence</w:t>
      </w:r>
      <w:r w:rsidR="0064309F">
        <w:t xml:space="preserve">. </w:t>
      </w:r>
      <w:r>
        <w:t xml:space="preserve">If </w:t>
      </w:r>
      <w:r w:rsidR="00C33A30">
        <w:t>flexitime</w:t>
      </w:r>
      <w:r>
        <w:t xml:space="preserve"> is in operation, then time should be taken outside of core hours.</w:t>
      </w:r>
    </w:p>
    <w:p w14:paraId="1D817C96" w14:textId="2ABF1F5C" w:rsidR="00AB4251" w:rsidRDefault="00AB4251" w:rsidP="00AB4251">
      <w:pPr>
        <w:pStyle w:val="Text1Numbered"/>
      </w:pPr>
      <w:r w:rsidRPr="00AB4251">
        <w:t>For outpatient appointments MHA reserves the right to request the submission of an appointment card and / or proof of attendance.</w:t>
      </w:r>
    </w:p>
    <w:p w14:paraId="3DE7EFB9" w14:textId="77777777" w:rsidR="002A2D9E" w:rsidRDefault="002A2D9E" w:rsidP="002A2D9E">
      <w:pPr>
        <w:pStyle w:val="Text1Numbered"/>
        <w:numPr>
          <w:ilvl w:val="0"/>
          <w:numId w:val="0"/>
        </w:numPr>
        <w:ind w:left="1135"/>
      </w:pPr>
    </w:p>
    <w:p w14:paraId="5200B86B" w14:textId="4F1A4578" w:rsidR="005B5DDA" w:rsidRPr="005B5DDA" w:rsidRDefault="005B5DDA" w:rsidP="005B5DDA">
      <w:pPr>
        <w:pStyle w:val="Text1Numbered"/>
      </w:pPr>
      <w:r>
        <w:t xml:space="preserve">For more information and support related to </w:t>
      </w:r>
      <w:r w:rsidRPr="005B5DDA">
        <w:t>In Vitro Fertilisation (IVF) and Other Fertilisation Treatments please see HR</w:t>
      </w:r>
      <w:r w:rsidR="00A57609">
        <w:t>7.3</w:t>
      </w:r>
      <w:r w:rsidRPr="005B5DDA">
        <w:t xml:space="preserve"> Parental Leave Policy. </w:t>
      </w:r>
    </w:p>
    <w:p w14:paraId="18438445" w14:textId="285CE7B2" w:rsidR="00BB0D11" w:rsidRPr="00061AF9" w:rsidRDefault="00BB0D11" w:rsidP="00BB0D11">
      <w:pPr>
        <w:pStyle w:val="Heading1Numbered"/>
      </w:pPr>
      <w:bookmarkStart w:id="12" w:name="_Toc159235418"/>
      <w:bookmarkStart w:id="13" w:name="_Toc161313023"/>
      <w:bookmarkEnd w:id="12"/>
      <w:r w:rsidRPr="00061AF9">
        <w:t>Carers Leave</w:t>
      </w:r>
      <w:bookmarkEnd w:id="13"/>
    </w:p>
    <w:p w14:paraId="058D3217" w14:textId="45A71B1C" w:rsidR="00061AF9" w:rsidRDefault="003D05C8" w:rsidP="00061AF9">
      <w:pPr>
        <w:pStyle w:val="Text1Numbered"/>
      </w:pPr>
      <w:r w:rsidRPr="00061AF9">
        <w:t xml:space="preserve">Carers </w:t>
      </w:r>
      <w:r w:rsidR="00A57609">
        <w:t>l</w:t>
      </w:r>
      <w:r w:rsidRPr="00061AF9">
        <w:t>eave</w:t>
      </w:r>
      <w:r w:rsidR="00E67375">
        <w:t xml:space="preserve"> is available to all </w:t>
      </w:r>
      <w:r w:rsidRPr="00061AF9">
        <w:t xml:space="preserve">colleagues </w:t>
      </w:r>
      <w:r w:rsidR="00E67375">
        <w:t>from their fi</w:t>
      </w:r>
      <w:r w:rsidR="00B36D21">
        <w:t>r</w:t>
      </w:r>
      <w:r w:rsidR="00E67375">
        <w:t xml:space="preserve">st day of employment. Colleagues </w:t>
      </w:r>
      <w:r w:rsidRPr="00061AF9">
        <w:t xml:space="preserve">can take up to one </w:t>
      </w:r>
      <w:r w:rsidR="00117F25">
        <w:t xml:space="preserve">working </w:t>
      </w:r>
      <w:r w:rsidRPr="00061AF9">
        <w:t xml:space="preserve">week of unpaid leave per </w:t>
      </w:r>
      <w:r w:rsidR="000D29BF" w:rsidRPr="00061AF9">
        <w:t xml:space="preserve">rolling </w:t>
      </w:r>
      <w:r w:rsidR="002A2D9E" w:rsidRPr="00061AF9">
        <w:t>12-month</w:t>
      </w:r>
      <w:r w:rsidR="000D29BF" w:rsidRPr="00061AF9">
        <w:t xml:space="preserve"> period</w:t>
      </w:r>
      <w:r w:rsidRPr="00061AF9">
        <w:t>.</w:t>
      </w:r>
    </w:p>
    <w:p w14:paraId="0BA9366F" w14:textId="77777777" w:rsidR="00061AF9" w:rsidRDefault="00061AF9" w:rsidP="00061AF9">
      <w:pPr>
        <w:pStyle w:val="Text1Numbered"/>
        <w:numPr>
          <w:ilvl w:val="0"/>
          <w:numId w:val="0"/>
        </w:numPr>
        <w:ind w:left="1135"/>
      </w:pPr>
    </w:p>
    <w:p w14:paraId="02378E2F" w14:textId="36C7DC36" w:rsidR="00714763" w:rsidRPr="00061AF9" w:rsidRDefault="00A57609" w:rsidP="00061AF9">
      <w:pPr>
        <w:pStyle w:val="Text1Numbered"/>
      </w:pPr>
      <w:r w:rsidRPr="00061AF9">
        <w:t>Carers</w:t>
      </w:r>
      <w:r w:rsidR="00714763" w:rsidRPr="00061AF9">
        <w:t xml:space="preserve"> leave can be used for caring for a spouse, civil partner, child, parent, someone living in the same household or a person who reasonably relies on the employee for care and has a long-term care need.</w:t>
      </w:r>
    </w:p>
    <w:p w14:paraId="61E0A017" w14:textId="77777777" w:rsidR="003D05C8" w:rsidRPr="00061AF9" w:rsidRDefault="003D05C8" w:rsidP="003D05C8">
      <w:pPr>
        <w:pStyle w:val="Text1Numbered"/>
        <w:numPr>
          <w:ilvl w:val="0"/>
          <w:numId w:val="0"/>
        </w:numPr>
      </w:pPr>
    </w:p>
    <w:p w14:paraId="7135FE3D" w14:textId="2C57D1B2" w:rsidR="00BB0D11" w:rsidRPr="00061AF9" w:rsidRDefault="0047406E" w:rsidP="003D05C8">
      <w:pPr>
        <w:pStyle w:val="Text1Numbered"/>
      </w:pPr>
      <w:r w:rsidRPr="00061AF9">
        <w:t xml:space="preserve">Colleagues are able to take individual full or half days of leave, up to a </w:t>
      </w:r>
      <w:r w:rsidR="00117F25">
        <w:t xml:space="preserve">full working </w:t>
      </w:r>
      <w:r w:rsidRPr="00061AF9">
        <w:t>week. </w:t>
      </w:r>
    </w:p>
    <w:p w14:paraId="66CF5AEE" w14:textId="77777777" w:rsidR="000D29BF" w:rsidRPr="00061AF9" w:rsidRDefault="000D29BF" w:rsidP="00061AF9">
      <w:pPr>
        <w:pStyle w:val="Text1Numbered"/>
        <w:numPr>
          <w:ilvl w:val="0"/>
          <w:numId w:val="0"/>
        </w:numPr>
      </w:pPr>
    </w:p>
    <w:p w14:paraId="29D721CF" w14:textId="74A3AF6D" w:rsidR="000D29BF" w:rsidRDefault="000D29BF" w:rsidP="003D05C8">
      <w:pPr>
        <w:pStyle w:val="Text1Numbered"/>
      </w:pPr>
      <w:r w:rsidRPr="00061AF9">
        <w:t>Notice provided by colleagues for carers leave must be twice the length of time being requested</w:t>
      </w:r>
      <w:r w:rsidR="00A57609">
        <w:t>.</w:t>
      </w:r>
      <w:r w:rsidR="00117F25">
        <w:t xml:space="preserve"> Notice does not need to be in writing </w:t>
      </w:r>
      <w:r w:rsidR="00474F72">
        <w:t>but must be clearly communicated by the colleague to the</w:t>
      </w:r>
      <w:r w:rsidR="00A57609">
        <w:t xml:space="preserve"> relevant</w:t>
      </w:r>
      <w:r w:rsidR="00474F72">
        <w:t xml:space="preserve"> manager</w:t>
      </w:r>
      <w:r w:rsidR="00A57609">
        <w:t>.</w:t>
      </w:r>
    </w:p>
    <w:p w14:paraId="15A4ACBE" w14:textId="77777777" w:rsidR="005B5DDA" w:rsidRPr="00061AF9" w:rsidRDefault="005B5DDA" w:rsidP="00061AF9">
      <w:pPr>
        <w:pStyle w:val="Text1Numbered"/>
        <w:numPr>
          <w:ilvl w:val="0"/>
          <w:numId w:val="0"/>
        </w:numPr>
      </w:pPr>
    </w:p>
    <w:p w14:paraId="4A0ED9FE" w14:textId="468DEDE5" w:rsidR="000D29BF" w:rsidRPr="00061AF9" w:rsidRDefault="000D29BF" w:rsidP="003D05C8">
      <w:pPr>
        <w:pStyle w:val="Text1Numbered"/>
      </w:pPr>
      <w:r w:rsidRPr="00061AF9">
        <w:t>Where the request for carers leave would be unjustifiably disruptive to services, MHA may postpone the request and offer an alternative</w:t>
      </w:r>
      <w:r w:rsidR="002A546C">
        <w:t xml:space="preserve"> within a month of the original request.</w:t>
      </w:r>
      <w:r w:rsidRPr="00061AF9">
        <w:t xml:space="preserve"> </w:t>
      </w:r>
    </w:p>
    <w:p w14:paraId="0079B76E" w14:textId="77777777" w:rsidR="004F17FA" w:rsidRDefault="004F17FA" w:rsidP="004F17FA">
      <w:pPr>
        <w:pStyle w:val="Heading1Numbered"/>
      </w:pPr>
      <w:bookmarkStart w:id="14" w:name="_Toc161313024"/>
      <w:r>
        <w:t>Public Duties Leave</w:t>
      </w:r>
      <w:bookmarkEnd w:id="14"/>
    </w:p>
    <w:p w14:paraId="1F224339" w14:textId="4BC63FEC" w:rsidR="004F17FA" w:rsidRDefault="004F17FA" w:rsidP="004F17FA">
      <w:pPr>
        <w:pStyle w:val="Text1Numbered"/>
      </w:pPr>
      <w:r>
        <w:t xml:space="preserve">Public duties leave includes leave relating to </w:t>
      </w:r>
      <w:r w:rsidRPr="004F17FA">
        <w:t xml:space="preserve">public, political, </w:t>
      </w:r>
      <w:r w:rsidR="00314B04" w:rsidRPr="004F17FA">
        <w:t>civic,</w:t>
      </w:r>
      <w:r w:rsidRPr="004F17FA">
        <w:t xml:space="preserve"> and judicial activities</w:t>
      </w:r>
      <w:r>
        <w:t>.</w:t>
      </w:r>
    </w:p>
    <w:p w14:paraId="6CB57398" w14:textId="77777777" w:rsidR="004F17FA" w:rsidRDefault="004F17FA" w:rsidP="004F17FA">
      <w:pPr>
        <w:pStyle w:val="Text1Numbered"/>
        <w:numPr>
          <w:ilvl w:val="0"/>
          <w:numId w:val="0"/>
        </w:numPr>
        <w:ind w:left="1135"/>
      </w:pPr>
    </w:p>
    <w:p w14:paraId="7F875A6B" w14:textId="2463172C" w:rsidR="004F17FA" w:rsidRDefault="004F17FA" w:rsidP="004F17FA">
      <w:pPr>
        <w:pStyle w:val="Text1Numbered"/>
      </w:pPr>
      <w:r>
        <w:t xml:space="preserve">In determining how much time off from work is reasonable </w:t>
      </w:r>
      <w:r w:rsidR="00314B04">
        <w:t>MHA</w:t>
      </w:r>
      <w:r>
        <w:t xml:space="preserve"> will take account of the following:</w:t>
      </w:r>
    </w:p>
    <w:p w14:paraId="06A4A739" w14:textId="77777777" w:rsidR="004F17FA" w:rsidRDefault="004F17FA" w:rsidP="004F17FA">
      <w:pPr>
        <w:pStyle w:val="Textlistindented-bullet"/>
      </w:pPr>
      <w:r>
        <w:t>The nature of the duties of the office or as a member of the body in question, and/or</w:t>
      </w:r>
    </w:p>
    <w:p w14:paraId="75AFDBFE" w14:textId="77777777" w:rsidR="004F17FA" w:rsidRDefault="004F17FA" w:rsidP="004F17FA">
      <w:pPr>
        <w:pStyle w:val="Textlistindented-bullet"/>
      </w:pPr>
      <w:r>
        <w:t>The amount of time off which has already been permitted for other public duties or activities, and/or</w:t>
      </w:r>
    </w:p>
    <w:p w14:paraId="6F1F39C6" w14:textId="757F5403" w:rsidR="004F17FA" w:rsidRDefault="004F17FA" w:rsidP="004F17FA">
      <w:pPr>
        <w:pStyle w:val="Textlistindented-bullet"/>
      </w:pPr>
      <w:r>
        <w:t xml:space="preserve">The operational requirements and the effect of the colleague’s absence upon </w:t>
      </w:r>
      <w:r w:rsidR="00314B04">
        <w:t>MHA</w:t>
      </w:r>
      <w:r>
        <w:t>.</w:t>
      </w:r>
    </w:p>
    <w:p w14:paraId="68BB4DFF" w14:textId="77777777" w:rsidR="004F17FA" w:rsidRDefault="004F17FA" w:rsidP="004F17FA">
      <w:pPr>
        <w:pStyle w:val="Text1Numbered"/>
      </w:pPr>
      <w:r>
        <w:t xml:space="preserve">The colleague may also need to show that they are contributing a reasonable amount of their own time towards meeting their public duty commitments (possibly including a proportionate amount of their annual holiday entitlement). </w:t>
      </w:r>
    </w:p>
    <w:p w14:paraId="0A640E6D" w14:textId="77777777" w:rsidR="004F17FA" w:rsidRDefault="004F17FA" w:rsidP="004F17FA">
      <w:pPr>
        <w:pStyle w:val="Text1Numbered"/>
        <w:numPr>
          <w:ilvl w:val="0"/>
          <w:numId w:val="0"/>
        </w:numPr>
        <w:ind w:left="1135"/>
      </w:pPr>
    </w:p>
    <w:p w14:paraId="1BF86448" w14:textId="22ECE2CF" w:rsidR="004F17FA" w:rsidRDefault="004F17FA" w:rsidP="004F17FA">
      <w:pPr>
        <w:pStyle w:val="Text1Numbered"/>
      </w:pPr>
      <w:r>
        <w:t>Providing MHA is satisfied that adequate notice is being given and that the colleague is contributing some of their own time then, if the public duties are significant, it will normally allow time off and make up any monies received from the public body to normal average earnings for up to 10 working days per annum.</w:t>
      </w:r>
    </w:p>
    <w:p w14:paraId="04504221" w14:textId="77777777" w:rsidR="00EA6D0A" w:rsidRDefault="00EA6D0A" w:rsidP="00EA6D0A">
      <w:pPr>
        <w:pStyle w:val="Text1Numbered"/>
        <w:numPr>
          <w:ilvl w:val="0"/>
          <w:numId w:val="0"/>
        </w:numPr>
        <w:ind w:left="1135"/>
      </w:pPr>
    </w:p>
    <w:p w14:paraId="37229C03" w14:textId="5686059F" w:rsidR="00EA6D0A" w:rsidRDefault="00EA6D0A" w:rsidP="004F17FA">
      <w:pPr>
        <w:pStyle w:val="Text1Numbered"/>
      </w:pPr>
      <w:r w:rsidRPr="00EA6D0A">
        <w:t xml:space="preserve">All colleagues are free to stand for </w:t>
      </w:r>
      <w:r w:rsidR="00314B04" w:rsidRPr="00EA6D0A">
        <w:t>Parliament but</w:t>
      </w:r>
      <w:r w:rsidRPr="00EA6D0A">
        <w:t xml:space="preserve"> must resign from </w:t>
      </w:r>
      <w:r w:rsidR="00314B04">
        <w:t>MHA</w:t>
      </w:r>
      <w:r w:rsidRPr="00EA6D0A">
        <w:t>’s employment if elected</w:t>
      </w:r>
      <w:r w:rsidR="0064309F" w:rsidRPr="00EA6D0A">
        <w:t xml:space="preserve">. </w:t>
      </w:r>
      <w:r w:rsidRPr="00EA6D0A">
        <w:t xml:space="preserve">However, any colleague considering such a move must inform their immediate line manager at a very early stage that they are considering standing for Parliament or playing a public part in Parliamentary elections and assure </w:t>
      </w:r>
      <w:r w:rsidR="00314B04">
        <w:t>MHA</w:t>
      </w:r>
      <w:r w:rsidRPr="00EA6D0A">
        <w:t xml:space="preserve"> that these activities can be exercised without conflict of interest with their duty as a colleague.</w:t>
      </w:r>
    </w:p>
    <w:p w14:paraId="232BE1AB" w14:textId="77777777" w:rsidR="004F17FA" w:rsidRDefault="004F17FA" w:rsidP="004F17FA">
      <w:pPr>
        <w:pStyle w:val="Text1Numbered"/>
        <w:numPr>
          <w:ilvl w:val="0"/>
          <w:numId w:val="0"/>
        </w:numPr>
        <w:ind w:left="1135"/>
      </w:pPr>
    </w:p>
    <w:p w14:paraId="681E09E7" w14:textId="13860B91" w:rsidR="00D65CF7" w:rsidRDefault="004F17FA" w:rsidP="00061AF9">
      <w:pPr>
        <w:pStyle w:val="Text1Numbered"/>
      </w:pPr>
      <w:r>
        <w:t>Payment is not made for the time spent in excess of normal working hours or for time spent travelling.</w:t>
      </w:r>
    </w:p>
    <w:p w14:paraId="4DF70408" w14:textId="77777777" w:rsidR="002A2D9E" w:rsidRDefault="002A2D9E" w:rsidP="002A2D9E">
      <w:pPr>
        <w:pStyle w:val="Text1Numbered"/>
        <w:numPr>
          <w:ilvl w:val="0"/>
          <w:numId w:val="0"/>
        </w:numPr>
      </w:pPr>
    </w:p>
    <w:p w14:paraId="2EFE554E" w14:textId="667315F3" w:rsidR="00EA6D0A" w:rsidRDefault="00EA6D0A" w:rsidP="002A2D9E">
      <w:pPr>
        <w:pStyle w:val="Text1Numbered"/>
      </w:pPr>
      <w:r>
        <w:t>If attending public duties incurs expenses to the colleague, they must claim expenses from the public duty’s organisation (</w:t>
      </w:r>
      <w:r w:rsidR="00314B04">
        <w:t>e.g.,</w:t>
      </w:r>
      <w:r>
        <w:t xml:space="preserve"> the court) including any travel expenses, together with any compensation for loss of earnings. MHA will then pay the difference between such entitlements and normal average earnings (following business expenses procedures [HR9.1], and at the approval of the </w:t>
      </w:r>
      <w:r w:rsidR="00314B04">
        <w:t>colleague’s</w:t>
      </w:r>
      <w:r>
        <w:t xml:space="preserve"> line manager).</w:t>
      </w:r>
    </w:p>
    <w:p w14:paraId="74B61E40" w14:textId="0E66FF81" w:rsidR="004F17FA" w:rsidRDefault="004F17FA" w:rsidP="004F17FA">
      <w:pPr>
        <w:pStyle w:val="Text1Numbered"/>
        <w:rPr>
          <w:b/>
          <w:bCs/>
        </w:rPr>
      </w:pPr>
      <w:r w:rsidRPr="004F17FA">
        <w:rPr>
          <w:b/>
          <w:bCs/>
        </w:rPr>
        <w:t>Jury Service</w:t>
      </w:r>
    </w:p>
    <w:p w14:paraId="128DE83D" w14:textId="05FE40E3" w:rsidR="004F17FA" w:rsidRDefault="004F17FA" w:rsidP="004F17FA">
      <w:pPr>
        <w:pStyle w:val="Text2Numbered"/>
      </w:pPr>
      <w:r>
        <w:t>Where requested to attend court as a juror, colleagues will be granted time off to attend</w:t>
      </w:r>
      <w:r w:rsidR="0064309F">
        <w:t xml:space="preserve">. </w:t>
      </w:r>
      <w:r>
        <w:t>However, where, in MHA’s view, the release of a colleague for jury service raises major issues or operational problems, assistance will be provided to the colleague in order to appeal to the court to re-arrange or cancel the dates of service.</w:t>
      </w:r>
    </w:p>
    <w:p w14:paraId="4DCFF498" w14:textId="77777777" w:rsidR="004F17FA" w:rsidRDefault="004F17FA" w:rsidP="00EA6D0A">
      <w:pPr>
        <w:pStyle w:val="Text2Numbered"/>
        <w:numPr>
          <w:ilvl w:val="0"/>
          <w:numId w:val="0"/>
        </w:numPr>
      </w:pPr>
    </w:p>
    <w:p w14:paraId="3DE752FF" w14:textId="73144302" w:rsidR="004F17FA" w:rsidRDefault="004F17FA" w:rsidP="004F17FA">
      <w:pPr>
        <w:pStyle w:val="Text2Numbered"/>
      </w:pPr>
      <w:r>
        <w:t>During attendance at the court colleagues must claim from the court, any travel expenses both to and from the court, together with any compensation for loss of earnings</w:t>
      </w:r>
      <w:r w:rsidR="0064309F">
        <w:t xml:space="preserve">. </w:t>
      </w:r>
      <w:r w:rsidR="00314B04">
        <w:t>MHA</w:t>
      </w:r>
      <w:r>
        <w:t xml:space="preserve"> will then pay the difference between such entitlements and normal average earnings</w:t>
      </w:r>
      <w:r w:rsidR="0064309F">
        <w:t xml:space="preserve">. </w:t>
      </w:r>
    </w:p>
    <w:p w14:paraId="6E67CA10" w14:textId="77777777" w:rsidR="004F17FA" w:rsidRDefault="004F17FA" w:rsidP="00EA6D0A">
      <w:pPr>
        <w:pStyle w:val="Text2Numbered"/>
        <w:numPr>
          <w:ilvl w:val="0"/>
          <w:numId w:val="0"/>
        </w:numPr>
        <w:ind w:left="1135"/>
      </w:pPr>
    </w:p>
    <w:p w14:paraId="177F019D" w14:textId="203AC155" w:rsidR="004F17FA" w:rsidRPr="00EE2D88" w:rsidRDefault="00D346A4" w:rsidP="004F17FA">
      <w:pPr>
        <w:pStyle w:val="Text2Numbered"/>
      </w:pPr>
      <w:r>
        <w:t>I</w:t>
      </w:r>
      <w:r>
        <w:t>n order to</w:t>
      </w:r>
      <w:r w:rsidRPr="00EE2D88">
        <w:t xml:space="preserve"> claim this allowance</w:t>
      </w:r>
      <w:r>
        <w:t xml:space="preserve">, the </w:t>
      </w:r>
      <w:r w:rsidR="004F17FA" w:rsidRPr="00EE2D88">
        <w:t xml:space="preserve">colleague must submit </w:t>
      </w:r>
      <w:r>
        <w:t>the court issues ‘</w:t>
      </w:r>
      <w:r w:rsidRPr="00EE2D88">
        <w:t>Certificate of Loss of Earnings</w:t>
      </w:r>
      <w:r>
        <w:t xml:space="preserve">’ alongside the Public Duties Payroll Form [HR7.2b] to the payroll department via </w:t>
      </w:r>
      <w:bookmarkStart w:id="15" w:name="_Hlk161314617"/>
      <w:r w:rsidR="00EE2D88">
        <w:fldChar w:fldCharType="begin"/>
      </w:r>
      <w:r w:rsidR="00EE2D88">
        <w:instrText>HYPERLINK "mailto:</w:instrText>
      </w:r>
      <w:r w:rsidR="00EE2D88" w:rsidRPr="00EE2D88">
        <w:instrText>payrollandpensions@mha.org.uk</w:instrText>
      </w:r>
      <w:r w:rsidR="00EE2D88">
        <w:instrText>"</w:instrText>
      </w:r>
      <w:r w:rsidR="00EE2D88">
        <w:fldChar w:fldCharType="separate"/>
      </w:r>
      <w:r w:rsidR="00EE2D88" w:rsidRPr="00412C97">
        <w:rPr>
          <w:rStyle w:val="Hyperlink"/>
        </w:rPr>
        <w:t>payrollandpensions@mha.org.uk</w:t>
      </w:r>
      <w:r w:rsidR="00EE2D88">
        <w:fldChar w:fldCharType="end"/>
      </w:r>
      <w:bookmarkEnd w:id="15"/>
      <w:r>
        <w:t>.</w:t>
      </w:r>
    </w:p>
    <w:p w14:paraId="457B7573" w14:textId="77777777" w:rsidR="002B3A37" w:rsidRDefault="002B3A37" w:rsidP="002B3A37">
      <w:pPr>
        <w:pStyle w:val="Text1Numbered"/>
        <w:rPr>
          <w:b/>
          <w:bCs/>
        </w:rPr>
      </w:pPr>
      <w:r w:rsidRPr="002B3A37">
        <w:rPr>
          <w:b/>
          <w:bCs/>
        </w:rPr>
        <w:t>Appearing as a witness</w:t>
      </w:r>
    </w:p>
    <w:p w14:paraId="439DE47C" w14:textId="36872961" w:rsidR="002B3A37" w:rsidRPr="002A2D9E" w:rsidRDefault="002B3A37" w:rsidP="002A2D9E">
      <w:pPr>
        <w:pStyle w:val="Text2Numbered"/>
        <w:rPr>
          <w:b/>
          <w:bCs/>
        </w:rPr>
      </w:pPr>
      <w:r w:rsidRPr="00536854">
        <w:t>Colleagues will normally be granted time off where they have been requested to attend court as a witness</w:t>
      </w:r>
      <w:r w:rsidR="0064309F" w:rsidRPr="00536854">
        <w:t xml:space="preserve">. </w:t>
      </w:r>
      <w:r w:rsidRPr="00536854">
        <w:t>However, they must notify their line manager of the request at the earliest opportunity.</w:t>
      </w:r>
    </w:p>
    <w:p w14:paraId="6A9559E6" w14:textId="77777777" w:rsidR="002A2D9E" w:rsidRPr="002B3A37" w:rsidRDefault="002A2D9E" w:rsidP="002A2D9E">
      <w:pPr>
        <w:pStyle w:val="Text2Numbered"/>
        <w:numPr>
          <w:ilvl w:val="0"/>
          <w:numId w:val="0"/>
        </w:numPr>
        <w:ind w:left="1135"/>
        <w:rPr>
          <w:b/>
          <w:bCs/>
        </w:rPr>
      </w:pPr>
    </w:p>
    <w:p w14:paraId="743AC5A5" w14:textId="7CC234A8" w:rsidR="002B3A37" w:rsidRPr="002B3A37" w:rsidRDefault="002B3A37" w:rsidP="002A2D9E">
      <w:pPr>
        <w:pStyle w:val="Text2Numbered"/>
        <w:rPr>
          <w:b/>
          <w:bCs/>
        </w:rPr>
      </w:pPr>
      <w:r w:rsidRPr="00536854">
        <w:t>During attendance at the court colleagues must claim from the court, any travelling expenses both to and from the court, together with compensation for any loss of earnings, whenever possible</w:t>
      </w:r>
      <w:r>
        <w:t xml:space="preserve">. </w:t>
      </w:r>
    </w:p>
    <w:p w14:paraId="44A62F5A" w14:textId="77777777" w:rsidR="002B3A37" w:rsidRPr="002B3A37" w:rsidRDefault="002B3A37" w:rsidP="002A2D9E">
      <w:pPr>
        <w:pStyle w:val="Text2Numbered"/>
        <w:numPr>
          <w:ilvl w:val="0"/>
          <w:numId w:val="0"/>
        </w:numPr>
        <w:ind w:left="1135"/>
        <w:rPr>
          <w:b/>
          <w:bCs/>
        </w:rPr>
      </w:pPr>
    </w:p>
    <w:p w14:paraId="3EBBF4EE" w14:textId="77777777" w:rsidR="002B3A37" w:rsidRPr="002B3A37" w:rsidRDefault="002B3A37" w:rsidP="002A2D9E">
      <w:pPr>
        <w:pStyle w:val="Text2Numbered"/>
        <w:rPr>
          <w:b/>
          <w:bCs/>
        </w:rPr>
      </w:pPr>
      <w:r>
        <w:t>MHA</w:t>
      </w:r>
      <w:r w:rsidRPr="00536854">
        <w:t xml:space="preserve"> will then pay the difference between such entitlements and normal average earnings.</w:t>
      </w:r>
    </w:p>
    <w:p w14:paraId="58BF978A" w14:textId="77777777" w:rsidR="002B3A37" w:rsidRPr="002B3A37" w:rsidRDefault="002B3A37" w:rsidP="002A2D9E">
      <w:pPr>
        <w:pStyle w:val="Text2Numbered"/>
        <w:numPr>
          <w:ilvl w:val="0"/>
          <w:numId w:val="0"/>
        </w:numPr>
        <w:ind w:left="1135"/>
        <w:rPr>
          <w:b/>
          <w:bCs/>
        </w:rPr>
      </w:pPr>
    </w:p>
    <w:p w14:paraId="277BFB9A" w14:textId="1E012BEE" w:rsidR="00D346A4" w:rsidRPr="00EE2D88" w:rsidRDefault="00D346A4" w:rsidP="00D346A4">
      <w:pPr>
        <w:pStyle w:val="Text2Numbered"/>
      </w:pPr>
      <w:r>
        <w:t>The</w:t>
      </w:r>
      <w:r>
        <w:t xml:space="preserve"> </w:t>
      </w:r>
      <w:r w:rsidRPr="00EE2D88">
        <w:t xml:space="preserve">colleague must submit </w:t>
      </w:r>
      <w:r>
        <w:t>the court issues ‘</w:t>
      </w:r>
      <w:r w:rsidRPr="00EE2D88">
        <w:t>Certificate of Loss of Earnings</w:t>
      </w:r>
      <w:r>
        <w:t xml:space="preserve">’ alongside the Public Duties Payroll Form [HR7.2b] to the payroll department via </w:t>
      </w:r>
      <w:hyperlink r:id="rId9" w:history="1">
        <w:r w:rsidRPr="00412C97">
          <w:rPr>
            <w:rStyle w:val="Hyperlink"/>
          </w:rPr>
          <w:t>payrollandpensions@mha.org.uk</w:t>
        </w:r>
      </w:hyperlink>
      <w:r>
        <w:t>.</w:t>
      </w:r>
    </w:p>
    <w:p w14:paraId="386227A9" w14:textId="77777777" w:rsidR="002B3A37" w:rsidRPr="002B3A37" w:rsidRDefault="002B3A37" w:rsidP="002B3A37">
      <w:pPr>
        <w:pStyle w:val="Text1Numbered"/>
        <w:numPr>
          <w:ilvl w:val="0"/>
          <w:numId w:val="0"/>
        </w:numPr>
        <w:rPr>
          <w:b/>
          <w:bCs/>
        </w:rPr>
      </w:pPr>
    </w:p>
    <w:p w14:paraId="09B690A7" w14:textId="3850A37A" w:rsidR="00EA6D0A" w:rsidRPr="00EA6D0A" w:rsidRDefault="00EA6D0A" w:rsidP="00EA6D0A">
      <w:pPr>
        <w:pStyle w:val="Text1Numbered"/>
        <w:rPr>
          <w:b/>
          <w:bCs/>
        </w:rPr>
      </w:pPr>
      <w:r w:rsidRPr="00EA6D0A">
        <w:rPr>
          <w:b/>
          <w:bCs/>
        </w:rPr>
        <w:t>Special Forces</w:t>
      </w:r>
    </w:p>
    <w:p w14:paraId="25B2F87B" w14:textId="3524786C" w:rsidR="00EA6D0A" w:rsidRPr="00536854" w:rsidRDefault="00EA6D0A" w:rsidP="00EA6D0A">
      <w:pPr>
        <w:pStyle w:val="Text2Numbered"/>
      </w:pPr>
      <w:r w:rsidRPr="00536854">
        <w:t>Colleagues are encouraged to participate, as volunteers, with a number of special forces</w:t>
      </w:r>
      <w:r w:rsidR="0064309F" w:rsidRPr="00536854">
        <w:t xml:space="preserve">. </w:t>
      </w:r>
      <w:r w:rsidRPr="00536854">
        <w:t>These include:</w:t>
      </w:r>
    </w:p>
    <w:p w14:paraId="5A6C41A3" w14:textId="77777777" w:rsidR="00EA6D0A" w:rsidRPr="00536854" w:rsidRDefault="00EA6D0A" w:rsidP="00EA6D0A">
      <w:pPr>
        <w:pStyle w:val="Textlistindented-bullet"/>
      </w:pPr>
      <w:r w:rsidRPr="00536854">
        <w:t>Territorial Army</w:t>
      </w:r>
    </w:p>
    <w:p w14:paraId="061EFD29" w14:textId="77777777" w:rsidR="00EA6D0A" w:rsidRPr="00536854" w:rsidRDefault="00EA6D0A" w:rsidP="00EA6D0A">
      <w:pPr>
        <w:pStyle w:val="Textlistindented-bullet"/>
      </w:pPr>
      <w:r w:rsidRPr="00536854">
        <w:t>Royal Navy Reserve</w:t>
      </w:r>
    </w:p>
    <w:p w14:paraId="6DE2B36E" w14:textId="77777777" w:rsidR="00EA6D0A" w:rsidRPr="00536854" w:rsidRDefault="00EA6D0A" w:rsidP="00EA6D0A">
      <w:pPr>
        <w:pStyle w:val="Textlistindented-bullet"/>
      </w:pPr>
      <w:r w:rsidRPr="00536854">
        <w:t>Special Police Force</w:t>
      </w:r>
    </w:p>
    <w:p w14:paraId="2D0A833D" w14:textId="77777777" w:rsidR="00EA6D0A" w:rsidRPr="00536854" w:rsidRDefault="00EA6D0A" w:rsidP="00EA6D0A">
      <w:pPr>
        <w:pStyle w:val="Textlistindented-bullet"/>
      </w:pPr>
      <w:r w:rsidRPr="00536854">
        <w:t>Special Fire Service</w:t>
      </w:r>
    </w:p>
    <w:p w14:paraId="075993CE" w14:textId="77777777" w:rsidR="00EA6D0A" w:rsidRPr="00536854" w:rsidRDefault="00EA6D0A" w:rsidP="00EA6D0A">
      <w:pPr>
        <w:pStyle w:val="Textlistindented-bullet"/>
      </w:pPr>
      <w:r w:rsidRPr="00536854">
        <w:t>Royal Air Force</w:t>
      </w:r>
    </w:p>
    <w:p w14:paraId="1287F4BF" w14:textId="77777777" w:rsidR="00EA6D0A" w:rsidRPr="00536854" w:rsidRDefault="00EA6D0A" w:rsidP="00EA6D0A">
      <w:pPr>
        <w:pStyle w:val="Textlistindented-bullet"/>
      </w:pPr>
      <w:r w:rsidRPr="00536854">
        <w:t>Royal Marines.</w:t>
      </w:r>
    </w:p>
    <w:p w14:paraId="1190215C" w14:textId="6FA8448A" w:rsidR="00EA6D0A" w:rsidRPr="00536854" w:rsidRDefault="00EA6D0A" w:rsidP="00EA6D0A">
      <w:pPr>
        <w:pStyle w:val="Text2Numbered"/>
      </w:pPr>
      <w:r w:rsidRPr="00536854">
        <w:t xml:space="preserve">Where time off work is </w:t>
      </w:r>
      <w:r w:rsidR="00314B04" w:rsidRPr="00536854">
        <w:t>required,</w:t>
      </w:r>
      <w:r w:rsidRPr="00536854">
        <w:t xml:space="preserve"> colleagues are expected to use a proportion of their annual holiday entitlement</w:t>
      </w:r>
      <w:r w:rsidR="0064309F" w:rsidRPr="00536854">
        <w:t xml:space="preserve">. </w:t>
      </w:r>
      <w:r w:rsidRPr="00536854">
        <w:t xml:space="preserve">For every day of the colleague’s holiday entitlement utilised in this manner </w:t>
      </w:r>
      <w:r w:rsidR="00314B04">
        <w:t>MHA</w:t>
      </w:r>
      <w:r w:rsidRPr="00536854">
        <w:t xml:space="preserve"> will provide an additional day of leave, up to a maximum of 5 days in any holiday year.</w:t>
      </w:r>
    </w:p>
    <w:p w14:paraId="615C7DCB" w14:textId="77777777" w:rsidR="00EA6D0A" w:rsidRPr="00536854" w:rsidRDefault="00EA6D0A" w:rsidP="00EA6D0A">
      <w:pPr>
        <w:pStyle w:val="Text2Numbered"/>
        <w:numPr>
          <w:ilvl w:val="0"/>
          <w:numId w:val="0"/>
        </w:numPr>
        <w:ind w:left="1135"/>
      </w:pPr>
    </w:p>
    <w:p w14:paraId="3452B781" w14:textId="77777777" w:rsidR="00EA6D0A" w:rsidRPr="00536854" w:rsidRDefault="00EA6D0A" w:rsidP="00EA6D0A">
      <w:pPr>
        <w:pStyle w:val="Text2Numbered"/>
      </w:pPr>
      <w:r w:rsidRPr="00536854">
        <w:t>Payment during the above additional day(s) of leave will be calculated as the difference between any attendance allowances received for the day(s) from the special force and average earnings.</w:t>
      </w:r>
    </w:p>
    <w:p w14:paraId="645692C6" w14:textId="77777777" w:rsidR="00EA6D0A" w:rsidRPr="00536854" w:rsidRDefault="00EA6D0A" w:rsidP="00EA6D0A">
      <w:pPr>
        <w:pStyle w:val="Text2Numbered"/>
        <w:numPr>
          <w:ilvl w:val="0"/>
          <w:numId w:val="0"/>
        </w:numPr>
        <w:ind w:left="1135"/>
      </w:pPr>
    </w:p>
    <w:p w14:paraId="684997A2" w14:textId="1DA35B10" w:rsidR="00EA6D0A" w:rsidRPr="00536854" w:rsidRDefault="00EA6D0A" w:rsidP="00EA6D0A">
      <w:pPr>
        <w:pStyle w:val="Text2Numbered"/>
      </w:pPr>
      <w:r w:rsidRPr="00536854">
        <w:t xml:space="preserve">Evidence of attendance and any allowances received must be given to Payroll upon return to enable the payment to be processed. </w:t>
      </w:r>
      <w:r w:rsidR="002B3A37">
        <w:t xml:space="preserve">The Special Leave Request Form [HR7.2a] </w:t>
      </w:r>
      <w:r w:rsidRPr="00536854">
        <w:t>must also be completed and submitted.</w:t>
      </w:r>
    </w:p>
    <w:p w14:paraId="6E636A9A" w14:textId="1E6D9AE5" w:rsidR="00EA6D0A" w:rsidRPr="00EA6D0A" w:rsidRDefault="00EA6D0A" w:rsidP="00EA6D0A">
      <w:pPr>
        <w:pStyle w:val="Text1Numbered"/>
        <w:rPr>
          <w:b/>
          <w:bCs/>
        </w:rPr>
      </w:pPr>
      <w:r w:rsidRPr="00EA6D0A">
        <w:rPr>
          <w:b/>
          <w:bCs/>
        </w:rPr>
        <w:t>Reservists</w:t>
      </w:r>
    </w:p>
    <w:p w14:paraId="2B99E141" w14:textId="17C60BA1" w:rsidR="00EA6D0A" w:rsidRDefault="00EA6D0A" w:rsidP="00EA6D0A">
      <w:pPr>
        <w:pStyle w:val="Text2Numbered"/>
      </w:pPr>
      <w:r>
        <w:t>If any person working for MHA, who is a member of the reserve armed forces, receives a call-up notice then they must take leave of absence to fulfil their obligations</w:t>
      </w:r>
      <w:r w:rsidR="0064309F">
        <w:t xml:space="preserve">. </w:t>
      </w:r>
      <w:r>
        <w:t xml:space="preserve">If they do not </w:t>
      </w:r>
      <w:r w:rsidR="00314B04">
        <w:t>comply,</w:t>
      </w:r>
      <w:r>
        <w:t xml:space="preserve"> then they will be guilty of absence without leave or desertion and will be dealt with by the authorities accordingly.</w:t>
      </w:r>
    </w:p>
    <w:p w14:paraId="49635786" w14:textId="77777777" w:rsidR="00EA6D0A" w:rsidRDefault="00EA6D0A" w:rsidP="00EA6D0A">
      <w:pPr>
        <w:pStyle w:val="Text2Numbered"/>
        <w:numPr>
          <w:ilvl w:val="0"/>
          <w:numId w:val="0"/>
        </w:numPr>
        <w:ind w:left="1135"/>
      </w:pPr>
    </w:p>
    <w:p w14:paraId="03219284" w14:textId="4014577B" w:rsidR="00EA6D0A" w:rsidRDefault="00EA6D0A" w:rsidP="00EA6D0A">
      <w:pPr>
        <w:pStyle w:val="Text2Numbered"/>
      </w:pPr>
      <w:r>
        <w:t>As an organisation, we will also be guilty of an offence if we persuade the reservist to desert or be absent without leave</w:t>
      </w:r>
      <w:r w:rsidR="0064309F">
        <w:t xml:space="preserve">. </w:t>
      </w:r>
      <w:r>
        <w:t xml:space="preserve">However, if the absence of the person affected would cause serious damage to </w:t>
      </w:r>
      <w:r w:rsidR="00314B04">
        <w:t>MHA</w:t>
      </w:r>
      <w:r>
        <w:t xml:space="preserve"> (which could not be avoided by financial compensation) it is possible to apply to an adjudication officer for the call-up notice to be deferred or revoked</w:t>
      </w:r>
      <w:r w:rsidR="0064309F">
        <w:t xml:space="preserve">. </w:t>
      </w:r>
      <w:r>
        <w:t>Any such application must be made within 7 days of the reservist receiving their call-up notice</w:t>
      </w:r>
      <w:r w:rsidR="0064309F">
        <w:t xml:space="preserve">. </w:t>
      </w:r>
      <w:r>
        <w:t xml:space="preserve">Advice must be sought from the HR </w:t>
      </w:r>
      <w:r w:rsidR="00F428C6">
        <w:t xml:space="preserve">team </w:t>
      </w:r>
      <w:r>
        <w:t>on the procedure to follow in these circumstances.</w:t>
      </w:r>
    </w:p>
    <w:p w14:paraId="39FE7578" w14:textId="77777777" w:rsidR="00EA6D0A" w:rsidRDefault="00EA6D0A" w:rsidP="00EA6D0A">
      <w:pPr>
        <w:pStyle w:val="Text2Numbered"/>
        <w:numPr>
          <w:ilvl w:val="0"/>
          <w:numId w:val="0"/>
        </w:numPr>
        <w:ind w:left="1135"/>
      </w:pPr>
    </w:p>
    <w:p w14:paraId="71ED5A2E" w14:textId="728512D3" w:rsidR="00EA6D0A" w:rsidRDefault="00EA6D0A" w:rsidP="00EA6D0A">
      <w:pPr>
        <w:pStyle w:val="Text2Numbered"/>
      </w:pPr>
      <w:r>
        <w:t>The Ministry of Defence will pay reservists in their service such that MHA can suspend payment of their salary</w:t>
      </w:r>
      <w:r w:rsidR="0064309F">
        <w:t xml:space="preserve">. </w:t>
      </w:r>
      <w:r>
        <w:t>MHA will also be able to claim compensation payments to offset certain costs involved in sourcing a temporary replacement.</w:t>
      </w:r>
    </w:p>
    <w:p w14:paraId="39A98289" w14:textId="77777777" w:rsidR="00EA6D0A" w:rsidRDefault="00EA6D0A" w:rsidP="00EA6D0A">
      <w:pPr>
        <w:pStyle w:val="Text2Numbered"/>
        <w:numPr>
          <w:ilvl w:val="0"/>
          <w:numId w:val="0"/>
        </w:numPr>
        <w:ind w:left="1135"/>
      </w:pPr>
    </w:p>
    <w:p w14:paraId="2E2AA669" w14:textId="37FEBACA" w:rsidR="00EA6D0A" w:rsidRDefault="00EA6D0A" w:rsidP="00EA6D0A">
      <w:pPr>
        <w:pStyle w:val="Text2Numbered"/>
      </w:pPr>
      <w:r>
        <w:t xml:space="preserve">The Reserve Forces (Safeguard of Employment) Act 1985 provides the right for the reservist to be taken back into employment upon completion of duty, provided that they were employed in the </w:t>
      </w:r>
      <w:r w:rsidR="00314B04">
        <w:t>four-week</w:t>
      </w:r>
      <w:r>
        <w:t xml:space="preserve"> period prior to call up.</w:t>
      </w:r>
    </w:p>
    <w:p w14:paraId="5DAC2129" w14:textId="77777777" w:rsidR="00BB0D11" w:rsidRPr="00EA6D0A" w:rsidRDefault="00BB0D11" w:rsidP="00BB0D11">
      <w:pPr>
        <w:pStyle w:val="Text1Numbered"/>
        <w:rPr>
          <w:b/>
          <w:bCs/>
        </w:rPr>
      </w:pPr>
      <w:r w:rsidRPr="00EA6D0A">
        <w:rPr>
          <w:b/>
          <w:bCs/>
        </w:rPr>
        <w:t>Public Duties Leave Expenses</w:t>
      </w:r>
    </w:p>
    <w:p w14:paraId="2F8104CD" w14:textId="77777777" w:rsidR="00BB0D11" w:rsidRDefault="00BB0D11" w:rsidP="00BB0D11">
      <w:pPr>
        <w:pStyle w:val="Text2Numbered"/>
      </w:pPr>
      <w:r>
        <w:t xml:space="preserve">Relevant expenses for public duties (e.g., loss of earnings) must be submitted in line with this policy using the procedures set out in the </w:t>
      </w:r>
      <w:r w:rsidRPr="00EA6D0A">
        <w:t>Business Expenses Policy, Schedule, and Guidance</w:t>
      </w:r>
      <w:r>
        <w:t xml:space="preserve"> [HR9.1].</w:t>
      </w:r>
    </w:p>
    <w:p w14:paraId="5745A4F2" w14:textId="7A127FCD" w:rsidR="00AB4251" w:rsidRDefault="001457E1" w:rsidP="00AB4251">
      <w:pPr>
        <w:pStyle w:val="Heading1Numbered"/>
      </w:pPr>
      <w:bookmarkStart w:id="16" w:name="_Toc161313025"/>
      <w:r>
        <w:t>Requesting Special Leave – Procedure</w:t>
      </w:r>
      <w:bookmarkEnd w:id="16"/>
      <w:r>
        <w:t xml:space="preserve"> </w:t>
      </w:r>
    </w:p>
    <w:p w14:paraId="6E874F27" w14:textId="0E2E7D78" w:rsidR="00BB0D11" w:rsidRDefault="00AB4251" w:rsidP="00AB4251">
      <w:pPr>
        <w:pStyle w:val="Text1Numbered"/>
      </w:pPr>
      <w:r w:rsidRPr="00AB4251">
        <w:t>All requests for</w:t>
      </w:r>
      <w:r w:rsidR="00A57609">
        <w:t xml:space="preserve"> types of special covered under this policy </w:t>
      </w:r>
      <w:r w:rsidRPr="00AB4251">
        <w:t>must be</w:t>
      </w:r>
      <w:r w:rsidR="00BB0D11">
        <w:t xml:space="preserve"> submitted to line management using the Special Leave Request Form [HR7.2a].</w:t>
      </w:r>
    </w:p>
    <w:p w14:paraId="4327D8C5" w14:textId="77777777" w:rsidR="00BB0D11" w:rsidRDefault="00BB0D11" w:rsidP="00BB0D11">
      <w:pPr>
        <w:pStyle w:val="Text1Numbered"/>
        <w:numPr>
          <w:ilvl w:val="0"/>
          <w:numId w:val="0"/>
        </w:numPr>
        <w:ind w:left="1135"/>
      </w:pPr>
    </w:p>
    <w:p w14:paraId="2F3130D3" w14:textId="77777777" w:rsidR="006770CE" w:rsidRDefault="00BB0D11" w:rsidP="00AB4251">
      <w:pPr>
        <w:pStyle w:val="Text1Numbered"/>
      </w:pPr>
      <w:r>
        <w:t>Line managers should review and approve or deny the special leave request, informing the colleague of the outcome</w:t>
      </w:r>
      <w:r w:rsidR="006770CE">
        <w:t>.</w:t>
      </w:r>
    </w:p>
    <w:p w14:paraId="3A1E268B" w14:textId="77777777" w:rsidR="006770CE" w:rsidRDefault="006770CE" w:rsidP="006770CE">
      <w:pPr>
        <w:pStyle w:val="Text1Numbered"/>
        <w:numPr>
          <w:ilvl w:val="0"/>
          <w:numId w:val="0"/>
        </w:numPr>
        <w:ind w:left="1135"/>
      </w:pPr>
    </w:p>
    <w:p w14:paraId="0D2ADF34" w14:textId="3FCD17FD" w:rsidR="006770CE" w:rsidRDefault="006770CE" w:rsidP="006770CE">
      <w:pPr>
        <w:pStyle w:val="Text1Numbered"/>
      </w:pPr>
      <w:r>
        <w:t>The following table details how to process special leave requests once they have been authorised.</w:t>
      </w:r>
    </w:p>
    <w:tbl>
      <w:tblPr>
        <w:tblStyle w:val="TableGrid"/>
        <w:tblW w:w="0" w:type="auto"/>
        <w:tblInd w:w="-5" w:type="dxa"/>
        <w:tblLook w:val="04A0" w:firstRow="1" w:lastRow="0" w:firstColumn="1" w:lastColumn="0" w:noHBand="0" w:noVBand="1"/>
      </w:tblPr>
      <w:tblGrid>
        <w:gridCol w:w="1843"/>
        <w:gridCol w:w="1462"/>
        <w:gridCol w:w="4350"/>
        <w:gridCol w:w="1899"/>
      </w:tblGrid>
      <w:tr w:rsidR="006770CE" w14:paraId="705B381D" w14:textId="77777777" w:rsidTr="006770CE">
        <w:tc>
          <w:tcPr>
            <w:tcW w:w="1843" w:type="dxa"/>
            <w:shd w:val="clear" w:color="auto" w:fill="4F868E" w:themeFill="accent1"/>
          </w:tcPr>
          <w:p w14:paraId="559483D7" w14:textId="0928576E" w:rsidR="006770CE" w:rsidRPr="006770CE" w:rsidRDefault="006770CE" w:rsidP="006770CE">
            <w:pPr>
              <w:pStyle w:val="ListParagraph"/>
              <w:ind w:left="0"/>
              <w:rPr>
                <w:b/>
                <w:bCs/>
                <w:color w:val="FFFFFF" w:themeColor="background1"/>
              </w:rPr>
            </w:pPr>
            <w:r w:rsidRPr="006770CE">
              <w:rPr>
                <w:b/>
                <w:bCs/>
                <w:color w:val="FFFFFF" w:themeColor="background1"/>
              </w:rPr>
              <w:t>Colleague</w:t>
            </w:r>
          </w:p>
        </w:tc>
        <w:tc>
          <w:tcPr>
            <w:tcW w:w="1462" w:type="dxa"/>
            <w:shd w:val="clear" w:color="auto" w:fill="4F868E" w:themeFill="accent1"/>
          </w:tcPr>
          <w:p w14:paraId="6CBC167D" w14:textId="7DC9BEB4" w:rsidR="006770CE" w:rsidRPr="006770CE" w:rsidRDefault="006770CE" w:rsidP="006770CE">
            <w:pPr>
              <w:pStyle w:val="ListParagraph"/>
              <w:ind w:left="0"/>
              <w:rPr>
                <w:b/>
                <w:bCs/>
                <w:color w:val="FFFFFF" w:themeColor="background1"/>
              </w:rPr>
            </w:pPr>
            <w:r w:rsidRPr="006770CE">
              <w:rPr>
                <w:b/>
                <w:bCs/>
                <w:color w:val="FFFFFF" w:themeColor="background1"/>
              </w:rPr>
              <w:t>Loggin System</w:t>
            </w:r>
          </w:p>
        </w:tc>
        <w:tc>
          <w:tcPr>
            <w:tcW w:w="4350" w:type="dxa"/>
            <w:shd w:val="clear" w:color="auto" w:fill="4F868E" w:themeFill="accent1"/>
          </w:tcPr>
          <w:p w14:paraId="06B79CD8" w14:textId="69D6B3F4" w:rsidR="006770CE" w:rsidRPr="006770CE" w:rsidRDefault="006770CE" w:rsidP="006770CE">
            <w:pPr>
              <w:pStyle w:val="ListParagraph"/>
              <w:ind w:left="0"/>
              <w:rPr>
                <w:b/>
                <w:bCs/>
                <w:color w:val="FFFFFF" w:themeColor="background1"/>
              </w:rPr>
            </w:pPr>
            <w:r w:rsidRPr="006770CE">
              <w:rPr>
                <w:b/>
                <w:bCs/>
                <w:color w:val="FFFFFF" w:themeColor="background1"/>
              </w:rPr>
              <w:t>Processing</w:t>
            </w:r>
          </w:p>
        </w:tc>
        <w:tc>
          <w:tcPr>
            <w:tcW w:w="1899" w:type="dxa"/>
            <w:shd w:val="clear" w:color="auto" w:fill="4F868E" w:themeFill="accent1"/>
          </w:tcPr>
          <w:p w14:paraId="4D08BF71" w14:textId="69AC8A9F" w:rsidR="006770CE" w:rsidRPr="006770CE" w:rsidRDefault="006770CE" w:rsidP="006770CE">
            <w:pPr>
              <w:pStyle w:val="ListParagraph"/>
              <w:ind w:left="0"/>
              <w:rPr>
                <w:b/>
                <w:bCs/>
                <w:color w:val="FFFFFF" w:themeColor="background1"/>
              </w:rPr>
            </w:pPr>
            <w:r w:rsidRPr="006770CE">
              <w:rPr>
                <w:b/>
                <w:bCs/>
                <w:color w:val="FFFFFF" w:themeColor="background1"/>
              </w:rPr>
              <w:t>Responsible</w:t>
            </w:r>
          </w:p>
        </w:tc>
      </w:tr>
      <w:tr w:rsidR="006770CE" w14:paraId="1EA6987F" w14:textId="77777777" w:rsidTr="006770CE">
        <w:tc>
          <w:tcPr>
            <w:tcW w:w="1843" w:type="dxa"/>
          </w:tcPr>
          <w:p w14:paraId="3D9926E6" w14:textId="20EEC558" w:rsidR="006770CE" w:rsidRPr="006770CE" w:rsidRDefault="006770CE" w:rsidP="006770CE">
            <w:pPr>
              <w:pStyle w:val="ListParagraph"/>
              <w:ind w:left="0"/>
              <w:rPr>
                <w:b/>
                <w:bCs/>
              </w:rPr>
            </w:pPr>
            <w:r w:rsidRPr="006770CE">
              <w:rPr>
                <w:b/>
                <w:bCs/>
              </w:rPr>
              <w:t>Operations</w:t>
            </w:r>
          </w:p>
        </w:tc>
        <w:tc>
          <w:tcPr>
            <w:tcW w:w="1462" w:type="dxa"/>
          </w:tcPr>
          <w:p w14:paraId="7684B275" w14:textId="74DBDE05" w:rsidR="006770CE" w:rsidRDefault="006770CE" w:rsidP="006770CE">
            <w:pPr>
              <w:pStyle w:val="ListParagraph"/>
              <w:ind w:left="0"/>
            </w:pPr>
            <w:r>
              <w:t>Careblox</w:t>
            </w:r>
          </w:p>
        </w:tc>
        <w:tc>
          <w:tcPr>
            <w:tcW w:w="4350" w:type="dxa"/>
          </w:tcPr>
          <w:p w14:paraId="5BBF3182" w14:textId="1E984026" w:rsidR="006770CE" w:rsidRDefault="006770CE" w:rsidP="006770CE">
            <w:pPr>
              <w:pStyle w:val="ListParagraph"/>
              <w:ind w:left="0"/>
            </w:pPr>
            <w:r>
              <w:t>Log special leave into Careblox</w:t>
            </w:r>
          </w:p>
        </w:tc>
        <w:tc>
          <w:tcPr>
            <w:tcW w:w="1899" w:type="dxa"/>
          </w:tcPr>
          <w:p w14:paraId="50DB1D92" w14:textId="6E2A9EAA" w:rsidR="006770CE" w:rsidRDefault="006770CE" w:rsidP="006770CE">
            <w:pPr>
              <w:pStyle w:val="ListParagraph"/>
              <w:ind w:left="0"/>
            </w:pPr>
            <w:r>
              <w:t>Line Manager</w:t>
            </w:r>
          </w:p>
        </w:tc>
      </w:tr>
      <w:tr w:rsidR="006770CE" w14:paraId="35B9548C" w14:textId="77777777" w:rsidTr="006770CE">
        <w:tc>
          <w:tcPr>
            <w:tcW w:w="1843" w:type="dxa"/>
          </w:tcPr>
          <w:p w14:paraId="480709BA" w14:textId="34D7B94C" w:rsidR="006770CE" w:rsidRPr="006770CE" w:rsidRDefault="006770CE" w:rsidP="006770CE">
            <w:pPr>
              <w:pStyle w:val="ListParagraph"/>
              <w:ind w:left="0"/>
              <w:rPr>
                <w:b/>
                <w:bCs/>
              </w:rPr>
            </w:pPr>
            <w:r w:rsidRPr="006770CE">
              <w:rPr>
                <w:b/>
                <w:bCs/>
              </w:rPr>
              <w:t xml:space="preserve">Operations – </w:t>
            </w:r>
            <w:r w:rsidRPr="006770CE">
              <w:t>Colleagues on the new rostering system (2024)</w:t>
            </w:r>
          </w:p>
        </w:tc>
        <w:tc>
          <w:tcPr>
            <w:tcW w:w="1462" w:type="dxa"/>
          </w:tcPr>
          <w:p w14:paraId="7835000C" w14:textId="4CA25F66" w:rsidR="006770CE" w:rsidRDefault="006770CE" w:rsidP="006770CE">
            <w:pPr>
              <w:pStyle w:val="ListParagraph"/>
              <w:ind w:left="0"/>
            </w:pPr>
            <w:r>
              <w:t>mhapeople</w:t>
            </w:r>
          </w:p>
        </w:tc>
        <w:tc>
          <w:tcPr>
            <w:tcW w:w="4350" w:type="dxa"/>
          </w:tcPr>
          <w:p w14:paraId="244FCA3E" w14:textId="75FED997" w:rsidR="006770CE" w:rsidRDefault="006770CE" w:rsidP="006770CE">
            <w:pPr>
              <w:pStyle w:val="ListParagraph"/>
              <w:ind w:left="0"/>
            </w:pPr>
            <w:r>
              <w:t>Log special leave into mhapeople</w:t>
            </w:r>
          </w:p>
        </w:tc>
        <w:tc>
          <w:tcPr>
            <w:tcW w:w="1899" w:type="dxa"/>
          </w:tcPr>
          <w:p w14:paraId="240E65FF" w14:textId="2AF9B986" w:rsidR="006770CE" w:rsidRDefault="006770CE" w:rsidP="006770CE">
            <w:pPr>
              <w:pStyle w:val="ListParagraph"/>
              <w:ind w:left="0"/>
            </w:pPr>
            <w:r>
              <w:t>Line Manager</w:t>
            </w:r>
          </w:p>
        </w:tc>
      </w:tr>
      <w:tr w:rsidR="006770CE" w14:paraId="1AA938A3" w14:textId="77777777" w:rsidTr="006770CE">
        <w:tc>
          <w:tcPr>
            <w:tcW w:w="1843" w:type="dxa"/>
          </w:tcPr>
          <w:p w14:paraId="7BED43C7" w14:textId="3058B232" w:rsidR="006770CE" w:rsidRPr="006770CE" w:rsidRDefault="006770CE" w:rsidP="006770CE">
            <w:pPr>
              <w:pStyle w:val="ListParagraph"/>
              <w:ind w:left="0"/>
              <w:rPr>
                <w:b/>
                <w:bCs/>
              </w:rPr>
            </w:pPr>
            <w:r w:rsidRPr="006770CE">
              <w:rPr>
                <w:b/>
                <w:bCs/>
              </w:rPr>
              <w:t>Central Support</w:t>
            </w:r>
          </w:p>
        </w:tc>
        <w:tc>
          <w:tcPr>
            <w:tcW w:w="1462" w:type="dxa"/>
          </w:tcPr>
          <w:p w14:paraId="21ED6105" w14:textId="3D789E8F" w:rsidR="006770CE" w:rsidRDefault="006770CE" w:rsidP="006770CE">
            <w:pPr>
              <w:pStyle w:val="ListParagraph"/>
              <w:ind w:left="0"/>
            </w:pPr>
            <w:r>
              <w:t>None</w:t>
            </w:r>
          </w:p>
        </w:tc>
        <w:tc>
          <w:tcPr>
            <w:tcW w:w="4350" w:type="dxa"/>
          </w:tcPr>
          <w:p w14:paraId="2AAFAE58" w14:textId="3AF56886" w:rsidR="006770CE" w:rsidRDefault="006770CE" w:rsidP="006770CE">
            <w:pPr>
              <w:pStyle w:val="ListParagraph"/>
              <w:ind w:left="0"/>
            </w:pPr>
            <w:r>
              <w:t xml:space="preserve">Send the completed form along with authorisation to payroll for processing - </w:t>
            </w:r>
            <w:hyperlink r:id="rId10" w:history="1">
              <w:r w:rsidRPr="00412C97">
                <w:rPr>
                  <w:rStyle w:val="Hyperlink"/>
                </w:rPr>
                <w:t>payrollandpensions@mha.org.uk</w:t>
              </w:r>
            </w:hyperlink>
          </w:p>
        </w:tc>
        <w:tc>
          <w:tcPr>
            <w:tcW w:w="1899" w:type="dxa"/>
          </w:tcPr>
          <w:p w14:paraId="30C04248" w14:textId="2DC6225B" w:rsidR="006770CE" w:rsidRDefault="006770CE" w:rsidP="006770CE">
            <w:pPr>
              <w:pStyle w:val="ListParagraph"/>
              <w:ind w:left="0"/>
            </w:pPr>
            <w:r>
              <w:t>Line Manager</w:t>
            </w:r>
          </w:p>
        </w:tc>
      </w:tr>
    </w:tbl>
    <w:p w14:paraId="2498757C" w14:textId="77777777" w:rsidR="002A2D9E" w:rsidRDefault="002A2D9E" w:rsidP="006770CE">
      <w:pPr>
        <w:pStyle w:val="Text1Numbered"/>
        <w:numPr>
          <w:ilvl w:val="0"/>
          <w:numId w:val="0"/>
        </w:numPr>
      </w:pPr>
    </w:p>
    <w:p w14:paraId="788CDD5D" w14:textId="5689C70D" w:rsidR="00AB4251" w:rsidRDefault="00AB4251" w:rsidP="00AB4251">
      <w:pPr>
        <w:pStyle w:val="Text1Numbered"/>
      </w:pPr>
      <w:r w:rsidRPr="00AB4251">
        <w:t xml:space="preserve">Applications for extended paid leave must be approved by the Area Manager or equivalent and submitted by them to the Director of People and </w:t>
      </w:r>
      <w:r w:rsidR="00F428C6" w:rsidRPr="00AB4251">
        <w:t>Co</w:t>
      </w:r>
      <w:r w:rsidR="00F428C6">
        <w:t>mmunications</w:t>
      </w:r>
      <w:r w:rsidRPr="00AB4251">
        <w:t xml:space="preserve"> </w:t>
      </w:r>
      <w:r w:rsidR="00061AF9">
        <w:t xml:space="preserve">for approval. The Area Manager or equivalent must provide further detail as necessary on the rationale for the request. </w:t>
      </w:r>
    </w:p>
    <w:p w14:paraId="2C706BDE" w14:textId="77777777" w:rsidR="001457E1" w:rsidRDefault="001457E1" w:rsidP="001457E1">
      <w:pPr>
        <w:pStyle w:val="Text1Numbered"/>
        <w:numPr>
          <w:ilvl w:val="0"/>
          <w:numId w:val="0"/>
        </w:numPr>
        <w:ind w:left="1135"/>
      </w:pPr>
    </w:p>
    <w:p w14:paraId="1D9A6776" w14:textId="28902CE7" w:rsidR="001457E1" w:rsidRDefault="001457E1" w:rsidP="001457E1">
      <w:pPr>
        <w:pStyle w:val="Text1Numbered"/>
      </w:pPr>
      <w:r>
        <w:t xml:space="preserve">If an emergency arises whilst the colleague is at work, they must </w:t>
      </w:r>
      <w:r w:rsidR="003A5F00">
        <w:t xml:space="preserve">discuss the situation with </w:t>
      </w:r>
      <w:r>
        <w:t>their line manager or another senior manager of the situation before leav</w:t>
      </w:r>
      <w:r w:rsidR="00061AF9">
        <w:t>ing</w:t>
      </w:r>
      <w:r>
        <w:t xml:space="preserve"> the workplace.</w:t>
      </w:r>
    </w:p>
    <w:p w14:paraId="7B801BEE" w14:textId="3FDAA958" w:rsidR="00AB4251" w:rsidRDefault="00040642" w:rsidP="00040642">
      <w:pPr>
        <w:pStyle w:val="Heading1Numbered"/>
      </w:pPr>
      <w:bookmarkStart w:id="17" w:name="_Toc154654947"/>
      <w:bookmarkStart w:id="18" w:name="_Toc159235423"/>
      <w:bookmarkStart w:id="19" w:name="_Toc154654948"/>
      <w:bookmarkStart w:id="20" w:name="_Toc159235424"/>
      <w:bookmarkStart w:id="21" w:name="_Toc154654949"/>
      <w:bookmarkStart w:id="22" w:name="_Toc159235425"/>
      <w:bookmarkStart w:id="23" w:name="_Toc154654950"/>
      <w:bookmarkStart w:id="24" w:name="_Toc159235426"/>
      <w:bookmarkStart w:id="25" w:name="_Toc154654951"/>
      <w:bookmarkStart w:id="26" w:name="_Toc159235427"/>
      <w:bookmarkStart w:id="27" w:name="_Toc154654952"/>
      <w:bookmarkStart w:id="28" w:name="_Toc159235428"/>
      <w:bookmarkStart w:id="29" w:name="_Toc154654953"/>
      <w:bookmarkStart w:id="30" w:name="_Toc159235429"/>
      <w:bookmarkStart w:id="31" w:name="_Toc154654954"/>
      <w:bookmarkStart w:id="32" w:name="_Toc159235430"/>
      <w:bookmarkStart w:id="33" w:name="_Toc154654955"/>
      <w:bookmarkStart w:id="34" w:name="_Toc159235431"/>
      <w:bookmarkStart w:id="35" w:name="_Toc154654956"/>
      <w:bookmarkStart w:id="36" w:name="_Toc159235432"/>
      <w:bookmarkStart w:id="37" w:name="_Toc154654957"/>
      <w:bookmarkStart w:id="38" w:name="_Toc159235433"/>
      <w:bookmarkStart w:id="39" w:name="_Toc16131302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t>Colleague Support</w:t>
      </w:r>
      <w:bookmarkEnd w:id="39"/>
    </w:p>
    <w:p w14:paraId="7534531A" w14:textId="35FA9484" w:rsidR="00040642" w:rsidRPr="00040642" w:rsidRDefault="00040642" w:rsidP="00040642">
      <w:pPr>
        <w:pStyle w:val="Text1Numbered"/>
      </w:pPr>
      <w:r w:rsidRPr="00040642">
        <w:t xml:space="preserve">MHA has a range of potential support available through its’ Chaplaincy and counselling services. More information </w:t>
      </w:r>
      <w:r w:rsidR="006803B1">
        <w:t xml:space="preserve">on our counselling service </w:t>
      </w:r>
      <w:r w:rsidR="00C96BF6" w:rsidRPr="00040642">
        <w:t xml:space="preserve">Vivup, </w:t>
      </w:r>
      <w:r w:rsidR="006803B1">
        <w:t xml:space="preserve">is available </w:t>
      </w:r>
      <w:r w:rsidRPr="00040642">
        <w:t xml:space="preserve">on MHA’s </w:t>
      </w:r>
      <w:r w:rsidR="00C96BF6">
        <w:t xml:space="preserve">Employee Assistance Page </w:t>
      </w:r>
      <w:r w:rsidR="006770CE">
        <w:t xml:space="preserve">(EAP) </w:t>
      </w:r>
      <w:r w:rsidR="00C96BF6">
        <w:t>or my</w:t>
      </w:r>
      <w:r w:rsidR="006770CE">
        <w:t>m</w:t>
      </w:r>
      <w:r w:rsidR="00C96BF6">
        <w:t xml:space="preserve">ha or </w:t>
      </w:r>
      <w:r w:rsidRPr="00040642">
        <w:t>alternatively please speak to you line manager for more information.</w:t>
      </w:r>
    </w:p>
    <w:p w14:paraId="07077A55" w14:textId="77777777" w:rsidR="00A92CD7" w:rsidRPr="004C3545" w:rsidRDefault="009A0ED4" w:rsidP="00914FC1">
      <w:pPr>
        <w:pStyle w:val="Heading1Numbered"/>
      </w:pPr>
      <w:bookmarkStart w:id="40" w:name="_Toc161313027"/>
      <w:r w:rsidRPr="004C3545">
        <w:t xml:space="preserve">Roles </w:t>
      </w:r>
      <w:r w:rsidR="001310BB">
        <w:t>and</w:t>
      </w:r>
      <w:r w:rsidRPr="004C3545">
        <w:t xml:space="preserve"> Responsibilities</w:t>
      </w:r>
      <w:bookmarkEnd w:id="40"/>
    </w:p>
    <w:tbl>
      <w:tblPr>
        <w:tblStyle w:val="MHATable"/>
        <w:tblW w:w="0" w:type="auto"/>
        <w:tblLook w:val="04A0" w:firstRow="1" w:lastRow="0" w:firstColumn="1" w:lastColumn="0" w:noHBand="0" w:noVBand="1"/>
      </w:tblPr>
      <w:tblGrid>
        <w:gridCol w:w="2122"/>
        <w:gridCol w:w="7371"/>
      </w:tblGrid>
      <w:tr w:rsidR="00A92CD7" w:rsidRPr="004C3545" w14:paraId="05D719F1" w14:textId="77777777" w:rsidTr="00BB0D11">
        <w:trPr>
          <w:cnfStyle w:val="100000000000" w:firstRow="1" w:lastRow="0" w:firstColumn="0" w:lastColumn="0" w:oddVBand="0" w:evenVBand="0" w:oddHBand="0" w:evenHBand="0" w:firstRowFirstColumn="0" w:firstRowLastColumn="0" w:lastRowFirstColumn="0" w:lastRowLastColumn="0"/>
        </w:trPr>
        <w:tc>
          <w:tcPr>
            <w:tcW w:w="2122" w:type="dxa"/>
          </w:tcPr>
          <w:p w14:paraId="44ECCE45" w14:textId="77777777" w:rsidR="00A92CD7" w:rsidRPr="004C3545" w:rsidRDefault="00A92CD7" w:rsidP="002D47FD">
            <w:r w:rsidRPr="004C3545">
              <w:t>Role</w:t>
            </w:r>
          </w:p>
        </w:tc>
        <w:tc>
          <w:tcPr>
            <w:tcW w:w="7371" w:type="dxa"/>
          </w:tcPr>
          <w:p w14:paraId="4BB1FA2B" w14:textId="77777777" w:rsidR="00A92CD7" w:rsidRPr="004C3545" w:rsidRDefault="00A92CD7" w:rsidP="002D47FD">
            <w:r w:rsidRPr="004C3545">
              <w:t>Responsibilities</w:t>
            </w:r>
          </w:p>
        </w:tc>
      </w:tr>
      <w:tr w:rsidR="00772CA5" w:rsidRPr="004C3545" w14:paraId="37A44560" w14:textId="77777777" w:rsidTr="00BB0D11">
        <w:tc>
          <w:tcPr>
            <w:tcW w:w="2122" w:type="dxa"/>
          </w:tcPr>
          <w:p w14:paraId="280AEF9E" w14:textId="77777777" w:rsidR="00772CA5" w:rsidRPr="00BB0D11" w:rsidRDefault="00772CA5" w:rsidP="00772CA5">
            <w:pPr>
              <w:rPr>
                <w:b/>
                <w:bCs/>
              </w:rPr>
            </w:pPr>
            <w:r w:rsidRPr="00BB0D11">
              <w:rPr>
                <w:rFonts w:cs="Arial"/>
                <w:b/>
                <w:bCs/>
                <w:szCs w:val="22"/>
              </w:rPr>
              <w:t>All Colleagues</w:t>
            </w:r>
          </w:p>
        </w:tc>
        <w:tc>
          <w:tcPr>
            <w:tcW w:w="7371" w:type="dxa"/>
          </w:tcPr>
          <w:p w14:paraId="6918764D" w14:textId="77777777" w:rsidR="00772CA5" w:rsidRDefault="00AB4251" w:rsidP="00040642">
            <w:pPr>
              <w:pStyle w:val="Textlist-bullet"/>
            </w:pPr>
            <w:r w:rsidRPr="00AB4251">
              <w:t>All those persons referred to within the Scope of this policy are required to adhere to its terms and conditions</w:t>
            </w:r>
            <w:r w:rsidR="0064309F" w:rsidRPr="00AB4251">
              <w:t xml:space="preserve">. </w:t>
            </w:r>
            <w:r w:rsidRPr="00AB4251">
              <w:t>They must understand that this policy is also incorporated into their contract of employment.</w:t>
            </w:r>
          </w:p>
          <w:p w14:paraId="46975BA9" w14:textId="3F661EE0" w:rsidR="00FC324E" w:rsidRPr="004C3545" w:rsidRDefault="00FC324E" w:rsidP="00040642">
            <w:pPr>
              <w:pStyle w:val="Textlist-bullet"/>
            </w:pPr>
            <w:r>
              <w:t>Request special leave in line with the procedures set out in this policy.</w:t>
            </w:r>
          </w:p>
        </w:tc>
      </w:tr>
      <w:tr w:rsidR="00772CA5" w:rsidRPr="004C3545" w14:paraId="43438182" w14:textId="77777777" w:rsidTr="00BB0D11">
        <w:tc>
          <w:tcPr>
            <w:tcW w:w="2122" w:type="dxa"/>
          </w:tcPr>
          <w:p w14:paraId="34064BB1" w14:textId="77777777" w:rsidR="00772CA5" w:rsidRPr="00BB0D11" w:rsidRDefault="00772CA5" w:rsidP="00772CA5">
            <w:pPr>
              <w:rPr>
                <w:b/>
                <w:bCs/>
              </w:rPr>
            </w:pPr>
            <w:r w:rsidRPr="00BB0D11">
              <w:rPr>
                <w:rFonts w:cs="Arial"/>
                <w:b/>
                <w:bCs/>
                <w:szCs w:val="22"/>
              </w:rPr>
              <w:t>Line Management</w:t>
            </w:r>
          </w:p>
        </w:tc>
        <w:tc>
          <w:tcPr>
            <w:tcW w:w="7371" w:type="dxa"/>
          </w:tcPr>
          <w:p w14:paraId="37F5EAE5" w14:textId="7EA61948" w:rsidR="00040642" w:rsidRDefault="00AB4251" w:rsidP="00040642">
            <w:pPr>
              <w:pStyle w:val="Textlist-bullet"/>
            </w:pPr>
            <w:r w:rsidRPr="00AB4251">
              <w:t>Individual line managers are responsible for ensuring that this policy is applied within their own area</w:t>
            </w:r>
            <w:r w:rsidR="0064309F" w:rsidRPr="00AB4251">
              <w:t xml:space="preserve">. </w:t>
            </w:r>
          </w:p>
          <w:p w14:paraId="70929AA4" w14:textId="4524DE03" w:rsidR="006770CE" w:rsidRPr="004C3545" w:rsidRDefault="006770CE" w:rsidP="00040642">
            <w:pPr>
              <w:pStyle w:val="Textlist-bullet"/>
            </w:pPr>
            <w:r>
              <w:t xml:space="preserve">Follow the </w:t>
            </w:r>
            <w:r w:rsidR="00F428C6">
              <w:t xml:space="preserve">reporting </w:t>
            </w:r>
            <w:r>
              <w:t>procedure for special leave in line with this policy.</w:t>
            </w:r>
          </w:p>
        </w:tc>
      </w:tr>
      <w:tr w:rsidR="00BB0D11" w:rsidRPr="004C3545" w14:paraId="2584B624" w14:textId="77777777" w:rsidTr="00BB0D11">
        <w:tc>
          <w:tcPr>
            <w:tcW w:w="2122" w:type="dxa"/>
          </w:tcPr>
          <w:p w14:paraId="1AB720A8" w14:textId="02C1E9C1" w:rsidR="00BB0D11" w:rsidRPr="00BB0D11" w:rsidRDefault="00BB0D11" w:rsidP="00772CA5">
            <w:pPr>
              <w:rPr>
                <w:rFonts w:cs="Arial"/>
                <w:b/>
                <w:bCs/>
                <w:szCs w:val="22"/>
              </w:rPr>
            </w:pPr>
            <w:r>
              <w:rPr>
                <w:rFonts w:cs="Arial"/>
                <w:b/>
                <w:bCs/>
                <w:szCs w:val="22"/>
              </w:rPr>
              <w:t>Area Managers</w:t>
            </w:r>
          </w:p>
        </w:tc>
        <w:tc>
          <w:tcPr>
            <w:tcW w:w="7371" w:type="dxa"/>
          </w:tcPr>
          <w:p w14:paraId="7E6C8DB1" w14:textId="68F39A3B" w:rsidR="00BB0D11" w:rsidRPr="00AB4251" w:rsidRDefault="00BB0D11" w:rsidP="00040642">
            <w:pPr>
              <w:pStyle w:val="Textlist-bullet"/>
            </w:pPr>
            <w:r>
              <w:t>Where applicable, to approve special leave requests for operational colleagues.</w:t>
            </w:r>
          </w:p>
        </w:tc>
      </w:tr>
      <w:tr w:rsidR="00040642" w:rsidRPr="004C3545" w14:paraId="31E96F7A" w14:textId="77777777" w:rsidTr="00BB0D11">
        <w:tc>
          <w:tcPr>
            <w:tcW w:w="2122" w:type="dxa"/>
          </w:tcPr>
          <w:p w14:paraId="332F6E1A" w14:textId="3265E07F" w:rsidR="00040642" w:rsidRPr="00BB0D11" w:rsidRDefault="00F428C6" w:rsidP="00772CA5">
            <w:pPr>
              <w:rPr>
                <w:rFonts w:cs="Arial"/>
                <w:b/>
                <w:bCs/>
                <w:szCs w:val="22"/>
              </w:rPr>
            </w:pPr>
            <w:r>
              <w:rPr>
                <w:rFonts w:cs="Arial"/>
                <w:b/>
                <w:bCs/>
                <w:szCs w:val="22"/>
              </w:rPr>
              <w:t xml:space="preserve">HR </w:t>
            </w:r>
            <w:r w:rsidR="00040642" w:rsidRPr="00BB0D11">
              <w:rPr>
                <w:rFonts w:cs="Arial"/>
                <w:b/>
                <w:bCs/>
                <w:szCs w:val="22"/>
              </w:rPr>
              <w:t>Team (HR)</w:t>
            </w:r>
          </w:p>
        </w:tc>
        <w:tc>
          <w:tcPr>
            <w:tcW w:w="7371" w:type="dxa"/>
          </w:tcPr>
          <w:p w14:paraId="3D9FAE2B" w14:textId="1A223EA4" w:rsidR="00040642" w:rsidRPr="00AB4251" w:rsidRDefault="00040642" w:rsidP="00040642">
            <w:pPr>
              <w:pStyle w:val="Textlist-bullet"/>
            </w:pPr>
            <w:r w:rsidRPr="00040642">
              <w:t>Any queries on the application or interpretation of this policy must be discussed with</w:t>
            </w:r>
            <w:r w:rsidR="00F428C6">
              <w:t xml:space="preserve"> the HR team.</w:t>
            </w:r>
            <w:r w:rsidRPr="00040642">
              <w:t xml:space="preserve"> </w:t>
            </w:r>
          </w:p>
        </w:tc>
      </w:tr>
      <w:tr w:rsidR="006770CE" w:rsidRPr="004C3545" w14:paraId="2B06C507" w14:textId="77777777" w:rsidTr="00BB0D11">
        <w:tc>
          <w:tcPr>
            <w:tcW w:w="2122" w:type="dxa"/>
          </w:tcPr>
          <w:p w14:paraId="31BE6D80" w14:textId="4EF2AFBF" w:rsidR="006770CE" w:rsidRPr="00BB0D11" w:rsidRDefault="006770CE" w:rsidP="00772CA5">
            <w:pPr>
              <w:rPr>
                <w:rFonts w:cs="Arial"/>
                <w:b/>
                <w:bCs/>
                <w:szCs w:val="22"/>
              </w:rPr>
            </w:pPr>
            <w:r>
              <w:rPr>
                <w:rFonts w:cs="Arial"/>
                <w:b/>
                <w:bCs/>
                <w:szCs w:val="22"/>
              </w:rPr>
              <w:t>Payroll and Pensions Team</w:t>
            </w:r>
          </w:p>
        </w:tc>
        <w:tc>
          <w:tcPr>
            <w:tcW w:w="7371" w:type="dxa"/>
          </w:tcPr>
          <w:p w14:paraId="717B8769" w14:textId="5C1F148D" w:rsidR="006770CE" w:rsidRPr="00040642" w:rsidRDefault="006770CE" w:rsidP="00040642">
            <w:pPr>
              <w:pStyle w:val="Textlist-bullet"/>
            </w:pPr>
            <w:r>
              <w:t>Process central support special leave requests.</w:t>
            </w:r>
          </w:p>
        </w:tc>
      </w:tr>
    </w:tbl>
    <w:p w14:paraId="0FCC42DA" w14:textId="77777777" w:rsidR="00244765" w:rsidRPr="004C3545" w:rsidRDefault="00244765" w:rsidP="00903AA2">
      <w:pPr>
        <w:rPr>
          <w:rFonts w:cs="Arial"/>
          <w:spacing w:val="7"/>
        </w:rPr>
      </w:pPr>
    </w:p>
    <w:p w14:paraId="2A2D6AE1" w14:textId="77777777" w:rsidR="00DF67AA" w:rsidRDefault="009A0ED4" w:rsidP="00D558F5">
      <w:pPr>
        <w:pStyle w:val="Heading1Numbered"/>
      </w:pPr>
      <w:bookmarkStart w:id="41" w:name="_Toc161313028"/>
      <w:r w:rsidRPr="00B2494E">
        <w:t>Training</w:t>
      </w:r>
      <w:r w:rsidR="002B5CDA" w:rsidRPr="00B2494E">
        <w:t xml:space="preserve"> </w:t>
      </w:r>
      <w:r w:rsidR="001310BB" w:rsidRPr="00B2494E">
        <w:t>and</w:t>
      </w:r>
      <w:r w:rsidR="002B5CDA" w:rsidRPr="00B2494E">
        <w:t xml:space="preserve"> Monitoring</w:t>
      </w:r>
      <w:bookmarkEnd w:id="41"/>
    </w:p>
    <w:p w14:paraId="2B6A10BB" w14:textId="77777777" w:rsidR="002E4B12" w:rsidRPr="002E4B12" w:rsidRDefault="00082857" w:rsidP="002E4B12">
      <w:pPr>
        <w:pStyle w:val="Text1Numbered"/>
      </w:pPr>
      <w:r>
        <w:t xml:space="preserve">Compliance is assessed through direct observation, </w:t>
      </w:r>
      <w:r w:rsidR="00306ED7">
        <w:t>monitoring,</w:t>
      </w:r>
      <w:r>
        <w:t xml:space="preserve"> and supervision of our colleagues.</w:t>
      </w:r>
    </w:p>
    <w:p w14:paraId="1F10AB5B" w14:textId="77777777" w:rsidR="00DF67AA" w:rsidRDefault="000C7997" w:rsidP="00D558F5">
      <w:pPr>
        <w:pStyle w:val="Heading1Numbered"/>
      </w:pPr>
      <w:bookmarkStart w:id="42" w:name="_Toc161313029"/>
      <w:r w:rsidRPr="000C7997">
        <w:t>Communication and Dissemination</w:t>
      </w:r>
      <w:bookmarkEnd w:id="42"/>
    </w:p>
    <w:p w14:paraId="5D8A783B" w14:textId="77777777" w:rsidR="00D47ABA" w:rsidRDefault="00D47ABA" w:rsidP="00D47ABA">
      <w:pPr>
        <w:pStyle w:val="Text1Numbered"/>
      </w:pPr>
      <w:r>
        <w:t>This policy is disseminated and implemented within all MHA services through MHA’s channels of communication.</w:t>
      </w:r>
    </w:p>
    <w:p w14:paraId="243355CA" w14:textId="77777777" w:rsidR="00D47ABA" w:rsidRDefault="00D47ABA" w:rsidP="00082857">
      <w:pPr>
        <w:pStyle w:val="Text1Numbered"/>
        <w:numPr>
          <w:ilvl w:val="0"/>
          <w:numId w:val="0"/>
        </w:numPr>
      </w:pPr>
    </w:p>
    <w:p w14:paraId="606EDE81" w14:textId="77777777" w:rsidR="00D47ABA" w:rsidRDefault="00D47ABA" w:rsidP="00D47ABA">
      <w:pPr>
        <w:pStyle w:val="Text1Numbered"/>
      </w:pPr>
      <w:r>
        <w:t>Each colleague’s line manager must ensure that all teams are aware of their roles, responsibilities.</w:t>
      </w:r>
    </w:p>
    <w:p w14:paraId="185AD694" w14:textId="77777777" w:rsidR="00D47ABA" w:rsidRDefault="00D47ABA" w:rsidP="00D47ABA">
      <w:pPr>
        <w:pStyle w:val="Text1Numbered"/>
        <w:numPr>
          <w:ilvl w:val="0"/>
          <w:numId w:val="0"/>
        </w:numPr>
      </w:pPr>
    </w:p>
    <w:p w14:paraId="6FE6ABD4" w14:textId="77777777" w:rsidR="00D47ABA" w:rsidRDefault="00D47ABA" w:rsidP="00D47ABA">
      <w:pPr>
        <w:pStyle w:val="Text1Numbered"/>
      </w:pPr>
      <w:r>
        <w:t>This policy will be available to the people we support and their representatives in alternate formats, as required.</w:t>
      </w:r>
    </w:p>
    <w:p w14:paraId="7F5AC977" w14:textId="77777777" w:rsidR="00D47ABA" w:rsidRDefault="00D47ABA" w:rsidP="00D47ABA">
      <w:pPr>
        <w:pStyle w:val="Text1Numbered"/>
        <w:numPr>
          <w:ilvl w:val="0"/>
          <w:numId w:val="0"/>
        </w:numPr>
      </w:pPr>
    </w:p>
    <w:p w14:paraId="2DA1FF18" w14:textId="0036E1D3" w:rsidR="006770CE" w:rsidRDefault="00D47ABA" w:rsidP="0063254C">
      <w:pPr>
        <w:pStyle w:val="Text1Numbered"/>
      </w:pPr>
      <w:r>
        <w:t>Any review of this policy will include consultation with our colleagues, review of support planning, incident reports, quality audits and feedback from other agencies.</w:t>
      </w:r>
    </w:p>
    <w:p w14:paraId="53BF9EFB" w14:textId="77777777" w:rsidR="006770CE" w:rsidRPr="00D346A4" w:rsidRDefault="006770CE" w:rsidP="006770CE">
      <w:pPr>
        <w:pStyle w:val="Text1Numbered"/>
        <w:numPr>
          <w:ilvl w:val="0"/>
          <w:numId w:val="0"/>
        </w:numPr>
        <w:rPr>
          <w:sz w:val="22"/>
          <w:szCs w:val="22"/>
        </w:rPr>
      </w:pPr>
    </w:p>
    <w:p w14:paraId="044B29B2" w14:textId="6B3667D5" w:rsidR="00D47ABA" w:rsidRDefault="006770CE" w:rsidP="006770CE">
      <w:pPr>
        <w:pStyle w:val="Text1Numbered"/>
      </w:pPr>
      <w:r>
        <w:t xml:space="preserve">Queries and issues relating to this policy should be referred to the Standards and Policy Team </w:t>
      </w:r>
      <w:hyperlink r:id="rId11" w:history="1">
        <w:r w:rsidRPr="00B2181E">
          <w:rPr>
            <w:rStyle w:val="Hyperlink"/>
          </w:rPr>
          <w:t>policies@mha.org.uk</w:t>
        </w:r>
      </w:hyperlink>
      <w:r>
        <w:t xml:space="preserve"> </w:t>
      </w:r>
    </w:p>
    <w:p w14:paraId="44EDDBFB" w14:textId="77777777" w:rsidR="00DF67AA" w:rsidRDefault="00772CA5" w:rsidP="00D558F5">
      <w:pPr>
        <w:pStyle w:val="Heading1Numbered"/>
      </w:pPr>
      <w:bookmarkStart w:id="43" w:name="_Toc161313030"/>
      <w:r>
        <w:t xml:space="preserve">EDI </w:t>
      </w:r>
      <w:r w:rsidR="000C7997">
        <w:t>Impact Assessments</w:t>
      </w:r>
      <w:bookmarkEnd w:id="43"/>
    </w:p>
    <w:p w14:paraId="741D0E30" w14:textId="77777777" w:rsidR="00D47ABA" w:rsidRPr="002E4B12" w:rsidRDefault="00D47ABA" w:rsidP="002E4B12">
      <w:pPr>
        <w:pStyle w:val="Text1Numbered"/>
      </w:pPr>
      <w:r>
        <w:t>Equality, Diversity, and Impact Assessment to be confirmed.</w:t>
      </w:r>
    </w:p>
    <w:p w14:paraId="19B637C2" w14:textId="77777777" w:rsidR="000C7997" w:rsidRDefault="000C7997" w:rsidP="00D558F5">
      <w:pPr>
        <w:pStyle w:val="Heading1Numbered"/>
      </w:pPr>
      <w:bookmarkStart w:id="44" w:name="_Toc161313031"/>
      <w:r w:rsidRPr="00B2494E">
        <w:t>Resources</w:t>
      </w:r>
      <w:bookmarkEnd w:id="44"/>
      <w:r w:rsidRPr="00B2494E">
        <w:t xml:space="preserve"> </w:t>
      </w:r>
    </w:p>
    <w:p w14:paraId="54BE50EE" w14:textId="58DD0DF0" w:rsidR="00EE2D88" w:rsidRDefault="00EE2D88" w:rsidP="00040642">
      <w:pPr>
        <w:pStyle w:val="Textlistindented-bullet"/>
        <w:rPr>
          <w:rFonts w:cs="Arial"/>
          <w:sz w:val="22"/>
          <w:szCs w:val="22"/>
        </w:rPr>
      </w:pPr>
      <w:r>
        <w:rPr>
          <w:rFonts w:cs="Arial"/>
          <w:sz w:val="22"/>
          <w:szCs w:val="22"/>
        </w:rPr>
        <w:t>Special Leave Request Form [HR7.2a]</w:t>
      </w:r>
    </w:p>
    <w:p w14:paraId="64C6C86B" w14:textId="0755EF62" w:rsidR="0064309F" w:rsidRDefault="0064309F" w:rsidP="00040642">
      <w:pPr>
        <w:pStyle w:val="Textlistindented-bullet"/>
        <w:rPr>
          <w:rFonts w:cs="Arial"/>
          <w:sz w:val="22"/>
          <w:szCs w:val="22"/>
        </w:rPr>
      </w:pPr>
      <w:r w:rsidRPr="0064309F">
        <w:rPr>
          <w:rFonts w:cs="Arial"/>
          <w:sz w:val="22"/>
          <w:szCs w:val="22"/>
        </w:rPr>
        <w:t xml:space="preserve">Public Duties </w:t>
      </w:r>
      <w:r w:rsidR="00D346A4">
        <w:rPr>
          <w:rFonts w:cs="Arial"/>
          <w:sz w:val="22"/>
          <w:szCs w:val="22"/>
        </w:rPr>
        <w:t>Payroll Form</w:t>
      </w:r>
      <w:r w:rsidRPr="0064309F">
        <w:t xml:space="preserve"> </w:t>
      </w:r>
      <w:r>
        <w:t>[</w:t>
      </w:r>
      <w:r w:rsidRPr="0064309F">
        <w:rPr>
          <w:rFonts w:cs="Arial"/>
          <w:sz w:val="22"/>
          <w:szCs w:val="22"/>
        </w:rPr>
        <w:t>HR7.2b</w:t>
      </w:r>
      <w:r>
        <w:rPr>
          <w:rFonts w:cs="Arial"/>
          <w:sz w:val="22"/>
          <w:szCs w:val="22"/>
        </w:rPr>
        <w:t>]</w:t>
      </w:r>
    </w:p>
    <w:p w14:paraId="66E97559" w14:textId="79FFC8C9" w:rsidR="00EE2D88" w:rsidRDefault="00EE2D88" w:rsidP="00040642">
      <w:pPr>
        <w:pStyle w:val="Textlistindented-bullet"/>
        <w:rPr>
          <w:rFonts w:cs="Arial"/>
          <w:sz w:val="22"/>
          <w:szCs w:val="22"/>
        </w:rPr>
      </w:pPr>
      <w:r w:rsidRPr="00EE2D88">
        <w:rPr>
          <w:rFonts w:cs="Arial"/>
          <w:sz w:val="22"/>
          <w:szCs w:val="22"/>
        </w:rPr>
        <w:t>Sickness Absence Management Policy</w:t>
      </w:r>
      <w:r>
        <w:rPr>
          <w:rFonts w:cs="Arial"/>
          <w:sz w:val="22"/>
          <w:szCs w:val="22"/>
        </w:rPr>
        <w:t xml:space="preserve"> [HR7.1]</w:t>
      </w:r>
    </w:p>
    <w:p w14:paraId="16BDD58D" w14:textId="7C706892" w:rsidR="00EE2D88" w:rsidRDefault="00EE2D88" w:rsidP="00040642">
      <w:pPr>
        <w:pStyle w:val="Textlistindented-bullet"/>
        <w:rPr>
          <w:rFonts w:cs="Arial"/>
          <w:sz w:val="22"/>
          <w:szCs w:val="22"/>
        </w:rPr>
      </w:pPr>
      <w:r w:rsidRPr="00EE2D88">
        <w:rPr>
          <w:rFonts w:cs="Arial"/>
          <w:sz w:val="22"/>
          <w:szCs w:val="22"/>
        </w:rPr>
        <w:t>Family Leave Policy</w:t>
      </w:r>
      <w:r>
        <w:rPr>
          <w:rFonts w:cs="Arial"/>
          <w:sz w:val="22"/>
          <w:szCs w:val="22"/>
        </w:rPr>
        <w:t xml:space="preserve"> [HR7.3]</w:t>
      </w:r>
    </w:p>
    <w:p w14:paraId="1E3088E5" w14:textId="13CE082D" w:rsidR="00EE2D88" w:rsidRPr="00EE2D88" w:rsidRDefault="00EE2D88" w:rsidP="00040642">
      <w:pPr>
        <w:pStyle w:val="Textlistindented-bullet"/>
        <w:rPr>
          <w:rFonts w:cs="Arial"/>
          <w:sz w:val="22"/>
          <w:szCs w:val="22"/>
        </w:rPr>
      </w:pPr>
      <w:r w:rsidRPr="00EE2D88">
        <w:rPr>
          <w:rFonts w:cs="Arial"/>
          <w:sz w:val="22"/>
          <w:szCs w:val="22"/>
        </w:rPr>
        <w:t>Flexi-time Policy</w:t>
      </w:r>
      <w:r>
        <w:rPr>
          <w:rFonts w:cs="Arial"/>
          <w:sz w:val="22"/>
          <w:szCs w:val="22"/>
        </w:rPr>
        <w:t xml:space="preserve"> [HR5.2]</w:t>
      </w:r>
    </w:p>
    <w:p w14:paraId="21977D62" w14:textId="621C5F11" w:rsidR="00DF67AA" w:rsidRDefault="009A0ED4" w:rsidP="002E4B12">
      <w:pPr>
        <w:pStyle w:val="Heading1Numbered"/>
      </w:pPr>
      <w:bookmarkStart w:id="45" w:name="_Toc161313032"/>
      <w:r w:rsidRPr="00DC7F16">
        <w:t>Version Control</w:t>
      </w:r>
      <w:bookmarkEnd w:id="45"/>
    </w:p>
    <w:tbl>
      <w:tblPr>
        <w:tblStyle w:val="MHATable"/>
        <w:tblW w:w="9549" w:type="dxa"/>
        <w:tblLayout w:type="fixed"/>
        <w:tblLook w:val="04A0" w:firstRow="1" w:lastRow="0" w:firstColumn="1" w:lastColumn="0" w:noHBand="0" w:noVBand="1"/>
      </w:tblPr>
      <w:tblGrid>
        <w:gridCol w:w="1271"/>
        <w:gridCol w:w="1134"/>
        <w:gridCol w:w="3578"/>
        <w:gridCol w:w="2376"/>
        <w:gridCol w:w="1190"/>
      </w:tblGrid>
      <w:tr w:rsidR="00F42A5B" w:rsidRPr="005E08A1" w14:paraId="740AC662" w14:textId="77777777" w:rsidTr="00EE2D88">
        <w:trPr>
          <w:cnfStyle w:val="100000000000" w:firstRow="1" w:lastRow="0" w:firstColumn="0" w:lastColumn="0" w:oddVBand="0" w:evenVBand="0" w:oddHBand="0" w:evenHBand="0" w:firstRowFirstColumn="0" w:firstRowLastColumn="0" w:lastRowFirstColumn="0" w:lastRowLastColumn="0"/>
          <w:trHeight w:val="830"/>
        </w:trPr>
        <w:tc>
          <w:tcPr>
            <w:tcW w:w="1271" w:type="dxa"/>
          </w:tcPr>
          <w:p w14:paraId="4BB1DAB0" w14:textId="77777777" w:rsidR="00F30A5F" w:rsidRPr="005E08A1" w:rsidRDefault="00F30A5F" w:rsidP="002D47FD">
            <w:r w:rsidRPr="005E08A1">
              <w:t>Version</w:t>
            </w:r>
          </w:p>
        </w:tc>
        <w:tc>
          <w:tcPr>
            <w:tcW w:w="1134" w:type="dxa"/>
          </w:tcPr>
          <w:p w14:paraId="011F73B9" w14:textId="77777777" w:rsidR="00F30A5F" w:rsidRPr="005E08A1" w:rsidRDefault="00F30A5F" w:rsidP="002D47FD">
            <w:r w:rsidRPr="005E08A1">
              <w:t>Version Date</w:t>
            </w:r>
          </w:p>
        </w:tc>
        <w:tc>
          <w:tcPr>
            <w:tcW w:w="3578" w:type="dxa"/>
          </w:tcPr>
          <w:p w14:paraId="2EA73542" w14:textId="77777777" w:rsidR="00F30A5F" w:rsidRPr="005E08A1" w:rsidRDefault="00F30A5F" w:rsidP="002D47FD">
            <w:r w:rsidRPr="005E08A1">
              <w:t xml:space="preserve">Revision Description / Summary of Changes </w:t>
            </w:r>
          </w:p>
        </w:tc>
        <w:tc>
          <w:tcPr>
            <w:tcW w:w="2376" w:type="dxa"/>
          </w:tcPr>
          <w:p w14:paraId="5FB2EF88" w14:textId="77777777" w:rsidR="00F30A5F" w:rsidRPr="005E08A1" w:rsidRDefault="00F30A5F" w:rsidP="002D47FD">
            <w:r w:rsidRPr="005E08A1">
              <w:t>Author</w:t>
            </w:r>
          </w:p>
        </w:tc>
        <w:tc>
          <w:tcPr>
            <w:tcW w:w="1190" w:type="dxa"/>
          </w:tcPr>
          <w:p w14:paraId="6E9C0F7B" w14:textId="77777777" w:rsidR="00F30A5F" w:rsidRPr="005E08A1" w:rsidRDefault="00F30A5F" w:rsidP="002D47FD">
            <w:r w:rsidRPr="005E08A1">
              <w:t>Next Review Date</w:t>
            </w:r>
          </w:p>
        </w:tc>
      </w:tr>
      <w:tr w:rsidR="00F42A5B" w:rsidRPr="004C3545" w14:paraId="2B3BE619" w14:textId="77777777" w:rsidTr="00EE2D88">
        <w:trPr>
          <w:trHeight w:val="407"/>
        </w:trPr>
        <w:tc>
          <w:tcPr>
            <w:tcW w:w="1271" w:type="dxa"/>
          </w:tcPr>
          <w:p w14:paraId="5C69A299" w14:textId="7577FC45" w:rsidR="00F30A5F" w:rsidRDefault="00EE2D88" w:rsidP="002D47FD">
            <w:r>
              <w:t>1</w:t>
            </w:r>
          </w:p>
        </w:tc>
        <w:tc>
          <w:tcPr>
            <w:tcW w:w="1134" w:type="dxa"/>
          </w:tcPr>
          <w:p w14:paraId="5B8FB14E" w14:textId="0649E9DB" w:rsidR="00F30A5F" w:rsidRPr="004C3545" w:rsidRDefault="00EE2D88" w:rsidP="002D47FD">
            <w:r>
              <w:t>March 2024</w:t>
            </w:r>
          </w:p>
        </w:tc>
        <w:tc>
          <w:tcPr>
            <w:tcW w:w="3578" w:type="dxa"/>
          </w:tcPr>
          <w:p w14:paraId="1655E831" w14:textId="77777777" w:rsidR="002A2D9E" w:rsidRDefault="002A2D9E" w:rsidP="002A2D9E">
            <w:pPr>
              <w:pStyle w:val="Textlist-bullet"/>
            </w:pPr>
            <w:r>
              <w:t>Policy developed to include multiple previously stand alone “special leave” policies.</w:t>
            </w:r>
          </w:p>
          <w:p w14:paraId="3BDFF59C" w14:textId="61DA13B5" w:rsidR="00FC324E" w:rsidRDefault="00FC324E" w:rsidP="002A2D9E">
            <w:pPr>
              <w:pStyle w:val="Textlist-bullet"/>
            </w:pPr>
            <w:r>
              <w:t>Regular compliance review.</w:t>
            </w:r>
          </w:p>
          <w:p w14:paraId="6014934C" w14:textId="48E7A2E5" w:rsidR="00D346A4" w:rsidRDefault="00D346A4" w:rsidP="002A2D9E">
            <w:pPr>
              <w:pStyle w:val="Textlist-bullet"/>
            </w:pPr>
            <w:r>
              <w:t>Addition of carers leave.</w:t>
            </w:r>
          </w:p>
          <w:p w14:paraId="3291E27E" w14:textId="3AA175D1" w:rsidR="00F42A5B" w:rsidRPr="004C3545" w:rsidRDefault="002A2D9E" w:rsidP="002A2D9E">
            <w:pPr>
              <w:pStyle w:val="Textlist-bullet"/>
            </w:pPr>
            <w:r>
              <w:t>Bereavement leave wording aligned to MHA’s Final Lap training.</w:t>
            </w:r>
          </w:p>
        </w:tc>
        <w:tc>
          <w:tcPr>
            <w:tcW w:w="2376" w:type="dxa"/>
          </w:tcPr>
          <w:p w14:paraId="7CC8E689" w14:textId="613621BF" w:rsidR="00EE2D88" w:rsidRDefault="00EE2D88" w:rsidP="002A2D9E">
            <w:pPr>
              <w:pStyle w:val="Textlist-bullet"/>
            </w:pPr>
            <w:r>
              <w:t>Head of People</w:t>
            </w:r>
          </w:p>
          <w:p w14:paraId="19598043" w14:textId="5D2DCBFC" w:rsidR="00066761" w:rsidRDefault="00EE2D88" w:rsidP="008F5C7A">
            <w:pPr>
              <w:pStyle w:val="Textlist-bullet"/>
            </w:pPr>
            <w:r>
              <w:t>HR Advisor</w:t>
            </w:r>
          </w:p>
          <w:p w14:paraId="6FDECE42" w14:textId="2049774D" w:rsidR="00EE2D88" w:rsidRDefault="00EE2D88" w:rsidP="008F5C7A">
            <w:pPr>
              <w:pStyle w:val="Textlist-bullet"/>
            </w:pPr>
            <w:r>
              <w:t>Payroll and Pensions Manager</w:t>
            </w:r>
          </w:p>
          <w:p w14:paraId="7026D009" w14:textId="26C53EE9" w:rsidR="00EE2D88" w:rsidRDefault="00EE2D88" w:rsidP="008F5C7A">
            <w:pPr>
              <w:pStyle w:val="Textlist-bullet"/>
            </w:pPr>
            <w:r>
              <w:t>Standards and Policy Manager</w:t>
            </w:r>
          </w:p>
          <w:p w14:paraId="21AAB77E" w14:textId="082818D9" w:rsidR="00EE2D88" w:rsidRPr="004C3545" w:rsidRDefault="00EE2D88" w:rsidP="00EE2D88">
            <w:pPr>
              <w:pStyle w:val="Textlist-bullet"/>
              <w:numPr>
                <w:ilvl w:val="0"/>
                <w:numId w:val="0"/>
              </w:numPr>
              <w:ind w:left="357"/>
            </w:pPr>
          </w:p>
        </w:tc>
        <w:tc>
          <w:tcPr>
            <w:tcW w:w="1190" w:type="dxa"/>
          </w:tcPr>
          <w:p w14:paraId="2D4E2DB3" w14:textId="43F75969" w:rsidR="00F30A5F" w:rsidRPr="004C3545" w:rsidRDefault="00EE2D88" w:rsidP="002D47FD">
            <w:r>
              <w:t>March 2026</w:t>
            </w:r>
          </w:p>
        </w:tc>
      </w:tr>
    </w:tbl>
    <w:p w14:paraId="33F71E28" w14:textId="77777777" w:rsidR="002D47FD" w:rsidRPr="004C3545" w:rsidRDefault="002D47FD" w:rsidP="00265378">
      <w:pPr>
        <w:pStyle w:val="Text"/>
      </w:pPr>
    </w:p>
    <w:sectPr w:rsidR="002D47FD" w:rsidRPr="004C3545" w:rsidSect="0027404F">
      <w:headerReference w:type="default" r:id="rId12"/>
      <w:footerReference w:type="default" r:id="rId13"/>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5C7C" w14:textId="77777777" w:rsidR="0027404F" w:rsidRDefault="0027404F" w:rsidP="001876E7">
      <w:pPr>
        <w:spacing w:line="240" w:lineRule="auto"/>
      </w:pPr>
      <w:r>
        <w:separator/>
      </w:r>
    </w:p>
  </w:endnote>
  <w:endnote w:type="continuationSeparator" w:id="0">
    <w:p w14:paraId="743482A6" w14:textId="77777777" w:rsidR="0027404F" w:rsidRDefault="0027404F"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E4044C2" w14:textId="77777777" w:rsidR="00764B4C" w:rsidRPr="00764B4C" w:rsidRDefault="00764B4C" w:rsidP="002E4B12">
            <w:pPr>
              <w:pStyle w:val="FooterText"/>
              <w:jc w:val="center"/>
              <w:rPr>
                <w:rFonts w:cs="Arial"/>
                <w:spacing w:val="7"/>
              </w:rPr>
            </w:pPr>
          </w:p>
          <w:p w14:paraId="429A9D8B" w14:textId="09144787" w:rsidR="003865D9" w:rsidRDefault="00C7053A" w:rsidP="00454821">
            <w:pPr>
              <w:pStyle w:val="FooterText"/>
              <w:tabs>
                <w:tab w:val="right" w:pos="9498"/>
              </w:tabs>
              <w:jc w:val="left"/>
            </w:pPr>
            <w:r>
              <w:t>HR7.2 Special Leave Policy and Procedure</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551F4" w14:textId="77777777" w:rsidR="0027404F" w:rsidRDefault="0027404F" w:rsidP="001876E7">
      <w:pPr>
        <w:spacing w:line="240" w:lineRule="auto"/>
      </w:pPr>
      <w:r>
        <w:separator/>
      </w:r>
    </w:p>
  </w:footnote>
  <w:footnote w:type="continuationSeparator" w:id="0">
    <w:p w14:paraId="66CF64B9" w14:textId="77777777" w:rsidR="0027404F" w:rsidRDefault="0027404F"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7652"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652D0DAE" wp14:editId="0C72A72D">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77BD5"/>
    <w:multiLevelType w:val="hybridMultilevel"/>
    <w:tmpl w:val="CF02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0DBE5C0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4B0989"/>
    <w:multiLevelType w:val="hybridMultilevel"/>
    <w:tmpl w:val="07AA4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A612D5E"/>
    <w:multiLevelType w:val="multilevel"/>
    <w:tmpl w:val="0A246EC2"/>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29CB17E9"/>
    <w:multiLevelType w:val="multilevel"/>
    <w:tmpl w:val="772A2512"/>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A8B34E3"/>
    <w:multiLevelType w:val="hybridMultilevel"/>
    <w:tmpl w:val="2E3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26539A"/>
    <w:multiLevelType w:val="hybridMultilevel"/>
    <w:tmpl w:val="F1500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374E0F"/>
    <w:multiLevelType w:val="hybridMultilevel"/>
    <w:tmpl w:val="BA946B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1"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A26C99"/>
    <w:multiLevelType w:val="hybridMultilevel"/>
    <w:tmpl w:val="E260FC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24874BB"/>
    <w:multiLevelType w:val="hybridMultilevel"/>
    <w:tmpl w:val="001A62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4"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A3A631F"/>
    <w:multiLevelType w:val="multilevel"/>
    <w:tmpl w:val="BE1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471A6A"/>
    <w:multiLevelType w:val="multilevel"/>
    <w:tmpl w:val="3D8A3F86"/>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720" w:hanging="720"/>
      </w:pPr>
      <w:rPr>
        <w:rFonts w:hint="default"/>
        <w:b w:val="0"/>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049141532">
    <w:abstractNumId w:val="6"/>
  </w:num>
  <w:num w:numId="2" w16cid:durableId="314769889">
    <w:abstractNumId w:val="10"/>
  </w:num>
  <w:num w:numId="3" w16cid:durableId="223486558">
    <w:abstractNumId w:val="2"/>
  </w:num>
  <w:num w:numId="4" w16cid:durableId="893782273">
    <w:abstractNumId w:val="4"/>
  </w:num>
  <w:num w:numId="5" w16cid:durableId="1146821655">
    <w:abstractNumId w:val="1"/>
  </w:num>
  <w:num w:numId="6" w16cid:durableId="569312116">
    <w:abstractNumId w:val="21"/>
  </w:num>
  <w:num w:numId="7" w16cid:durableId="139810974">
    <w:abstractNumId w:val="6"/>
  </w:num>
  <w:num w:numId="8" w16cid:durableId="478111977">
    <w:abstractNumId w:val="17"/>
  </w:num>
  <w:num w:numId="9" w16cid:durableId="672680783">
    <w:abstractNumId w:val="16"/>
  </w:num>
  <w:num w:numId="10" w16cid:durableId="582229400">
    <w:abstractNumId w:val="25"/>
  </w:num>
  <w:num w:numId="11" w16cid:durableId="1068845125">
    <w:abstractNumId w:val="18"/>
  </w:num>
  <w:num w:numId="12" w16cid:durableId="1213227646">
    <w:abstractNumId w:val="6"/>
  </w:num>
  <w:num w:numId="13" w16cid:durableId="910894283">
    <w:abstractNumId w:val="6"/>
  </w:num>
  <w:num w:numId="14" w16cid:durableId="1110927560">
    <w:abstractNumId w:val="6"/>
  </w:num>
  <w:num w:numId="15" w16cid:durableId="384065012">
    <w:abstractNumId w:val="6"/>
  </w:num>
  <w:num w:numId="16" w16cid:durableId="293875349">
    <w:abstractNumId w:val="6"/>
  </w:num>
  <w:num w:numId="17" w16cid:durableId="1423381906">
    <w:abstractNumId w:val="6"/>
  </w:num>
  <w:num w:numId="18" w16cid:durableId="1009872689">
    <w:abstractNumId w:val="6"/>
  </w:num>
  <w:num w:numId="19" w16cid:durableId="950354165">
    <w:abstractNumId w:val="14"/>
  </w:num>
  <w:num w:numId="20" w16cid:durableId="1927031610">
    <w:abstractNumId w:val="9"/>
  </w:num>
  <w:num w:numId="21" w16cid:durableId="149368801">
    <w:abstractNumId w:val="11"/>
  </w:num>
  <w:num w:numId="22" w16cid:durableId="537015620">
    <w:abstractNumId w:val="26"/>
  </w:num>
  <w:num w:numId="23" w16cid:durableId="673651929">
    <w:abstractNumId w:val="24"/>
  </w:num>
  <w:num w:numId="24" w16cid:durableId="1700010823">
    <w:abstractNumId w:val="0"/>
  </w:num>
  <w:num w:numId="25" w16cid:durableId="1459950268">
    <w:abstractNumId w:val="28"/>
  </w:num>
  <w:num w:numId="26" w16cid:durableId="2024210744">
    <w:abstractNumId w:val="13"/>
  </w:num>
  <w:num w:numId="27" w16cid:durableId="731196969">
    <w:abstractNumId w:val="8"/>
  </w:num>
  <w:num w:numId="28" w16cid:durableId="1159078511">
    <w:abstractNumId w:val="23"/>
  </w:num>
  <w:num w:numId="29" w16cid:durableId="580483559">
    <w:abstractNumId w:val="20"/>
  </w:num>
  <w:num w:numId="30" w16cid:durableId="1034160516">
    <w:abstractNumId w:val="12"/>
  </w:num>
  <w:num w:numId="31" w16cid:durableId="1233661081">
    <w:abstractNumId w:val="15"/>
  </w:num>
  <w:num w:numId="32" w16cid:durableId="1166898073">
    <w:abstractNumId w:val="5"/>
  </w:num>
  <w:num w:numId="33" w16cid:durableId="191504904">
    <w:abstractNumId w:val="19"/>
  </w:num>
  <w:num w:numId="34" w16cid:durableId="12046310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05021610">
    <w:abstractNumId w:val="3"/>
  </w:num>
  <w:num w:numId="36" w16cid:durableId="512188508">
    <w:abstractNumId w:val="7"/>
  </w:num>
  <w:num w:numId="37" w16cid:durableId="1835099841">
    <w:abstractNumId w:val="27"/>
  </w:num>
  <w:num w:numId="38" w16cid:durableId="1546601590">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3A"/>
    <w:rsid w:val="00010148"/>
    <w:rsid w:val="00011E5A"/>
    <w:rsid w:val="0002533A"/>
    <w:rsid w:val="00040642"/>
    <w:rsid w:val="000553E0"/>
    <w:rsid w:val="00061AF9"/>
    <w:rsid w:val="000646E5"/>
    <w:rsid w:val="00066761"/>
    <w:rsid w:val="00070650"/>
    <w:rsid w:val="000771AD"/>
    <w:rsid w:val="00082857"/>
    <w:rsid w:val="000C7997"/>
    <w:rsid w:val="000D29BF"/>
    <w:rsid w:val="000D41D5"/>
    <w:rsid w:val="000F25D4"/>
    <w:rsid w:val="000F64C5"/>
    <w:rsid w:val="001155F8"/>
    <w:rsid w:val="00117F25"/>
    <w:rsid w:val="001248CF"/>
    <w:rsid w:val="001310BB"/>
    <w:rsid w:val="0013340B"/>
    <w:rsid w:val="00140C68"/>
    <w:rsid w:val="001457E1"/>
    <w:rsid w:val="00147C3B"/>
    <w:rsid w:val="001876E7"/>
    <w:rsid w:val="00194A22"/>
    <w:rsid w:val="001B5C40"/>
    <w:rsid w:val="001C1A88"/>
    <w:rsid w:val="001E4229"/>
    <w:rsid w:val="00244765"/>
    <w:rsid w:val="00247E69"/>
    <w:rsid w:val="002543A7"/>
    <w:rsid w:val="00261059"/>
    <w:rsid w:val="00263D11"/>
    <w:rsid w:val="00265378"/>
    <w:rsid w:val="00273C90"/>
    <w:rsid w:val="0027404F"/>
    <w:rsid w:val="00276188"/>
    <w:rsid w:val="00276732"/>
    <w:rsid w:val="00283169"/>
    <w:rsid w:val="002A2D9E"/>
    <w:rsid w:val="002A538B"/>
    <w:rsid w:val="002A546C"/>
    <w:rsid w:val="002B3A37"/>
    <w:rsid w:val="002B5CDA"/>
    <w:rsid w:val="002C0EC0"/>
    <w:rsid w:val="002D47FD"/>
    <w:rsid w:val="002E37DC"/>
    <w:rsid w:val="002E4B12"/>
    <w:rsid w:val="00301396"/>
    <w:rsid w:val="00302641"/>
    <w:rsid w:val="00306ED7"/>
    <w:rsid w:val="00314B04"/>
    <w:rsid w:val="00322ED2"/>
    <w:rsid w:val="003256F1"/>
    <w:rsid w:val="003266FD"/>
    <w:rsid w:val="0033763F"/>
    <w:rsid w:val="00345825"/>
    <w:rsid w:val="0035054F"/>
    <w:rsid w:val="003510EE"/>
    <w:rsid w:val="003865D9"/>
    <w:rsid w:val="00386B5D"/>
    <w:rsid w:val="0038720A"/>
    <w:rsid w:val="003A5F00"/>
    <w:rsid w:val="003B2431"/>
    <w:rsid w:val="003C04D5"/>
    <w:rsid w:val="003C59CC"/>
    <w:rsid w:val="003D05C8"/>
    <w:rsid w:val="003F52EA"/>
    <w:rsid w:val="004128E7"/>
    <w:rsid w:val="0042795E"/>
    <w:rsid w:val="0043268D"/>
    <w:rsid w:val="004428C9"/>
    <w:rsid w:val="00451A46"/>
    <w:rsid w:val="00454821"/>
    <w:rsid w:val="0045562B"/>
    <w:rsid w:val="00471203"/>
    <w:rsid w:val="004726A7"/>
    <w:rsid w:val="0047406E"/>
    <w:rsid w:val="00474F72"/>
    <w:rsid w:val="00480B30"/>
    <w:rsid w:val="004924CF"/>
    <w:rsid w:val="004A48AB"/>
    <w:rsid w:val="004A5F05"/>
    <w:rsid w:val="004B36CD"/>
    <w:rsid w:val="004C3545"/>
    <w:rsid w:val="004D237B"/>
    <w:rsid w:val="004F17FA"/>
    <w:rsid w:val="004F5E04"/>
    <w:rsid w:val="00507AF2"/>
    <w:rsid w:val="00512916"/>
    <w:rsid w:val="0051530E"/>
    <w:rsid w:val="0052519E"/>
    <w:rsid w:val="00536DFC"/>
    <w:rsid w:val="00545C38"/>
    <w:rsid w:val="005518A9"/>
    <w:rsid w:val="00564D73"/>
    <w:rsid w:val="005711B3"/>
    <w:rsid w:val="00572560"/>
    <w:rsid w:val="0057717F"/>
    <w:rsid w:val="0059266A"/>
    <w:rsid w:val="00594E14"/>
    <w:rsid w:val="005A508B"/>
    <w:rsid w:val="005B5DDA"/>
    <w:rsid w:val="005D0374"/>
    <w:rsid w:val="005D62C0"/>
    <w:rsid w:val="005E08A1"/>
    <w:rsid w:val="00610B2B"/>
    <w:rsid w:val="0063081A"/>
    <w:rsid w:val="0063326C"/>
    <w:rsid w:val="006423BB"/>
    <w:rsid w:val="0064309F"/>
    <w:rsid w:val="0066591C"/>
    <w:rsid w:val="00667C4A"/>
    <w:rsid w:val="006770CE"/>
    <w:rsid w:val="006803B1"/>
    <w:rsid w:val="006B0609"/>
    <w:rsid w:val="006B41E2"/>
    <w:rsid w:val="006C3B7F"/>
    <w:rsid w:val="00714763"/>
    <w:rsid w:val="00717A8D"/>
    <w:rsid w:val="00723627"/>
    <w:rsid w:val="007256EF"/>
    <w:rsid w:val="00730CA5"/>
    <w:rsid w:val="00744A83"/>
    <w:rsid w:val="007539BA"/>
    <w:rsid w:val="00764B4C"/>
    <w:rsid w:val="00772CA5"/>
    <w:rsid w:val="00776701"/>
    <w:rsid w:val="00782957"/>
    <w:rsid w:val="00784932"/>
    <w:rsid w:val="0078642D"/>
    <w:rsid w:val="007B2919"/>
    <w:rsid w:val="007C2DAF"/>
    <w:rsid w:val="007E1123"/>
    <w:rsid w:val="0081228C"/>
    <w:rsid w:val="00831235"/>
    <w:rsid w:val="00832C4B"/>
    <w:rsid w:val="0084471B"/>
    <w:rsid w:val="00847753"/>
    <w:rsid w:val="00852000"/>
    <w:rsid w:val="00861EB0"/>
    <w:rsid w:val="0087097E"/>
    <w:rsid w:val="00873150"/>
    <w:rsid w:val="00873E7A"/>
    <w:rsid w:val="008874B0"/>
    <w:rsid w:val="00893D07"/>
    <w:rsid w:val="008A7363"/>
    <w:rsid w:val="008B0A37"/>
    <w:rsid w:val="008B1D97"/>
    <w:rsid w:val="008D1B9A"/>
    <w:rsid w:val="008D3C32"/>
    <w:rsid w:val="008D5DD4"/>
    <w:rsid w:val="008D6213"/>
    <w:rsid w:val="008D791B"/>
    <w:rsid w:val="008F09EB"/>
    <w:rsid w:val="008F41A1"/>
    <w:rsid w:val="00903AA2"/>
    <w:rsid w:val="009050C4"/>
    <w:rsid w:val="00914FC1"/>
    <w:rsid w:val="00921168"/>
    <w:rsid w:val="00922DB3"/>
    <w:rsid w:val="00932409"/>
    <w:rsid w:val="00947D46"/>
    <w:rsid w:val="009655E2"/>
    <w:rsid w:val="00973E48"/>
    <w:rsid w:val="00993E7E"/>
    <w:rsid w:val="009A0ED4"/>
    <w:rsid w:val="009C5445"/>
    <w:rsid w:val="009E3487"/>
    <w:rsid w:val="00A17E0E"/>
    <w:rsid w:val="00A2438D"/>
    <w:rsid w:val="00A24DA1"/>
    <w:rsid w:val="00A34D37"/>
    <w:rsid w:val="00A36714"/>
    <w:rsid w:val="00A43329"/>
    <w:rsid w:val="00A52F66"/>
    <w:rsid w:val="00A57609"/>
    <w:rsid w:val="00A61E40"/>
    <w:rsid w:val="00A663C8"/>
    <w:rsid w:val="00A92CD7"/>
    <w:rsid w:val="00AA0D99"/>
    <w:rsid w:val="00AB4251"/>
    <w:rsid w:val="00AB4A71"/>
    <w:rsid w:val="00AC0E0F"/>
    <w:rsid w:val="00AC3248"/>
    <w:rsid w:val="00AD5FD5"/>
    <w:rsid w:val="00AD7C4D"/>
    <w:rsid w:val="00AE5E04"/>
    <w:rsid w:val="00AF1001"/>
    <w:rsid w:val="00B148E6"/>
    <w:rsid w:val="00B148FF"/>
    <w:rsid w:val="00B22399"/>
    <w:rsid w:val="00B2494E"/>
    <w:rsid w:val="00B275B1"/>
    <w:rsid w:val="00B36D21"/>
    <w:rsid w:val="00B40F6A"/>
    <w:rsid w:val="00B46F84"/>
    <w:rsid w:val="00B56F75"/>
    <w:rsid w:val="00B63214"/>
    <w:rsid w:val="00B8132B"/>
    <w:rsid w:val="00BA22C2"/>
    <w:rsid w:val="00BB0D11"/>
    <w:rsid w:val="00C108E0"/>
    <w:rsid w:val="00C114D1"/>
    <w:rsid w:val="00C143CB"/>
    <w:rsid w:val="00C20301"/>
    <w:rsid w:val="00C2481A"/>
    <w:rsid w:val="00C26C7B"/>
    <w:rsid w:val="00C27093"/>
    <w:rsid w:val="00C33A30"/>
    <w:rsid w:val="00C41ACB"/>
    <w:rsid w:val="00C44824"/>
    <w:rsid w:val="00C7053A"/>
    <w:rsid w:val="00C81C94"/>
    <w:rsid w:val="00C93C14"/>
    <w:rsid w:val="00C96BF6"/>
    <w:rsid w:val="00CB43C5"/>
    <w:rsid w:val="00CB6415"/>
    <w:rsid w:val="00CD507F"/>
    <w:rsid w:val="00CD5954"/>
    <w:rsid w:val="00CD5DBF"/>
    <w:rsid w:val="00CF6C46"/>
    <w:rsid w:val="00CF7537"/>
    <w:rsid w:val="00D0190B"/>
    <w:rsid w:val="00D10E87"/>
    <w:rsid w:val="00D232C1"/>
    <w:rsid w:val="00D346A4"/>
    <w:rsid w:val="00D4040D"/>
    <w:rsid w:val="00D40DD9"/>
    <w:rsid w:val="00D431BC"/>
    <w:rsid w:val="00D47ABA"/>
    <w:rsid w:val="00D558F5"/>
    <w:rsid w:val="00D65CF7"/>
    <w:rsid w:val="00D77D91"/>
    <w:rsid w:val="00D83A4C"/>
    <w:rsid w:val="00DB2058"/>
    <w:rsid w:val="00DB24AA"/>
    <w:rsid w:val="00DC7F16"/>
    <w:rsid w:val="00DF67AA"/>
    <w:rsid w:val="00DF72E6"/>
    <w:rsid w:val="00E04B72"/>
    <w:rsid w:val="00E06E01"/>
    <w:rsid w:val="00E3506D"/>
    <w:rsid w:val="00E365D6"/>
    <w:rsid w:val="00E40653"/>
    <w:rsid w:val="00E561CE"/>
    <w:rsid w:val="00E67375"/>
    <w:rsid w:val="00E755AD"/>
    <w:rsid w:val="00E75D27"/>
    <w:rsid w:val="00E86F23"/>
    <w:rsid w:val="00E87F15"/>
    <w:rsid w:val="00EA17A7"/>
    <w:rsid w:val="00EA6D0A"/>
    <w:rsid w:val="00EB4016"/>
    <w:rsid w:val="00EC4F61"/>
    <w:rsid w:val="00ED047B"/>
    <w:rsid w:val="00EE2D88"/>
    <w:rsid w:val="00EE7121"/>
    <w:rsid w:val="00EF3699"/>
    <w:rsid w:val="00EF60A6"/>
    <w:rsid w:val="00F22D39"/>
    <w:rsid w:val="00F30A5F"/>
    <w:rsid w:val="00F428C6"/>
    <w:rsid w:val="00F42A5B"/>
    <w:rsid w:val="00F772A4"/>
    <w:rsid w:val="00F9138C"/>
    <w:rsid w:val="00F91DD0"/>
    <w:rsid w:val="00FA1162"/>
    <w:rsid w:val="00FB559E"/>
    <w:rsid w:val="00FB5C56"/>
    <w:rsid w:val="00FC3042"/>
    <w:rsid w:val="00FC324E"/>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0F1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uiPriority w:val="4"/>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4D237B"/>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unhideWhenUsed/>
    <w:rsid w:val="004726A7"/>
    <w:rPr>
      <w:sz w:val="16"/>
      <w:szCs w:val="16"/>
    </w:rPr>
  </w:style>
  <w:style w:type="paragraph" w:styleId="CommentText">
    <w:name w:val="annotation text"/>
    <w:basedOn w:val="Normal"/>
    <w:link w:val="CommentTextChar"/>
    <w:uiPriority w:val="99"/>
    <w:rsid w:val="004726A7"/>
    <w:pPr>
      <w:spacing w:line="240" w:lineRule="auto"/>
    </w:pPr>
    <w:rPr>
      <w:sz w:val="20"/>
      <w:szCs w:val="20"/>
    </w:rPr>
  </w:style>
  <w:style w:type="character" w:customStyle="1" w:styleId="CommentTextChar">
    <w:name w:val="Comment Text Char"/>
    <w:basedOn w:val="DefaultParagraphFont"/>
    <w:link w:val="CommentText"/>
    <w:uiPriority w:val="99"/>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table" w:customStyle="1" w:styleId="TableGrid1">
    <w:name w:val="Table Grid1"/>
    <w:basedOn w:val="TableNormal"/>
    <w:next w:val="TableGrid"/>
    <w:uiPriority w:val="39"/>
    <w:rsid w:val="00594E1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72CA5"/>
    <w:pPr>
      <w:spacing w:line="240" w:lineRule="auto"/>
      <w:ind w:left="360"/>
      <w:jc w:val="both"/>
    </w:pPr>
    <w:rPr>
      <w:rFonts w:eastAsia="Times New Roman" w:cs="Times New Roman"/>
      <w:sz w:val="22"/>
      <w:szCs w:val="20"/>
      <w:lang w:eastAsia="en-GB"/>
    </w:rPr>
  </w:style>
  <w:style w:type="character" w:customStyle="1" w:styleId="BodyTextIndent2Char">
    <w:name w:val="Body Text Indent 2 Char"/>
    <w:basedOn w:val="DefaultParagraphFont"/>
    <w:link w:val="BodyTextIndent2"/>
    <w:rsid w:val="00772CA5"/>
    <w:rPr>
      <w:rFonts w:ascii="Arial" w:eastAsia="Times New Roman" w:hAnsi="Arial" w:cs="Times New Roman"/>
      <w:sz w:val="22"/>
      <w:szCs w:val="20"/>
      <w:lang w:eastAsia="en-GB"/>
    </w:rPr>
  </w:style>
  <w:style w:type="paragraph" w:styleId="BodyTextIndent3">
    <w:name w:val="Body Text Indent 3"/>
    <w:basedOn w:val="Normal"/>
    <w:link w:val="BodyTextIndent3Char"/>
    <w:uiPriority w:val="99"/>
    <w:semiHidden/>
    <w:unhideWhenUsed/>
    <w:rsid w:val="00772CA5"/>
    <w:pPr>
      <w:spacing w:after="120" w:line="240" w:lineRule="auto"/>
      <w:ind w:left="283"/>
      <w:jc w:val="both"/>
    </w:pPr>
    <w:rPr>
      <w:rFonts w:eastAsia="Times New Roman" w:cs="Times New Roman"/>
      <w:sz w:val="16"/>
      <w:szCs w:val="16"/>
    </w:rPr>
  </w:style>
  <w:style w:type="character" w:customStyle="1" w:styleId="BodyTextIndent3Char">
    <w:name w:val="Body Text Indent 3 Char"/>
    <w:basedOn w:val="DefaultParagraphFont"/>
    <w:link w:val="BodyTextIndent3"/>
    <w:uiPriority w:val="99"/>
    <w:semiHidden/>
    <w:rsid w:val="00772CA5"/>
    <w:rPr>
      <w:rFonts w:ascii="Arial" w:eastAsia="Times New Roman" w:hAnsi="Arial" w:cs="Times New Roman"/>
      <w:sz w:val="16"/>
      <w:szCs w:val="16"/>
    </w:rPr>
  </w:style>
  <w:style w:type="character" w:styleId="Emphasis">
    <w:name w:val="Emphasis"/>
    <w:basedOn w:val="DefaultParagraphFont"/>
    <w:uiPriority w:val="20"/>
    <w:qFormat/>
    <w:rsid w:val="00283169"/>
    <w:rPr>
      <w:i/>
      <w:iCs/>
    </w:rPr>
  </w:style>
  <w:style w:type="paragraph" w:styleId="Revision">
    <w:name w:val="Revision"/>
    <w:hidden/>
    <w:uiPriority w:val="99"/>
    <w:semiHidden/>
    <w:rsid w:val="00DF72E6"/>
    <w:pPr>
      <w:spacing w:line="240" w:lineRule="auto"/>
    </w:pPr>
    <w:rPr>
      <w:rFonts w:ascii="Arial" w:hAnsi="Arial"/>
    </w:rPr>
  </w:style>
  <w:style w:type="paragraph" w:styleId="NormalWeb">
    <w:name w:val="Normal (Web)"/>
    <w:basedOn w:val="Normal"/>
    <w:uiPriority w:val="99"/>
    <w:semiHidden/>
    <w:unhideWhenUsed/>
    <w:rsid w:val="0047406E"/>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898">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icies@mha.org.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ayrollandpensions@mha.org.uk" TargetMode="External"/><Relationship Id="rId4" Type="http://schemas.openxmlformats.org/officeDocument/2006/relationships/settings" Target="settings.xml"/><Relationship Id="rId9" Type="http://schemas.openxmlformats.org/officeDocument/2006/relationships/hyperlink" Target="mailto:payrollandpensions@mha.org.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064AF216-EAF2-4538-9590-9B1B1A2AC06E}"/>
</file>

<file path=customXml/itemProps3.xml><?xml version="1.0" encoding="utf-8"?>
<ds:datastoreItem xmlns:ds="http://schemas.openxmlformats.org/officeDocument/2006/customXml" ds:itemID="{8F6A8099-4A83-4795-AA23-F867A1A190C7}"/>
</file>

<file path=customXml/itemProps4.xml><?xml version="1.0" encoding="utf-8"?>
<ds:datastoreItem xmlns:ds="http://schemas.openxmlformats.org/officeDocument/2006/customXml" ds:itemID="{BEEDBA2C-D5EB-45DF-8562-B595CFDC8916}"/>
</file>

<file path=docProps/app.xml><?xml version="1.0" encoding="utf-8"?>
<Properties xmlns="http://schemas.openxmlformats.org/officeDocument/2006/extended-properties" xmlns:vt="http://schemas.openxmlformats.org/officeDocument/2006/docPropsVTypes">
  <Template>Normal</Template>
  <TotalTime>0</TotalTime>
  <Pages>1</Pages>
  <Words>3203</Words>
  <Characters>18262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2024-03-14T14:41:00Z</dcterms:created>
  <dcterms:modified xsi:type="dcterms:W3CDTF">2024-03-14T14:41:00Z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