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22FD" w14:textId="148ABCD5" w:rsidR="00752CD7" w:rsidRPr="00160C11" w:rsidRDefault="00752CD7" w:rsidP="00752CD7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-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8"/>
      </w:tblGrid>
      <w:tr w:rsidR="005F49DD" w:rsidRPr="00C346F7" w14:paraId="526C9883" w14:textId="77777777" w:rsidTr="00AF142E">
        <w:tc>
          <w:tcPr>
            <w:tcW w:w="92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E79869C" w14:textId="77777777" w:rsidR="00736BBC" w:rsidRDefault="00736BBC" w:rsidP="00AF142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E9EE4C5" w14:textId="1B388CF2" w:rsidR="005F49DD" w:rsidRDefault="000C74F2" w:rsidP="0057135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LONG SERVICE RECOGNITION</w:t>
            </w:r>
          </w:p>
          <w:p w14:paraId="6BB323AD" w14:textId="343133D9" w:rsidR="00571357" w:rsidRPr="005F49DD" w:rsidRDefault="00571357" w:rsidP="00AF142E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6561E57E" w14:textId="6FD66843" w:rsidR="00571357" w:rsidRPr="00CF6AAE" w:rsidRDefault="00571357" w:rsidP="00736BBC">
      <w:pPr>
        <w:jc w:val="both"/>
        <w:rPr>
          <w:rFonts w:ascii="Arial" w:hAnsi="Arial" w:cs="Arial"/>
          <w:b/>
        </w:rPr>
      </w:pPr>
      <w:r w:rsidRPr="00B31ECB">
        <w:rPr>
          <w:rFonts w:ascii="Arial" w:hAnsi="Arial" w:cs="Arial"/>
          <w:b/>
        </w:rPr>
        <w:t>INTENDED OUTCOME</w:t>
      </w:r>
    </w:p>
    <w:p w14:paraId="0F6AC38F" w14:textId="03205C97" w:rsidR="00571357" w:rsidRDefault="00571357" w:rsidP="00736BBC">
      <w:pPr>
        <w:jc w:val="both"/>
        <w:rPr>
          <w:rFonts w:ascii="Arial" w:hAnsi="Arial" w:cs="Arial"/>
          <w:b/>
          <w:sz w:val="22"/>
          <w:szCs w:val="22"/>
        </w:rPr>
      </w:pPr>
    </w:p>
    <w:p w14:paraId="0B8CBBB0" w14:textId="632E70DE" w:rsidR="00B31ECB" w:rsidRPr="00B31ECB" w:rsidRDefault="00B31ECB" w:rsidP="00736BBC">
      <w:pPr>
        <w:jc w:val="both"/>
        <w:rPr>
          <w:rFonts w:ascii="Arial" w:hAnsi="Arial" w:cs="Arial"/>
          <w:bCs/>
          <w:sz w:val="22"/>
          <w:szCs w:val="22"/>
        </w:rPr>
      </w:pPr>
      <w:r w:rsidRPr="00B31ECB">
        <w:rPr>
          <w:rFonts w:ascii="Arial" w:hAnsi="Arial" w:cs="Arial"/>
          <w:bCs/>
          <w:sz w:val="22"/>
          <w:szCs w:val="22"/>
        </w:rPr>
        <w:t xml:space="preserve">This policy sets out MHA’s Long Service Recognition Scheme for </w:t>
      </w:r>
      <w:r w:rsidR="009A5045">
        <w:rPr>
          <w:rFonts w:ascii="Arial" w:hAnsi="Arial" w:cs="Arial"/>
          <w:bCs/>
          <w:sz w:val="22"/>
          <w:szCs w:val="22"/>
        </w:rPr>
        <w:t>Colleague</w:t>
      </w:r>
      <w:r w:rsidRPr="00B31ECB">
        <w:rPr>
          <w:rFonts w:ascii="Arial" w:hAnsi="Arial" w:cs="Arial"/>
          <w:bCs/>
          <w:sz w:val="22"/>
          <w:szCs w:val="22"/>
        </w:rPr>
        <w:t>s who qualify for the scheme.</w:t>
      </w:r>
    </w:p>
    <w:p w14:paraId="7CD5B079" w14:textId="77777777" w:rsidR="000C74F2" w:rsidRPr="00CF6AAE" w:rsidRDefault="000C74F2" w:rsidP="000C74F2">
      <w:pPr>
        <w:jc w:val="both"/>
        <w:rPr>
          <w:rFonts w:ascii="Arial" w:hAnsi="Arial" w:cs="Arial"/>
          <w:sz w:val="22"/>
          <w:szCs w:val="22"/>
        </w:rPr>
      </w:pPr>
    </w:p>
    <w:p w14:paraId="73D9A0BF" w14:textId="3ECEC05E" w:rsidR="00571357" w:rsidRPr="00CF6AAE" w:rsidRDefault="00571357" w:rsidP="00736BBC">
      <w:pPr>
        <w:jc w:val="both"/>
        <w:rPr>
          <w:rFonts w:ascii="Arial" w:hAnsi="Arial" w:cs="Arial"/>
          <w:b/>
        </w:rPr>
      </w:pPr>
      <w:r w:rsidRPr="00CF6AAE">
        <w:rPr>
          <w:rFonts w:ascii="Arial" w:hAnsi="Arial" w:cs="Arial"/>
          <w:b/>
        </w:rPr>
        <w:t>SCOPE</w:t>
      </w:r>
    </w:p>
    <w:p w14:paraId="1CB6A1D4" w14:textId="77777777" w:rsidR="00571357" w:rsidRPr="00736BBC" w:rsidRDefault="00571357" w:rsidP="00736BBC">
      <w:pPr>
        <w:jc w:val="both"/>
        <w:rPr>
          <w:rFonts w:ascii="Arial" w:hAnsi="Arial" w:cs="Arial"/>
          <w:b/>
          <w:sz w:val="22"/>
          <w:szCs w:val="22"/>
        </w:rPr>
      </w:pPr>
    </w:p>
    <w:p w14:paraId="6B28E6AB" w14:textId="0CD63370" w:rsidR="000C74F2" w:rsidRPr="000C74F2" w:rsidRDefault="000C74F2" w:rsidP="000C74F2">
      <w:p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 xml:space="preserve">This policy </w:t>
      </w:r>
      <w:r w:rsidR="00A61E0D">
        <w:rPr>
          <w:rFonts w:ascii="Arial" w:hAnsi="Arial" w:cs="Arial"/>
          <w:sz w:val="22"/>
          <w:szCs w:val="22"/>
        </w:rPr>
        <w:t>applies</w:t>
      </w:r>
      <w:r w:rsidRPr="000C74F2">
        <w:rPr>
          <w:rFonts w:ascii="Arial" w:hAnsi="Arial" w:cs="Arial"/>
          <w:sz w:val="22"/>
          <w:szCs w:val="22"/>
        </w:rPr>
        <w:t xml:space="preserve"> to all </w:t>
      </w:r>
      <w:r w:rsidR="009A5045">
        <w:rPr>
          <w:rFonts w:ascii="Arial" w:hAnsi="Arial" w:cs="Arial"/>
          <w:sz w:val="22"/>
          <w:szCs w:val="22"/>
        </w:rPr>
        <w:t>Colleague</w:t>
      </w:r>
      <w:r w:rsidRPr="000C74F2">
        <w:rPr>
          <w:rFonts w:ascii="Arial" w:hAnsi="Arial" w:cs="Arial"/>
          <w:sz w:val="22"/>
          <w:szCs w:val="22"/>
        </w:rPr>
        <w:t xml:space="preserve">s with more than 5 years’ </w:t>
      </w:r>
      <w:r w:rsidR="00130129">
        <w:rPr>
          <w:rFonts w:ascii="Arial" w:hAnsi="Arial" w:cs="Arial"/>
          <w:sz w:val="22"/>
          <w:szCs w:val="22"/>
        </w:rPr>
        <w:t xml:space="preserve">continuous </w:t>
      </w:r>
      <w:r w:rsidRPr="000C74F2">
        <w:rPr>
          <w:rFonts w:ascii="Arial" w:hAnsi="Arial" w:cs="Arial"/>
          <w:sz w:val="22"/>
          <w:szCs w:val="22"/>
        </w:rPr>
        <w:t>service</w:t>
      </w:r>
      <w:r>
        <w:rPr>
          <w:rFonts w:ascii="Arial" w:hAnsi="Arial" w:cs="Arial"/>
          <w:sz w:val="22"/>
          <w:szCs w:val="22"/>
        </w:rPr>
        <w:t xml:space="preserve"> </w:t>
      </w:r>
      <w:r w:rsidR="00130129">
        <w:rPr>
          <w:rFonts w:ascii="Arial" w:hAnsi="Arial" w:cs="Arial"/>
          <w:sz w:val="22"/>
          <w:szCs w:val="22"/>
        </w:rPr>
        <w:t xml:space="preserve">(including relief work) </w:t>
      </w:r>
      <w:r>
        <w:rPr>
          <w:rFonts w:ascii="Arial" w:hAnsi="Arial" w:cs="Arial"/>
          <w:sz w:val="22"/>
          <w:szCs w:val="22"/>
        </w:rPr>
        <w:t>at MHA</w:t>
      </w:r>
      <w:r w:rsidR="00B31ECB">
        <w:rPr>
          <w:rFonts w:ascii="Arial" w:hAnsi="Arial" w:cs="Arial"/>
          <w:sz w:val="22"/>
          <w:szCs w:val="22"/>
        </w:rPr>
        <w:t xml:space="preserve">, their </w:t>
      </w:r>
      <w:r w:rsidR="009A5045">
        <w:rPr>
          <w:rFonts w:ascii="Arial" w:hAnsi="Arial" w:cs="Arial"/>
          <w:sz w:val="22"/>
          <w:szCs w:val="22"/>
        </w:rPr>
        <w:t>L</w:t>
      </w:r>
      <w:r w:rsidR="00B31ECB">
        <w:rPr>
          <w:rFonts w:ascii="Arial" w:hAnsi="Arial" w:cs="Arial"/>
          <w:sz w:val="22"/>
          <w:szCs w:val="22"/>
        </w:rPr>
        <w:t xml:space="preserve">ine </w:t>
      </w:r>
      <w:r w:rsidR="009A5045">
        <w:rPr>
          <w:rFonts w:ascii="Arial" w:hAnsi="Arial" w:cs="Arial"/>
          <w:sz w:val="22"/>
          <w:szCs w:val="22"/>
        </w:rPr>
        <w:t>M</w:t>
      </w:r>
      <w:r w:rsidR="00B31ECB">
        <w:rPr>
          <w:rFonts w:ascii="Arial" w:hAnsi="Arial" w:cs="Arial"/>
          <w:sz w:val="22"/>
          <w:szCs w:val="22"/>
        </w:rPr>
        <w:t>anagers, and the People Support Team.</w:t>
      </w:r>
    </w:p>
    <w:p w14:paraId="4AAE071A" w14:textId="77777777" w:rsidR="000C74F2" w:rsidRPr="00CF6AAE" w:rsidRDefault="000C74F2" w:rsidP="000C74F2">
      <w:pPr>
        <w:jc w:val="both"/>
        <w:rPr>
          <w:rFonts w:ascii="Arial" w:hAnsi="Arial" w:cs="Arial"/>
          <w:sz w:val="22"/>
          <w:szCs w:val="22"/>
        </w:rPr>
      </w:pPr>
    </w:p>
    <w:p w14:paraId="7C695169" w14:textId="3FD14C42" w:rsidR="00571357" w:rsidRPr="00CF6AAE" w:rsidRDefault="00571357" w:rsidP="00736BBC">
      <w:pPr>
        <w:jc w:val="both"/>
        <w:rPr>
          <w:rFonts w:ascii="Arial" w:hAnsi="Arial" w:cs="Arial"/>
          <w:b/>
        </w:rPr>
      </w:pPr>
      <w:r w:rsidRPr="00CF6AAE">
        <w:rPr>
          <w:rFonts w:ascii="Arial" w:hAnsi="Arial" w:cs="Arial"/>
          <w:b/>
        </w:rPr>
        <w:t>INTRODUCTION</w:t>
      </w:r>
    </w:p>
    <w:p w14:paraId="7016C50F" w14:textId="3492C198" w:rsidR="000C74F2" w:rsidRDefault="000C74F2" w:rsidP="00736BBC">
      <w:pPr>
        <w:jc w:val="both"/>
        <w:rPr>
          <w:rFonts w:ascii="Arial" w:hAnsi="Arial" w:cs="Arial"/>
          <w:sz w:val="22"/>
          <w:szCs w:val="22"/>
        </w:rPr>
      </w:pPr>
    </w:p>
    <w:p w14:paraId="101A6056" w14:textId="741E9887" w:rsidR="000C74F2" w:rsidRDefault="000C74F2" w:rsidP="000C74F2">
      <w:p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 xml:space="preserve">The MHA Long Service Recognition Scheme is an initiative designed to assist with motivation and engagement of </w:t>
      </w:r>
      <w:r w:rsidR="009A5045">
        <w:rPr>
          <w:rFonts w:ascii="Arial" w:hAnsi="Arial" w:cs="Arial"/>
          <w:sz w:val="22"/>
          <w:szCs w:val="22"/>
        </w:rPr>
        <w:t>Colleague</w:t>
      </w:r>
      <w:r w:rsidRPr="000C74F2">
        <w:rPr>
          <w:rFonts w:ascii="Arial" w:hAnsi="Arial" w:cs="Arial"/>
          <w:sz w:val="22"/>
          <w:szCs w:val="22"/>
        </w:rPr>
        <w:t xml:space="preserve">s by recognising the loyalty and commitment of long serving </w:t>
      </w:r>
      <w:r w:rsidR="009A5045">
        <w:rPr>
          <w:rFonts w:ascii="Arial" w:hAnsi="Arial" w:cs="Arial"/>
          <w:sz w:val="22"/>
          <w:szCs w:val="22"/>
        </w:rPr>
        <w:t>Colleague</w:t>
      </w:r>
      <w:r w:rsidRPr="000C74F2">
        <w:rPr>
          <w:rFonts w:ascii="Arial" w:hAnsi="Arial" w:cs="Arial"/>
          <w:sz w:val="22"/>
          <w:szCs w:val="22"/>
        </w:rPr>
        <w:t>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9764DF9" w14:textId="206B86B1" w:rsidR="00190505" w:rsidRPr="00CF6AAE" w:rsidRDefault="00190505" w:rsidP="00736BBC">
      <w:pPr>
        <w:jc w:val="both"/>
        <w:rPr>
          <w:rFonts w:ascii="Arial" w:hAnsi="Arial" w:cs="Arial"/>
          <w:sz w:val="22"/>
          <w:szCs w:val="22"/>
        </w:rPr>
      </w:pPr>
    </w:p>
    <w:p w14:paraId="26D3C945" w14:textId="33A2673A" w:rsidR="00571357" w:rsidRPr="00CF6AAE" w:rsidRDefault="00571357" w:rsidP="00736BBC">
      <w:pPr>
        <w:jc w:val="both"/>
        <w:rPr>
          <w:rFonts w:ascii="Arial" w:hAnsi="Arial" w:cs="Arial"/>
          <w:b/>
          <w:bCs/>
        </w:rPr>
      </w:pPr>
      <w:r w:rsidRPr="00CF6AAE">
        <w:rPr>
          <w:rFonts w:ascii="Arial" w:hAnsi="Arial" w:cs="Arial"/>
          <w:b/>
          <w:bCs/>
        </w:rPr>
        <w:t>PRINCIPLES</w:t>
      </w:r>
    </w:p>
    <w:p w14:paraId="785EEA5E" w14:textId="4A35D353" w:rsidR="00571357" w:rsidRDefault="00571357" w:rsidP="00736BBC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EBD812" w14:textId="77777777" w:rsidR="00B31ECB" w:rsidRDefault="00B31ECB" w:rsidP="00B31ECB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>The Long Service Recognition Scheme</w:t>
      </w:r>
      <w:r>
        <w:rPr>
          <w:rFonts w:ascii="Arial" w:hAnsi="Arial" w:cs="Arial"/>
          <w:sz w:val="22"/>
          <w:szCs w:val="22"/>
        </w:rPr>
        <w:t xml:space="preserve"> </w:t>
      </w:r>
      <w:r w:rsidRPr="000C74F2">
        <w:rPr>
          <w:rFonts w:ascii="Arial" w:hAnsi="Arial" w:cs="Arial"/>
          <w:sz w:val="22"/>
          <w:szCs w:val="22"/>
        </w:rPr>
        <w:t>came into effect from 1 April 2006 and will not apply retrospectively</w:t>
      </w:r>
      <w:r>
        <w:rPr>
          <w:rFonts w:ascii="Arial" w:hAnsi="Arial" w:cs="Arial"/>
          <w:sz w:val="22"/>
          <w:szCs w:val="22"/>
        </w:rPr>
        <w:t>.</w:t>
      </w:r>
    </w:p>
    <w:p w14:paraId="53520189" w14:textId="77777777" w:rsidR="00B31ECB" w:rsidRDefault="00B31ECB" w:rsidP="00B31EC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065D6D0" w14:textId="0FF9E01F" w:rsidR="00B31ECB" w:rsidRDefault="00B31ECB" w:rsidP="000C74F2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 xml:space="preserve">The Long Service Recognition Scheme will recognise a </w:t>
      </w:r>
      <w:r w:rsidR="009A5045">
        <w:rPr>
          <w:rFonts w:ascii="Arial" w:hAnsi="Arial" w:cs="Arial"/>
          <w:sz w:val="22"/>
          <w:szCs w:val="22"/>
        </w:rPr>
        <w:t>Colleague</w:t>
      </w:r>
      <w:r w:rsidRPr="000C74F2">
        <w:rPr>
          <w:rFonts w:ascii="Arial" w:hAnsi="Arial" w:cs="Arial"/>
          <w:sz w:val="22"/>
          <w:szCs w:val="22"/>
        </w:rPr>
        <w:t xml:space="preserve"> for having been employed by MHA for 5 </w:t>
      </w:r>
      <w:r w:rsidR="00130129">
        <w:rPr>
          <w:rFonts w:ascii="Arial" w:hAnsi="Arial" w:cs="Arial"/>
          <w:sz w:val="22"/>
          <w:szCs w:val="22"/>
        </w:rPr>
        <w:t xml:space="preserve">continuous </w:t>
      </w:r>
      <w:r w:rsidRPr="000C74F2">
        <w:rPr>
          <w:rFonts w:ascii="Arial" w:hAnsi="Arial" w:cs="Arial"/>
          <w:sz w:val="22"/>
          <w:szCs w:val="22"/>
        </w:rPr>
        <w:t xml:space="preserve">years, with rewards at 10 years’ </w:t>
      </w:r>
      <w:r w:rsidR="00130129">
        <w:rPr>
          <w:rFonts w:ascii="Arial" w:hAnsi="Arial" w:cs="Arial"/>
          <w:sz w:val="22"/>
          <w:szCs w:val="22"/>
        </w:rPr>
        <w:t xml:space="preserve">continuous </w:t>
      </w:r>
      <w:r w:rsidRPr="000C74F2">
        <w:rPr>
          <w:rFonts w:ascii="Arial" w:hAnsi="Arial" w:cs="Arial"/>
          <w:sz w:val="22"/>
          <w:szCs w:val="22"/>
        </w:rPr>
        <w:t>service and every 5 years thereafter.</w:t>
      </w:r>
    </w:p>
    <w:p w14:paraId="3EE1A5C3" w14:textId="77777777" w:rsidR="00B31ECB" w:rsidRDefault="00B31ECB" w:rsidP="00B31EC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7A666C12" w14:textId="29EE92A2" w:rsidR="00B31ECB" w:rsidRDefault="00B31ECB" w:rsidP="000C74F2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People Support Team will regularly produce a list of MHA </w:t>
      </w:r>
      <w:r w:rsidR="009A5045">
        <w:rPr>
          <w:rFonts w:ascii="Arial" w:hAnsi="Arial" w:cs="Arial"/>
          <w:sz w:val="22"/>
          <w:szCs w:val="22"/>
        </w:rPr>
        <w:t>Colleague</w:t>
      </w:r>
      <w:r>
        <w:rPr>
          <w:rFonts w:ascii="Arial" w:hAnsi="Arial" w:cs="Arial"/>
          <w:sz w:val="22"/>
          <w:szCs w:val="22"/>
        </w:rPr>
        <w:t>s who are reaching a 5-year anniversary and will notify the relevant Manager(s).</w:t>
      </w:r>
    </w:p>
    <w:p w14:paraId="04AC1E57" w14:textId="77777777" w:rsidR="00B31ECB" w:rsidRPr="00B31ECB" w:rsidRDefault="00B31ECB" w:rsidP="00B31ECB">
      <w:pPr>
        <w:pStyle w:val="ListParagraph"/>
        <w:rPr>
          <w:rFonts w:ascii="Arial" w:hAnsi="Arial" w:cs="Arial"/>
          <w:sz w:val="22"/>
          <w:szCs w:val="22"/>
        </w:rPr>
      </w:pPr>
    </w:p>
    <w:p w14:paraId="566F3E0B" w14:textId="0877AA11" w:rsidR="00B31ECB" w:rsidRDefault="00B31ECB" w:rsidP="000C74F2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 (and vouchers from 10 or more years of service) will be sent to the </w:t>
      </w:r>
      <w:r w:rsidR="009A5045">
        <w:rPr>
          <w:rFonts w:ascii="Arial" w:hAnsi="Arial" w:cs="Arial"/>
          <w:sz w:val="22"/>
          <w:szCs w:val="22"/>
        </w:rPr>
        <w:t>Colleague</w:t>
      </w:r>
      <w:r>
        <w:rPr>
          <w:rFonts w:ascii="Arial" w:hAnsi="Arial" w:cs="Arial"/>
          <w:sz w:val="22"/>
          <w:szCs w:val="22"/>
        </w:rPr>
        <w:t xml:space="preserve">s </w:t>
      </w:r>
      <w:r w:rsidR="009A5045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ine </w:t>
      </w:r>
      <w:r w:rsidR="009A5045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anager who are then responsible to present the certificate (and voucher if applicable) to the </w:t>
      </w:r>
      <w:r w:rsidR="009A5045">
        <w:rPr>
          <w:rFonts w:ascii="Arial" w:hAnsi="Arial" w:cs="Arial"/>
          <w:sz w:val="22"/>
          <w:szCs w:val="22"/>
        </w:rPr>
        <w:t>Colleague</w:t>
      </w:r>
      <w:r>
        <w:rPr>
          <w:rFonts w:ascii="Arial" w:hAnsi="Arial" w:cs="Arial"/>
          <w:sz w:val="22"/>
          <w:szCs w:val="22"/>
        </w:rPr>
        <w:t>.</w:t>
      </w:r>
    </w:p>
    <w:p w14:paraId="392E2738" w14:textId="77777777" w:rsidR="00B31ECB" w:rsidRPr="00B31ECB" w:rsidRDefault="00B31ECB" w:rsidP="00B31ECB">
      <w:pPr>
        <w:pStyle w:val="ListParagraph"/>
        <w:rPr>
          <w:rFonts w:ascii="Arial" w:hAnsi="Arial" w:cs="Arial"/>
          <w:sz w:val="22"/>
          <w:szCs w:val="22"/>
        </w:rPr>
      </w:pPr>
    </w:p>
    <w:p w14:paraId="719D435C" w14:textId="05556E4E" w:rsidR="00B31ECB" w:rsidRDefault="009A5045" w:rsidP="000C74F2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Colleague</w:t>
      </w:r>
      <w:r w:rsidR="00B31ECB" w:rsidRPr="00B31ECB">
        <w:rPr>
          <w:rFonts w:ascii="Arial" w:hAnsi="Arial" w:cs="Arial"/>
          <w:sz w:val="22"/>
          <w:szCs w:val="22"/>
        </w:rPr>
        <w:t>s who transfer to MHA under TUPE (Transfer of Undertakings - Protection of Employment) will be eligible to participate in the Long Service Award once they accept an MHA contract of employment.</w:t>
      </w:r>
      <w:r>
        <w:rPr>
          <w:rFonts w:ascii="Arial" w:hAnsi="Arial" w:cs="Arial"/>
          <w:sz w:val="22"/>
          <w:szCs w:val="22"/>
        </w:rPr>
        <w:t xml:space="preserve"> </w:t>
      </w:r>
      <w:r w:rsidR="00B31ECB" w:rsidRPr="00B31ECB">
        <w:rPr>
          <w:rFonts w:ascii="Arial" w:hAnsi="Arial" w:cs="Arial"/>
          <w:sz w:val="22"/>
          <w:szCs w:val="22"/>
        </w:rPr>
        <w:t>Service will be accrued based on the date of the TUPE transfer.</w:t>
      </w:r>
    </w:p>
    <w:p w14:paraId="6F4CF5A5" w14:textId="77777777" w:rsidR="000C74F2" w:rsidRDefault="000C74F2" w:rsidP="000C74F2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932F760" w14:textId="5BB87947" w:rsidR="000C74F2" w:rsidRDefault="000C74F2" w:rsidP="000C74F2">
      <w:pPr>
        <w:pStyle w:val="ListParagraph"/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>MHA reserves the right to review</w:t>
      </w:r>
      <w:r>
        <w:rPr>
          <w:rFonts w:ascii="Arial" w:hAnsi="Arial" w:cs="Arial"/>
          <w:sz w:val="22"/>
          <w:szCs w:val="22"/>
        </w:rPr>
        <w:t xml:space="preserve">, change, or withdraw this scheme at any time. </w:t>
      </w:r>
    </w:p>
    <w:p w14:paraId="2720F7F8" w14:textId="1B3AB662" w:rsidR="000C74F2" w:rsidRDefault="000C74F2" w:rsidP="000C74F2">
      <w:pPr>
        <w:jc w:val="both"/>
        <w:rPr>
          <w:rFonts w:ascii="Arial" w:hAnsi="Arial" w:cs="Arial"/>
          <w:sz w:val="22"/>
          <w:szCs w:val="22"/>
        </w:rPr>
      </w:pPr>
    </w:p>
    <w:p w14:paraId="36739E73" w14:textId="772C3BD6" w:rsidR="000C74F2" w:rsidRPr="000C74F2" w:rsidRDefault="000C74F2" w:rsidP="000C74F2">
      <w:pPr>
        <w:jc w:val="both"/>
        <w:rPr>
          <w:rFonts w:ascii="Arial" w:hAnsi="Arial" w:cs="Arial"/>
          <w:b/>
          <w:bCs/>
        </w:rPr>
      </w:pPr>
      <w:r w:rsidRPr="000C74F2">
        <w:rPr>
          <w:rFonts w:ascii="Arial" w:hAnsi="Arial" w:cs="Arial"/>
          <w:b/>
          <w:bCs/>
        </w:rPr>
        <w:t>RECOGNITION BY YEARS OF SERVICE</w:t>
      </w:r>
    </w:p>
    <w:p w14:paraId="77008609" w14:textId="77777777" w:rsidR="000C74F2" w:rsidRPr="000C74F2" w:rsidRDefault="000C74F2" w:rsidP="000C74F2">
      <w:pPr>
        <w:jc w:val="both"/>
        <w:rPr>
          <w:rFonts w:ascii="Arial" w:hAnsi="Arial" w:cs="Arial"/>
          <w:sz w:val="22"/>
          <w:szCs w:val="22"/>
        </w:rPr>
      </w:pPr>
    </w:p>
    <w:p w14:paraId="0EFE2231" w14:textId="174E672D" w:rsidR="000C74F2" w:rsidRDefault="000C74F2" w:rsidP="000C74F2">
      <w:pPr>
        <w:pStyle w:val="ListParagraph"/>
        <w:numPr>
          <w:ilvl w:val="1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 xml:space="preserve">After 5 years’ </w:t>
      </w:r>
      <w:r w:rsidR="00130129">
        <w:rPr>
          <w:rFonts w:ascii="Arial" w:hAnsi="Arial" w:cs="Arial"/>
          <w:sz w:val="22"/>
          <w:szCs w:val="22"/>
        </w:rPr>
        <w:t xml:space="preserve">continuous </w:t>
      </w:r>
      <w:r w:rsidRPr="000C74F2">
        <w:rPr>
          <w:rFonts w:ascii="Arial" w:hAnsi="Arial" w:cs="Arial"/>
          <w:sz w:val="22"/>
          <w:szCs w:val="22"/>
        </w:rPr>
        <w:t xml:space="preserve">service and every 5 years of service after that, an employee will be presented with a certificate and a badge, marking their long service, by their </w:t>
      </w:r>
      <w:r w:rsidR="009A5045">
        <w:rPr>
          <w:rFonts w:ascii="Arial" w:hAnsi="Arial" w:cs="Arial"/>
          <w:sz w:val="22"/>
          <w:szCs w:val="22"/>
        </w:rPr>
        <w:t>A</w:t>
      </w:r>
      <w:r w:rsidRPr="000C74F2">
        <w:rPr>
          <w:rFonts w:ascii="Arial" w:hAnsi="Arial" w:cs="Arial"/>
          <w:sz w:val="22"/>
          <w:szCs w:val="22"/>
        </w:rPr>
        <w:t xml:space="preserve">rea </w:t>
      </w:r>
      <w:r w:rsidR="009A5045">
        <w:rPr>
          <w:rFonts w:ascii="Arial" w:hAnsi="Arial" w:cs="Arial"/>
          <w:sz w:val="22"/>
          <w:szCs w:val="22"/>
        </w:rPr>
        <w:t>M</w:t>
      </w:r>
      <w:r w:rsidRPr="000C74F2">
        <w:rPr>
          <w:rFonts w:ascii="Arial" w:hAnsi="Arial" w:cs="Arial"/>
          <w:sz w:val="22"/>
          <w:szCs w:val="22"/>
        </w:rPr>
        <w:t xml:space="preserve">anager / other </w:t>
      </w:r>
      <w:r w:rsidR="009A5045">
        <w:rPr>
          <w:rFonts w:ascii="Arial" w:hAnsi="Arial" w:cs="Arial"/>
          <w:sz w:val="22"/>
          <w:szCs w:val="22"/>
        </w:rPr>
        <w:t>S</w:t>
      </w:r>
      <w:r w:rsidRPr="000C74F2">
        <w:rPr>
          <w:rFonts w:ascii="Arial" w:hAnsi="Arial" w:cs="Arial"/>
          <w:sz w:val="22"/>
          <w:szCs w:val="22"/>
        </w:rPr>
        <w:t xml:space="preserve">enior </w:t>
      </w:r>
      <w:r w:rsidR="009A5045">
        <w:rPr>
          <w:rFonts w:ascii="Arial" w:hAnsi="Arial" w:cs="Arial"/>
          <w:sz w:val="22"/>
          <w:szCs w:val="22"/>
        </w:rPr>
        <w:t>M</w:t>
      </w:r>
      <w:r w:rsidRPr="000C74F2">
        <w:rPr>
          <w:rFonts w:ascii="Arial" w:hAnsi="Arial" w:cs="Arial"/>
          <w:sz w:val="22"/>
          <w:szCs w:val="22"/>
        </w:rPr>
        <w:t>anager.</w:t>
      </w:r>
    </w:p>
    <w:p w14:paraId="2762AEF7" w14:textId="77777777" w:rsidR="00B31ECB" w:rsidRDefault="00B31ECB" w:rsidP="00B31EC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6B9AE5E9" w14:textId="363B036F" w:rsidR="000C74F2" w:rsidRPr="000C74F2" w:rsidRDefault="000C74F2" w:rsidP="000C74F2">
      <w:pPr>
        <w:pStyle w:val="ListParagraph"/>
        <w:numPr>
          <w:ilvl w:val="1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 xml:space="preserve">In addition, from 10 years’ </w:t>
      </w:r>
      <w:r w:rsidR="00130129">
        <w:rPr>
          <w:rFonts w:ascii="Arial" w:hAnsi="Arial" w:cs="Arial"/>
          <w:sz w:val="22"/>
          <w:szCs w:val="22"/>
        </w:rPr>
        <w:t xml:space="preserve">continuous </w:t>
      </w:r>
      <w:r w:rsidRPr="000C74F2">
        <w:rPr>
          <w:rFonts w:ascii="Arial" w:hAnsi="Arial" w:cs="Arial"/>
          <w:sz w:val="22"/>
          <w:szCs w:val="22"/>
        </w:rPr>
        <w:t>service on, as a token, they will receive a multi-retailer voucher to the value of:</w:t>
      </w:r>
    </w:p>
    <w:p w14:paraId="30730D16" w14:textId="77777777" w:rsidR="000C74F2" w:rsidRPr="000C74F2" w:rsidRDefault="000C74F2" w:rsidP="000C74F2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48C9DF21" w14:textId="77777777" w:rsidR="000C74F2" w:rsidRPr="000C74F2" w:rsidRDefault="000C74F2" w:rsidP="000C74F2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lastRenderedPageBreak/>
        <w:t>10 years</w:t>
      </w:r>
      <w:r w:rsidRPr="000C74F2">
        <w:rPr>
          <w:rFonts w:ascii="Arial" w:hAnsi="Arial" w:cs="Arial"/>
          <w:sz w:val="22"/>
          <w:szCs w:val="22"/>
        </w:rPr>
        <w:tab/>
      </w:r>
      <w:r w:rsidRPr="000C74F2">
        <w:rPr>
          <w:rFonts w:ascii="Arial" w:hAnsi="Arial" w:cs="Arial"/>
          <w:sz w:val="22"/>
          <w:szCs w:val="22"/>
        </w:rPr>
        <w:tab/>
        <w:t>£100</w:t>
      </w:r>
    </w:p>
    <w:p w14:paraId="0381E28A" w14:textId="77777777" w:rsidR="000C74F2" w:rsidRPr="000C74F2" w:rsidRDefault="000C74F2" w:rsidP="000C74F2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>15 years</w:t>
      </w:r>
      <w:r w:rsidRPr="000C74F2">
        <w:rPr>
          <w:rFonts w:ascii="Arial" w:hAnsi="Arial" w:cs="Arial"/>
          <w:sz w:val="22"/>
          <w:szCs w:val="22"/>
        </w:rPr>
        <w:tab/>
      </w:r>
      <w:r w:rsidRPr="000C74F2">
        <w:rPr>
          <w:rFonts w:ascii="Arial" w:hAnsi="Arial" w:cs="Arial"/>
          <w:sz w:val="22"/>
          <w:szCs w:val="22"/>
        </w:rPr>
        <w:tab/>
        <w:t>£150</w:t>
      </w:r>
    </w:p>
    <w:p w14:paraId="28DC6AAD" w14:textId="77777777" w:rsidR="000C74F2" w:rsidRPr="000C74F2" w:rsidRDefault="000C74F2" w:rsidP="000C74F2">
      <w:pPr>
        <w:pStyle w:val="ListParagraph"/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>20 years</w:t>
      </w:r>
      <w:r w:rsidRPr="000C74F2">
        <w:rPr>
          <w:rFonts w:ascii="Arial" w:hAnsi="Arial" w:cs="Arial"/>
          <w:sz w:val="22"/>
          <w:szCs w:val="22"/>
        </w:rPr>
        <w:tab/>
      </w:r>
      <w:r w:rsidRPr="000C74F2">
        <w:rPr>
          <w:rFonts w:ascii="Arial" w:hAnsi="Arial" w:cs="Arial"/>
          <w:sz w:val="22"/>
          <w:szCs w:val="22"/>
        </w:rPr>
        <w:tab/>
        <w:t>£200</w:t>
      </w:r>
    </w:p>
    <w:p w14:paraId="2AF53E93" w14:textId="085036A1" w:rsidR="000C74F2" w:rsidRPr="000C74F2" w:rsidRDefault="000C74F2" w:rsidP="000C74F2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0C74F2">
        <w:rPr>
          <w:rFonts w:ascii="Arial" w:hAnsi="Arial" w:cs="Arial"/>
          <w:sz w:val="22"/>
          <w:szCs w:val="22"/>
        </w:rPr>
        <w:t>ears</w:t>
      </w:r>
      <w:r w:rsidRPr="000C74F2">
        <w:rPr>
          <w:rFonts w:ascii="Arial" w:hAnsi="Arial" w:cs="Arial"/>
          <w:sz w:val="16"/>
          <w:szCs w:val="16"/>
        </w:rPr>
        <w:t>*</w:t>
      </w:r>
      <w:r>
        <w:rPr>
          <w:rFonts w:ascii="Arial" w:hAnsi="Arial" w:cs="Arial"/>
          <w:sz w:val="16"/>
          <w:szCs w:val="16"/>
        </w:rPr>
        <w:t xml:space="preserve"> </w:t>
      </w:r>
      <w:r w:rsidRPr="000C74F2">
        <w:rPr>
          <w:rFonts w:ascii="Arial" w:hAnsi="Arial" w:cs="Arial"/>
          <w:sz w:val="16"/>
          <w:szCs w:val="16"/>
        </w:rPr>
        <w:t>[2.3]</w:t>
      </w:r>
      <w:r w:rsidRPr="000C74F2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22"/>
          <w:szCs w:val="22"/>
        </w:rPr>
        <w:tab/>
      </w:r>
      <w:r w:rsidRPr="000C74F2">
        <w:rPr>
          <w:rFonts w:ascii="Arial" w:hAnsi="Arial" w:cs="Arial"/>
          <w:sz w:val="22"/>
          <w:szCs w:val="22"/>
        </w:rPr>
        <w:t>£300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1D6E4B12" w14:textId="77777777" w:rsidR="000C74F2" w:rsidRPr="000C74F2" w:rsidRDefault="000C74F2" w:rsidP="000C74F2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E8673CD" w14:textId="15BDFFDF" w:rsidR="00B31ECB" w:rsidRDefault="000C74F2" w:rsidP="00562053">
      <w:pPr>
        <w:pStyle w:val="ListParagraph"/>
        <w:numPr>
          <w:ilvl w:val="1"/>
          <w:numId w:val="29"/>
        </w:numPr>
        <w:jc w:val="both"/>
        <w:rPr>
          <w:rFonts w:ascii="Arial" w:hAnsi="Arial" w:cs="Arial"/>
          <w:sz w:val="22"/>
          <w:szCs w:val="22"/>
        </w:rPr>
      </w:pPr>
      <w:bookmarkStart w:id="0" w:name="_Hlk118808775"/>
      <w:r w:rsidRPr="00B31ECB">
        <w:rPr>
          <w:rFonts w:ascii="Arial" w:hAnsi="Arial" w:cs="Arial"/>
          <w:sz w:val="22"/>
          <w:szCs w:val="22"/>
        </w:rPr>
        <w:t>*After 25 years’</w:t>
      </w:r>
      <w:r w:rsidR="00130129">
        <w:rPr>
          <w:rFonts w:ascii="Arial" w:hAnsi="Arial" w:cs="Arial"/>
          <w:sz w:val="22"/>
          <w:szCs w:val="22"/>
        </w:rPr>
        <w:t xml:space="preserve"> continuous</w:t>
      </w:r>
      <w:r w:rsidRPr="00B31ECB">
        <w:rPr>
          <w:rFonts w:ascii="Arial" w:hAnsi="Arial" w:cs="Arial"/>
          <w:sz w:val="22"/>
          <w:szCs w:val="22"/>
        </w:rPr>
        <w:t xml:space="preserve"> service, the </w:t>
      </w:r>
      <w:r w:rsidR="009A5045">
        <w:rPr>
          <w:rFonts w:ascii="Arial" w:hAnsi="Arial" w:cs="Arial"/>
          <w:sz w:val="22"/>
          <w:szCs w:val="22"/>
        </w:rPr>
        <w:t>Colleague</w:t>
      </w:r>
      <w:r w:rsidRPr="00B31ECB">
        <w:rPr>
          <w:rFonts w:ascii="Arial" w:hAnsi="Arial" w:cs="Arial"/>
          <w:sz w:val="22"/>
          <w:szCs w:val="22"/>
        </w:rPr>
        <w:t xml:space="preserve"> will also be asked if they would like a </w:t>
      </w:r>
      <w:r w:rsidR="00130129">
        <w:rPr>
          <w:rFonts w:ascii="Arial" w:hAnsi="Arial" w:cs="Arial"/>
          <w:sz w:val="22"/>
          <w:szCs w:val="22"/>
        </w:rPr>
        <w:t xml:space="preserve">celebration of </w:t>
      </w:r>
      <w:r w:rsidRPr="00B31ECB">
        <w:rPr>
          <w:rFonts w:ascii="Arial" w:hAnsi="Arial" w:cs="Arial"/>
          <w:sz w:val="22"/>
          <w:szCs w:val="22"/>
        </w:rPr>
        <w:t xml:space="preserve">their 25 years of service. If accepted, the </w:t>
      </w:r>
      <w:r w:rsidR="00130129">
        <w:rPr>
          <w:rFonts w:ascii="Arial" w:hAnsi="Arial" w:cs="Arial"/>
          <w:sz w:val="22"/>
          <w:szCs w:val="22"/>
        </w:rPr>
        <w:t>celebration</w:t>
      </w:r>
      <w:r w:rsidRPr="00B31ECB">
        <w:rPr>
          <w:rFonts w:ascii="Arial" w:hAnsi="Arial" w:cs="Arial"/>
          <w:sz w:val="22"/>
          <w:szCs w:val="22"/>
        </w:rPr>
        <w:t xml:space="preserve"> will be organised in their honour at the home / scheme / project (or nearby in the case of </w:t>
      </w:r>
      <w:r w:rsidR="00B31ECB" w:rsidRPr="00B31ECB">
        <w:rPr>
          <w:rFonts w:ascii="Arial" w:hAnsi="Arial" w:cs="Arial"/>
          <w:sz w:val="22"/>
          <w:szCs w:val="22"/>
        </w:rPr>
        <w:t xml:space="preserve">central support </w:t>
      </w:r>
      <w:r w:rsidR="009A5045">
        <w:rPr>
          <w:rFonts w:ascii="Arial" w:hAnsi="Arial" w:cs="Arial"/>
          <w:sz w:val="22"/>
          <w:szCs w:val="22"/>
        </w:rPr>
        <w:t>Colleague</w:t>
      </w:r>
      <w:r w:rsidR="00B31ECB" w:rsidRPr="00B31ECB">
        <w:rPr>
          <w:rFonts w:ascii="Arial" w:hAnsi="Arial" w:cs="Arial"/>
          <w:sz w:val="22"/>
          <w:szCs w:val="22"/>
        </w:rPr>
        <w:t>s</w:t>
      </w:r>
      <w:r w:rsidRPr="00B31ECB">
        <w:rPr>
          <w:rFonts w:ascii="Arial" w:hAnsi="Arial" w:cs="Arial"/>
          <w:sz w:val="22"/>
          <w:szCs w:val="22"/>
        </w:rPr>
        <w:t>)</w:t>
      </w:r>
      <w:r w:rsidR="00130129">
        <w:rPr>
          <w:rFonts w:ascii="Arial" w:hAnsi="Arial" w:cs="Arial"/>
          <w:sz w:val="22"/>
          <w:szCs w:val="22"/>
        </w:rPr>
        <w:t xml:space="preserve"> with a maximum spend of £250.</w:t>
      </w:r>
    </w:p>
    <w:bookmarkEnd w:id="0"/>
    <w:p w14:paraId="4855F261" w14:textId="77777777" w:rsidR="00B31ECB" w:rsidRPr="00B31ECB" w:rsidRDefault="00B31ECB" w:rsidP="00B31ECB">
      <w:pPr>
        <w:pStyle w:val="ListParagraph"/>
        <w:jc w:val="both"/>
        <w:rPr>
          <w:rFonts w:ascii="Arial" w:hAnsi="Arial" w:cs="Arial"/>
          <w:sz w:val="22"/>
          <w:szCs w:val="22"/>
        </w:rPr>
      </w:pPr>
    </w:p>
    <w:p w14:paraId="150C36F6" w14:textId="0CBE6C5C" w:rsidR="00571357" w:rsidRPr="00F034C0" w:rsidRDefault="00B31ECB" w:rsidP="00736BBC">
      <w:pPr>
        <w:pStyle w:val="ListParagraph"/>
        <w:numPr>
          <w:ilvl w:val="1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B31ECB">
        <w:rPr>
          <w:rFonts w:ascii="Arial" w:hAnsi="Arial" w:cs="Arial"/>
          <w:sz w:val="22"/>
          <w:szCs w:val="22"/>
        </w:rPr>
        <w:t xml:space="preserve">Following the award at 25 years, </w:t>
      </w:r>
      <w:r w:rsidR="009A5045">
        <w:rPr>
          <w:rFonts w:ascii="Arial" w:hAnsi="Arial" w:cs="Arial"/>
          <w:sz w:val="22"/>
          <w:szCs w:val="22"/>
        </w:rPr>
        <w:t>Colleague</w:t>
      </w:r>
      <w:r w:rsidRPr="00B31ECB">
        <w:rPr>
          <w:rFonts w:ascii="Arial" w:hAnsi="Arial" w:cs="Arial"/>
          <w:sz w:val="22"/>
          <w:szCs w:val="22"/>
        </w:rPr>
        <w:t xml:space="preserve">s will be eligible for a Long Service Recognition award at </w:t>
      </w:r>
      <w:r w:rsidR="009A5045" w:rsidRPr="00B31ECB">
        <w:rPr>
          <w:rFonts w:ascii="Arial" w:hAnsi="Arial" w:cs="Arial"/>
          <w:sz w:val="22"/>
          <w:szCs w:val="22"/>
        </w:rPr>
        <w:t>5-year</w:t>
      </w:r>
      <w:r w:rsidRPr="00B31ECB">
        <w:rPr>
          <w:rFonts w:ascii="Arial" w:hAnsi="Arial" w:cs="Arial"/>
          <w:sz w:val="22"/>
          <w:szCs w:val="22"/>
        </w:rPr>
        <w:t xml:space="preserve"> intervals (30, 35, 40 years </w:t>
      </w:r>
      <w:proofErr w:type="gramStart"/>
      <w:r w:rsidRPr="00B31ECB">
        <w:rPr>
          <w:rFonts w:ascii="Arial" w:hAnsi="Arial" w:cs="Arial"/>
          <w:sz w:val="22"/>
          <w:szCs w:val="22"/>
        </w:rPr>
        <w:t>etc</w:t>
      </w:r>
      <w:proofErr w:type="gramEnd"/>
      <w:r w:rsidRPr="00B31ECB">
        <w:rPr>
          <w:rFonts w:ascii="Arial" w:hAnsi="Arial" w:cs="Arial"/>
          <w:sz w:val="22"/>
          <w:szCs w:val="22"/>
        </w:rPr>
        <w:t>)</w:t>
      </w:r>
      <w:r w:rsidR="009A5045" w:rsidRPr="00B31ECB">
        <w:rPr>
          <w:rFonts w:ascii="Arial" w:hAnsi="Arial" w:cs="Arial"/>
          <w:sz w:val="22"/>
          <w:szCs w:val="22"/>
        </w:rPr>
        <w:t xml:space="preserve">. </w:t>
      </w:r>
      <w:r w:rsidRPr="00B31ECB">
        <w:rPr>
          <w:rFonts w:ascii="Arial" w:hAnsi="Arial" w:cs="Arial"/>
          <w:sz w:val="22"/>
          <w:szCs w:val="22"/>
        </w:rPr>
        <w:t>Reaching these incremental anniversaries will be recognised through presentation of a certificate and presentation of a voucher following a pattern of £50 increments for each 5 years served e.g. 30 years - £350, 35 years - £400.</w:t>
      </w:r>
    </w:p>
    <w:sectPr w:rsidR="00571357" w:rsidRPr="00F034C0" w:rsidSect="00571357">
      <w:headerReference w:type="default" r:id="rId8"/>
      <w:footerReference w:type="default" r:id="rId9"/>
      <w:pgSz w:w="11906" w:h="16838"/>
      <w:pgMar w:top="1440" w:right="9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C1DFC" w14:textId="77777777" w:rsidR="004A4CBB" w:rsidRDefault="004A4CBB" w:rsidP="00752CD7">
      <w:r>
        <w:separator/>
      </w:r>
    </w:p>
  </w:endnote>
  <w:endnote w:type="continuationSeparator" w:id="0">
    <w:p w14:paraId="39740BD3" w14:textId="77777777" w:rsidR="004A4CBB" w:rsidRDefault="004A4CBB" w:rsidP="0075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93"/>
      <w:gridCol w:w="3047"/>
      <w:gridCol w:w="1984"/>
      <w:gridCol w:w="2325"/>
    </w:tblGrid>
    <w:tr w:rsidR="00571357" w:rsidRPr="00A8184F" w14:paraId="2BEA0696" w14:textId="77777777" w:rsidTr="000C74F2">
      <w:trPr>
        <w:jc w:val="center"/>
      </w:trPr>
      <w:tc>
        <w:tcPr>
          <w:tcW w:w="2193" w:type="dxa"/>
          <w:shd w:val="clear" w:color="auto" w:fill="auto"/>
          <w:vAlign w:val="center"/>
        </w:tcPr>
        <w:p w14:paraId="5AA6C8D3" w14:textId="031F2044" w:rsidR="00571357" w:rsidRPr="00A8184F" w:rsidRDefault="00571357" w:rsidP="00067E8E">
          <w:pPr>
            <w:rPr>
              <w:rFonts w:ascii="Arial" w:hAnsi="Arial" w:cs="Arial"/>
              <w:sz w:val="18"/>
              <w:szCs w:val="18"/>
            </w:rPr>
          </w:pPr>
          <w:r w:rsidRPr="00A8184F">
            <w:rPr>
              <w:rFonts w:ascii="Arial" w:hAnsi="Arial" w:cs="Arial"/>
              <w:sz w:val="18"/>
              <w:szCs w:val="18"/>
            </w:rPr>
            <w:t xml:space="preserve">Ref: </w:t>
          </w:r>
          <w:r w:rsidR="000C74F2">
            <w:rPr>
              <w:rFonts w:ascii="Arial" w:hAnsi="Arial" w:cs="Arial"/>
              <w:sz w:val="18"/>
              <w:szCs w:val="18"/>
            </w:rPr>
            <w:t>HR9.11</w:t>
          </w:r>
        </w:p>
      </w:tc>
      <w:tc>
        <w:tcPr>
          <w:tcW w:w="3047" w:type="dxa"/>
          <w:shd w:val="clear" w:color="auto" w:fill="auto"/>
          <w:vAlign w:val="center"/>
        </w:tcPr>
        <w:p w14:paraId="4B733CBD" w14:textId="40FE0CCA" w:rsidR="00571357" w:rsidRPr="00A8184F" w:rsidRDefault="002D19FD" w:rsidP="00067E8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Re-i</w:t>
          </w:r>
          <w:r w:rsidR="00571357" w:rsidRPr="00A8184F">
            <w:rPr>
              <w:rFonts w:ascii="Arial" w:hAnsi="Arial" w:cs="Arial"/>
              <w:sz w:val="18"/>
              <w:szCs w:val="18"/>
            </w:rPr>
            <w:t>ssue Date</w:t>
          </w:r>
          <w:r w:rsidR="000C74F2">
            <w:rPr>
              <w:rFonts w:ascii="Arial" w:hAnsi="Arial" w:cs="Arial"/>
              <w:sz w:val="18"/>
              <w:szCs w:val="18"/>
            </w:rPr>
            <w:t>: November 2022</w:t>
          </w:r>
        </w:p>
      </w:tc>
      <w:tc>
        <w:tcPr>
          <w:tcW w:w="1984" w:type="dxa"/>
        </w:tcPr>
        <w:p w14:paraId="4C94ADE7" w14:textId="043DF51A" w:rsidR="00571357" w:rsidRPr="00A8184F" w:rsidRDefault="00571357" w:rsidP="00067E8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Amended: </w:t>
          </w:r>
        </w:p>
      </w:tc>
      <w:tc>
        <w:tcPr>
          <w:tcW w:w="2325" w:type="dxa"/>
          <w:shd w:val="clear" w:color="auto" w:fill="auto"/>
          <w:vAlign w:val="center"/>
        </w:tcPr>
        <w:p w14:paraId="1EEE02B1" w14:textId="55878486" w:rsidR="00571357" w:rsidRPr="00A8184F" w:rsidRDefault="00571357" w:rsidP="00067E8E">
          <w:pPr>
            <w:rPr>
              <w:rFonts w:ascii="Arial" w:hAnsi="Arial" w:cs="Arial"/>
              <w:sz w:val="18"/>
              <w:szCs w:val="18"/>
            </w:rPr>
          </w:pPr>
          <w:r w:rsidRPr="00A8184F">
            <w:rPr>
              <w:rFonts w:ascii="Arial" w:hAnsi="Arial" w:cs="Arial"/>
              <w:sz w:val="18"/>
              <w:szCs w:val="18"/>
            </w:rPr>
            <w:t xml:space="preserve">Lead:  </w:t>
          </w:r>
          <w:r>
            <w:rPr>
              <w:rFonts w:ascii="Arial" w:hAnsi="Arial" w:cs="Arial"/>
              <w:sz w:val="18"/>
              <w:szCs w:val="18"/>
            </w:rPr>
            <w:t xml:space="preserve">Head of </w:t>
          </w:r>
          <w:r w:rsidR="000C74F2">
            <w:rPr>
              <w:rFonts w:ascii="Arial" w:hAnsi="Arial" w:cs="Arial"/>
              <w:sz w:val="18"/>
              <w:szCs w:val="18"/>
            </w:rPr>
            <w:t>TA SS</w:t>
          </w:r>
        </w:p>
      </w:tc>
    </w:tr>
    <w:tr w:rsidR="00571357" w:rsidRPr="00A8184F" w14:paraId="1F7C8EDC" w14:textId="77777777" w:rsidTr="000C74F2">
      <w:trPr>
        <w:jc w:val="center"/>
      </w:trPr>
      <w:tc>
        <w:tcPr>
          <w:tcW w:w="2193" w:type="dxa"/>
          <w:shd w:val="clear" w:color="auto" w:fill="auto"/>
          <w:vAlign w:val="center"/>
        </w:tcPr>
        <w:p w14:paraId="4C0B6A81" w14:textId="77777777" w:rsidR="00571357" w:rsidRPr="00A8184F" w:rsidRDefault="00571357" w:rsidP="00067E8E">
          <w:pPr>
            <w:rPr>
              <w:rFonts w:ascii="Arial" w:hAnsi="Arial" w:cs="Arial"/>
              <w:sz w:val="18"/>
              <w:szCs w:val="18"/>
            </w:rPr>
          </w:pPr>
          <w:r w:rsidRPr="00A8184F">
            <w:rPr>
              <w:rFonts w:ascii="Arial" w:hAnsi="Arial" w:cs="Arial"/>
              <w:sz w:val="18"/>
              <w:szCs w:val="18"/>
            </w:rPr>
            <w:t>Target: MHA</w:t>
          </w:r>
        </w:p>
      </w:tc>
      <w:tc>
        <w:tcPr>
          <w:tcW w:w="3047" w:type="dxa"/>
          <w:shd w:val="clear" w:color="auto" w:fill="auto"/>
          <w:vAlign w:val="center"/>
        </w:tcPr>
        <w:p w14:paraId="6D01B1AD" w14:textId="7494F35C" w:rsidR="00571357" w:rsidRPr="00A8184F" w:rsidRDefault="00571357" w:rsidP="00067E8E">
          <w:pPr>
            <w:rPr>
              <w:rFonts w:ascii="Arial" w:hAnsi="Arial" w:cs="Arial"/>
              <w:sz w:val="18"/>
              <w:szCs w:val="18"/>
            </w:rPr>
          </w:pPr>
          <w:r w:rsidRPr="00A8184F">
            <w:rPr>
              <w:rFonts w:ascii="Arial" w:hAnsi="Arial" w:cs="Arial"/>
              <w:sz w:val="18"/>
              <w:szCs w:val="18"/>
            </w:rPr>
            <w:t xml:space="preserve">Review Date: </w:t>
          </w:r>
          <w:r w:rsidR="000C74F2">
            <w:rPr>
              <w:rFonts w:ascii="Arial" w:hAnsi="Arial" w:cs="Arial"/>
              <w:sz w:val="18"/>
              <w:szCs w:val="18"/>
            </w:rPr>
            <w:t>November 2025</w:t>
          </w:r>
        </w:p>
      </w:tc>
      <w:tc>
        <w:tcPr>
          <w:tcW w:w="1984" w:type="dxa"/>
        </w:tcPr>
        <w:p w14:paraId="016C92C9" w14:textId="38BF7683" w:rsidR="00571357" w:rsidRPr="00A8184F" w:rsidRDefault="002D19FD" w:rsidP="00067E8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Version:</w:t>
          </w:r>
          <w:r w:rsidR="000C74F2">
            <w:rPr>
              <w:rFonts w:ascii="Arial" w:hAnsi="Arial" w:cs="Arial"/>
              <w:sz w:val="18"/>
              <w:szCs w:val="18"/>
            </w:rPr>
            <w:t xml:space="preserve"> 3</w:t>
          </w:r>
        </w:p>
      </w:tc>
      <w:tc>
        <w:tcPr>
          <w:tcW w:w="2325" w:type="dxa"/>
          <w:shd w:val="clear" w:color="auto" w:fill="auto"/>
          <w:vAlign w:val="center"/>
        </w:tcPr>
        <w:p w14:paraId="750A1961" w14:textId="7EE06416" w:rsidR="00571357" w:rsidRPr="00A8184F" w:rsidRDefault="00571357" w:rsidP="00067E8E">
          <w:pPr>
            <w:rPr>
              <w:rFonts w:ascii="Arial" w:hAnsi="Arial" w:cs="Arial"/>
              <w:sz w:val="18"/>
              <w:szCs w:val="18"/>
            </w:rPr>
          </w:pPr>
          <w:r w:rsidRPr="00A8184F">
            <w:rPr>
              <w:rFonts w:ascii="Arial" w:hAnsi="Arial" w:cs="Arial"/>
              <w:sz w:val="18"/>
              <w:szCs w:val="18"/>
            </w:rPr>
            <w:t xml:space="preserve">Page: </w:t>
          </w:r>
          <w:r w:rsidRPr="00A8184F">
            <w:rPr>
              <w:rFonts w:ascii="Arial" w:hAnsi="Arial" w:cs="Arial"/>
              <w:sz w:val="18"/>
              <w:szCs w:val="18"/>
            </w:rPr>
            <w:fldChar w:fldCharType="begin"/>
          </w:r>
          <w:r w:rsidRPr="00A8184F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8184F">
            <w:rPr>
              <w:rFonts w:ascii="Arial" w:hAnsi="Arial" w:cs="Arial"/>
              <w:sz w:val="18"/>
              <w:szCs w:val="18"/>
            </w:rPr>
            <w:fldChar w:fldCharType="separate"/>
          </w:r>
          <w:r w:rsidR="00AF142E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8184F">
            <w:rPr>
              <w:rFonts w:ascii="Arial" w:hAnsi="Arial" w:cs="Arial"/>
              <w:sz w:val="18"/>
              <w:szCs w:val="18"/>
            </w:rPr>
            <w:fldChar w:fldCharType="end"/>
          </w:r>
          <w:r w:rsidRPr="00A8184F">
            <w:rPr>
              <w:rFonts w:ascii="Arial" w:hAnsi="Arial" w:cs="Arial"/>
              <w:sz w:val="18"/>
              <w:szCs w:val="18"/>
            </w:rPr>
            <w:t xml:space="preserve"> of </w:t>
          </w:r>
          <w:r w:rsidRPr="00A8184F">
            <w:rPr>
              <w:rFonts w:ascii="Arial" w:hAnsi="Arial" w:cs="Arial"/>
              <w:sz w:val="18"/>
              <w:szCs w:val="18"/>
            </w:rPr>
            <w:fldChar w:fldCharType="begin"/>
          </w:r>
          <w:r w:rsidRPr="00A8184F">
            <w:rPr>
              <w:rFonts w:ascii="Arial" w:hAnsi="Arial" w:cs="Arial"/>
              <w:sz w:val="18"/>
              <w:szCs w:val="18"/>
            </w:rPr>
            <w:instrText xml:space="preserve"> NUMPAGES   \* MERGEFORMAT </w:instrText>
          </w:r>
          <w:r w:rsidRPr="00A8184F">
            <w:rPr>
              <w:rFonts w:ascii="Arial" w:hAnsi="Arial" w:cs="Arial"/>
              <w:sz w:val="18"/>
              <w:szCs w:val="18"/>
            </w:rPr>
            <w:fldChar w:fldCharType="separate"/>
          </w:r>
          <w:r w:rsidR="00AF142E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A8184F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3B57ED0" w14:textId="77777777" w:rsidR="00067E8E" w:rsidRDefault="00067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41DD" w14:textId="77777777" w:rsidR="004A4CBB" w:rsidRDefault="004A4CBB" w:rsidP="00752CD7">
      <w:r>
        <w:separator/>
      </w:r>
    </w:p>
  </w:footnote>
  <w:footnote w:type="continuationSeparator" w:id="0">
    <w:p w14:paraId="2DA7844E" w14:textId="77777777" w:rsidR="004A4CBB" w:rsidRDefault="004A4CBB" w:rsidP="00752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0AAE4" w14:textId="77777777" w:rsidR="00752CD7" w:rsidRDefault="00752CD7">
    <w:pPr>
      <w:pStyle w:val="Header"/>
    </w:pPr>
    <w:r w:rsidRPr="008A7253">
      <w:rPr>
        <w:rFonts w:eastAsia="Arial"/>
        <w:noProof/>
        <w:sz w:val="18"/>
        <w:szCs w:val="18"/>
        <w:lang w:eastAsia="en-GB"/>
      </w:rPr>
      <w:drawing>
        <wp:inline distT="0" distB="0" distL="0" distR="0" wp14:anchorId="2132ED71" wp14:editId="39CBBE99">
          <wp:extent cx="1076325" cy="714375"/>
          <wp:effectExtent l="0" t="0" r="9525" b="9525"/>
          <wp:docPr id="9" name="Picture 9" descr="H:\My Documents\Miscellaneaous\templates and logo\MHA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:\My Documents\Miscellaneaous\templates and logo\MHA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3033"/>
    <w:multiLevelType w:val="hybridMultilevel"/>
    <w:tmpl w:val="C5F00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AB5"/>
    <w:multiLevelType w:val="hybridMultilevel"/>
    <w:tmpl w:val="8D0C88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60995"/>
    <w:multiLevelType w:val="multilevel"/>
    <w:tmpl w:val="88B619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8548E8"/>
    <w:multiLevelType w:val="hybridMultilevel"/>
    <w:tmpl w:val="60AAE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4F96"/>
    <w:multiLevelType w:val="hybridMultilevel"/>
    <w:tmpl w:val="394221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922FC"/>
    <w:multiLevelType w:val="multilevel"/>
    <w:tmpl w:val="4C4C936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723F6B"/>
    <w:multiLevelType w:val="hybridMultilevel"/>
    <w:tmpl w:val="43C2F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E69CB"/>
    <w:multiLevelType w:val="hybridMultilevel"/>
    <w:tmpl w:val="DC6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14FD2"/>
    <w:multiLevelType w:val="hybridMultilevel"/>
    <w:tmpl w:val="D4C2B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2781"/>
    <w:multiLevelType w:val="hybridMultilevel"/>
    <w:tmpl w:val="7BCCE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B1B36"/>
    <w:multiLevelType w:val="hybridMultilevel"/>
    <w:tmpl w:val="54604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9256A"/>
    <w:multiLevelType w:val="multilevel"/>
    <w:tmpl w:val="F574155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BD5D4A"/>
    <w:multiLevelType w:val="multilevel"/>
    <w:tmpl w:val="34AC3A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7C862A8"/>
    <w:multiLevelType w:val="hybridMultilevel"/>
    <w:tmpl w:val="3D66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E6B49"/>
    <w:multiLevelType w:val="hybridMultilevel"/>
    <w:tmpl w:val="15AA6F56"/>
    <w:lvl w:ilvl="0" w:tplc="0809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867CB"/>
    <w:multiLevelType w:val="hybridMultilevel"/>
    <w:tmpl w:val="5C78D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56787"/>
    <w:multiLevelType w:val="hybridMultilevel"/>
    <w:tmpl w:val="E3C47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35DBB"/>
    <w:multiLevelType w:val="hybridMultilevel"/>
    <w:tmpl w:val="79C2A1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AE0E0F"/>
    <w:multiLevelType w:val="hybridMultilevel"/>
    <w:tmpl w:val="1FB60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E2245"/>
    <w:multiLevelType w:val="hybridMultilevel"/>
    <w:tmpl w:val="B748B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A5B24"/>
    <w:multiLevelType w:val="hybridMultilevel"/>
    <w:tmpl w:val="3A041E24"/>
    <w:lvl w:ilvl="0" w:tplc="EA9E3EDE">
      <w:start w:val="2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E96B34"/>
    <w:multiLevelType w:val="hybridMultilevel"/>
    <w:tmpl w:val="06205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B7377"/>
    <w:multiLevelType w:val="hybridMultilevel"/>
    <w:tmpl w:val="FC1EC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043311"/>
    <w:multiLevelType w:val="multilevel"/>
    <w:tmpl w:val="EF20317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276858"/>
    <w:multiLevelType w:val="hybridMultilevel"/>
    <w:tmpl w:val="C05E7BF8"/>
    <w:lvl w:ilvl="0" w:tplc="BF7207E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61A1F"/>
    <w:multiLevelType w:val="multilevel"/>
    <w:tmpl w:val="50CC31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EAA5EA8"/>
    <w:multiLevelType w:val="multilevel"/>
    <w:tmpl w:val="50CC31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D22586"/>
    <w:multiLevelType w:val="multilevel"/>
    <w:tmpl w:val="7D0CC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862E13"/>
    <w:multiLevelType w:val="hybridMultilevel"/>
    <w:tmpl w:val="B90EC3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14650E">
      <w:start w:val="1"/>
      <w:numFmt w:val="lowerLetter"/>
      <w:lvlText w:val="%3)"/>
      <w:lvlJc w:val="left"/>
      <w:pPr>
        <w:ind w:left="2160" w:hanging="360"/>
      </w:pPr>
      <w:rPr>
        <w:rFonts w:ascii="Arial" w:eastAsiaTheme="minorHAnsi" w:hAnsi="Arial" w:cs="Arial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63047"/>
    <w:multiLevelType w:val="hybridMultilevel"/>
    <w:tmpl w:val="94727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65F81"/>
    <w:multiLevelType w:val="hybridMultilevel"/>
    <w:tmpl w:val="CDF2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516042">
    <w:abstractNumId w:val="9"/>
  </w:num>
  <w:num w:numId="2" w16cid:durableId="246964411">
    <w:abstractNumId w:val="24"/>
  </w:num>
  <w:num w:numId="3" w16cid:durableId="376244907">
    <w:abstractNumId w:val="3"/>
  </w:num>
  <w:num w:numId="4" w16cid:durableId="937718982">
    <w:abstractNumId w:val="15"/>
  </w:num>
  <w:num w:numId="5" w16cid:durableId="1474059182">
    <w:abstractNumId w:val="17"/>
  </w:num>
  <w:num w:numId="6" w16cid:durableId="708147616">
    <w:abstractNumId w:val="14"/>
  </w:num>
  <w:num w:numId="7" w16cid:durableId="1859195300">
    <w:abstractNumId w:val="16"/>
  </w:num>
  <w:num w:numId="8" w16cid:durableId="495531571">
    <w:abstractNumId w:val="8"/>
  </w:num>
  <w:num w:numId="9" w16cid:durableId="461582103">
    <w:abstractNumId w:val="18"/>
  </w:num>
  <w:num w:numId="10" w16cid:durableId="276760427">
    <w:abstractNumId w:val="19"/>
  </w:num>
  <w:num w:numId="11" w16cid:durableId="293412804">
    <w:abstractNumId w:val="26"/>
  </w:num>
  <w:num w:numId="12" w16cid:durableId="434789932">
    <w:abstractNumId w:val="13"/>
  </w:num>
  <w:num w:numId="13" w16cid:durableId="827290186">
    <w:abstractNumId w:val="29"/>
  </w:num>
  <w:num w:numId="14" w16cid:durableId="294674890">
    <w:abstractNumId w:val="30"/>
  </w:num>
  <w:num w:numId="15" w16cid:durableId="194776945">
    <w:abstractNumId w:val="7"/>
  </w:num>
  <w:num w:numId="16" w16cid:durableId="1919171828">
    <w:abstractNumId w:val="6"/>
  </w:num>
  <w:num w:numId="17" w16cid:durableId="1972862893">
    <w:abstractNumId w:val="10"/>
  </w:num>
  <w:num w:numId="18" w16cid:durableId="1017122790">
    <w:abstractNumId w:val="25"/>
  </w:num>
  <w:num w:numId="19" w16cid:durableId="1420905010">
    <w:abstractNumId w:val="5"/>
  </w:num>
  <w:num w:numId="20" w16cid:durableId="1011831353">
    <w:abstractNumId w:val="23"/>
  </w:num>
  <w:num w:numId="21" w16cid:durableId="1534532418">
    <w:abstractNumId w:val="12"/>
  </w:num>
  <w:num w:numId="22" w16cid:durableId="338314008">
    <w:abstractNumId w:val="2"/>
  </w:num>
  <w:num w:numId="23" w16cid:durableId="1978408488">
    <w:abstractNumId w:val="22"/>
  </w:num>
  <w:num w:numId="24" w16cid:durableId="1643343576">
    <w:abstractNumId w:val="1"/>
  </w:num>
  <w:num w:numId="25" w16cid:durableId="494494255">
    <w:abstractNumId w:val="21"/>
  </w:num>
  <w:num w:numId="26" w16cid:durableId="494566592">
    <w:abstractNumId w:val="4"/>
  </w:num>
  <w:num w:numId="27" w16cid:durableId="1645626449">
    <w:abstractNumId w:val="28"/>
  </w:num>
  <w:num w:numId="28" w16cid:durableId="305205283">
    <w:abstractNumId w:val="27"/>
  </w:num>
  <w:num w:numId="29" w16cid:durableId="1061756530">
    <w:abstractNumId w:val="11"/>
  </w:num>
  <w:num w:numId="30" w16cid:durableId="2072843961">
    <w:abstractNumId w:val="20"/>
  </w:num>
  <w:num w:numId="31" w16cid:durableId="155865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C5"/>
    <w:rsid w:val="00021004"/>
    <w:rsid w:val="00055280"/>
    <w:rsid w:val="00063AFF"/>
    <w:rsid w:val="00067E8E"/>
    <w:rsid w:val="00082CF8"/>
    <w:rsid w:val="00085A9A"/>
    <w:rsid w:val="000A51BB"/>
    <w:rsid w:val="000C74F2"/>
    <w:rsid w:val="000D6D8F"/>
    <w:rsid w:val="000D7513"/>
    <w:rsid w:val="00122D9E"/>
    <w:rsid w:val="00125624"/>
    <w:rsid w:val="00130129"/>
    <w:rsid w:val="00160C11"/>
    <w:rsid w:val="0016217F"/>
    <w:rsid w:val="00165D62"/>
    <w:rsid w:val="00176B45"/>
    <w:rsid w:val="00190505"/>
    <w:rsid w:val="001A53EC"/>
    <w:rsid w:val="001A60F0"/>
    <w:rsid w:val="001B7368"/>
    <w:rsid w:val="001C60C5"/>
    <w:rsid w:val="001E51E9"/>
    <w:rsid w:val="002367DD"/>
    <w:rsid w:val="00241539"/>
    <w:rsid w:val="002754A5"/>
    <w:rsid w:val="002A1D92"/>
    <w:rsid w:val="002C197A"/>
    <w:rsid w:val="002C205E"/>
    <w:rsid w:val="002C6C10"/>
    <w:rsid w:val="002D19FD"/>
    <w:rsid w:val="002D7C8C"/>
    <w:rsid w:val="002F211F"/>
    <w:rsid w:val="0030497B"/>
    <w:rsid w:val="00311C72"/>
    <w:rsid w:val="0035579E"/>
    <w:rsid w:val="003627C5"/>
    <w:rsid w:val="003843FF"/>
    <w:rsid w:val="00390540"/>
    <w:rsid w:val="003A4D93"/>
    <w:rsid w:val="003C6EC8"/>
    <w:rsid w:val="00400795"/>
    <w:rsid w:val="0041070E"/>
    <w:rsid w:val="00452EF3"/>
    <w:rsid w:val="00456D89"/>
    <w:rsid w:val="00457FE1"/>
    <w:rsid w:val="004865FA"/>
    <w:rsid w:val="004A4769"/>
    <w:rsid w:val="004A4CBB"/>
    <w:rsid w:val="004B38C5"/>
    <w:rsid w:val="004D5592"/>
    <w:rsid w:val="004F55C4"/>
    <w:rsid w:val="004F6ED3"/>
    <w:rsid w:val="005102FF"/>
    <w:rsid w:val="00517E9E"/>
    <w:rsid w:val="00536A7B"/>
    <w:rsid w:val="00554CDC"/>
    <w:rsid w:val="00567B89"/>
    <w:rsid w:val="00571357"/>
    <w:rsid w:val="0059719F"/>
    <w:rsid w:val="005F49DD"/>
    <w:rsid w:val="006665ED"/>
    <w:rsid w:val="00676852"/>
    <w:rsid w:val="00677D24"/>
    <w:rsid w:val="006A48FB"/>
    <w:rsid w:val="006C504C"/>
    <w:rsid w:val="006D641F"/>
    <w:rsid w:val="007156D0"/>
    <w:rsid w:val="00730B89"/>
    <w:rsid w:val="00735288"/>
    <w:rsid w:val="00736BBC"/>
    <w:rsid w:val="00752CD7"/>
    <w:rsid w:val="007627D4"/>
    <w:rsid w:val="007803DE"/>
    <w:rsid w:val="007C57AC"/>
    <w:rsid w:val="007E4F7E"/>
    <w:rsid w:val="007E5E47"/>
    <w:rsid w:val="007E669C"/>
    <w:rsid w:val="007F1971"/>
    <w:rsid w:val="00823BEE"/>
    <w:rsid w:val="00837B30"/>
    <w:rsid w:val="008572EC"/>
    <w:rsid w:val="008B26AF"/>
    <w:rsid w:val="008B6B31"/>
    <w:rsid w:val="008C44C1"/>
    <w:rsid w:val="008C6BBF"/>
    <w:rsid w:val="008E7B06"/>
    <w:rsid w:val="009202E2"/>
    <w:rsid w:val="00924BD4"/>
    <w:rsid w:val="00926110"/>
    <w:rsid w:val="009348E3"/>
    <w:rsid w:val="0095564E"/>
    <w:rsid w:val="009A02B4"/>
    <w:rsid w:val="009A5045"/>
    <w:rsid w:val="009D24D6"/>
    <w:rsid w:val="00A26283"/>
    <w:rsid w:val="00A31AE5"/>
    <w:rsid w:val="00A3238A"/>
    <w:rsid w:val="00A33AB8"/>
    <w:rsid w:val="00A61E0D"/>
    <w:rsid w:val="00A636C3"/>
    <w:rsid w:val="00A85FD4"/>
    <w:rsid w:val="00AA5713"/>
    <w:rsid w:val="00AC5193"/>
    <w:rsid w:val="00AD0B1E"/>
    <w:rsid w:val="00AF142E"/>
    <w:rsid w:val="00B02B15"/>
    <w:rsid w:val="00B245C1"/>
    <w:rsid w:val="00B30024"/>
    <w:rsid w:val="00B31ECB"/>
    <w:rsid w:val="00B36B43"/>
    <w:rsid w:val="00B449D5"/>
    <w:rsid w:val="00B81C4E"/>
    <w:rsid w:val="00B93C99"/>
    <w:rsid w:val="00B96F18"/>
    <w:rsid w:val="00BA1A1C"/>
    <w:rsid w:val="00BB1CE5"/>
    <w:rsid w:val="00BE1F8E"/>
    <w:rsid w:val="00BE4ED8"/>
    <w:rsid w:val="00BF1270"/>
    <w:rsid w:val="00C129CE"/>
    <w:rsid w:val="00C16009"/>
    <w:rsid w:val="00C16EDA"/>
    <w:rsid w:val="00C70488"/>
    <w:rsid w:val="00C71272"/>
    <w:rsid w:val="00C77209"/>
    <w:rsid w:val="00C83B6E"/>
    <w:rsid w:val="00CD25CC"/>
    <w:rsid w:val="00CE2E7D"/>
    <w:rsid w:val="00CF2034"/>
    <w:rsid w:val="00CF3148"/>
    <w:rsid w:val="00CF6AAE"/>
    <w:rsid w:val="00D00331"/>
    <w:rsid w:val="00D10851"/>
    <w:rsid w:val="00D11591"/>
    <w:rsid w:val="00D32C21"/>
    <w:rsid w:val="00D45670"/>
    <w:rsid w:val="00D4677A"/>
    <w:rsid w:val="00D526FB"/>
    <w:rsid w:val="00D6706E"/>
    <w:rsid w:val="00D733F0"/>
    <w:rsid w:val="00DD357A"/>
    <w:rsid w:val="00DF1CAC"/>
    <w:rsid w:val="00DF5F11"/>
    <w:rsid w:val="00DF6DAE"/>
    <w:rsid w:val="00E12025"/>
    <w:rsid w:val="00E35F24"/>
    <w:rsid w:val="00E4093A"/>
    <w:rsid w:val="00EA2A74"/>
    <w:rsid w:val="00EA754A"/>
    <w:rsid w:val="00ED2FF7"/>
    <w:rsid w:val="00EF43D2"/>
    <w:rsid w:val="00EF54FF"/>
    <w:rsid w:val="00F034C0"/>
    <w:rsid w:val="00F13B04"/>
    <w:rsid w:val="00F16BDC"/>
    <w:rsid w:val="00F2029E"/>
    <w:rsid w:val="00F24293"/>
    <w:rsid w:val="00F53DCB"/>
    <w:rsid w:val="00F83DF4"/>
    <w:rsid w:val="00F90A71"/>
    <w:rsid w:val="00FC02B8"/>
    <w:rsid w:val="00FD7528"/>
    <w:rsid w:val="00FF0E6E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26C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C5"/>
    <w:pPr>
      <w:spacing w:after="0" w:line="240" w:lineRule="auto"/>
    </w:pPr>
    <w:rPr>
      <w:rFonts w:ascii="Frutiger" w:eastAsia="Times New Roman" w:hAnsi="Frutiger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7E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9E"/>
    <w:rPr>
      <w:rFonts w:ascii="Frutiger" w:eastAsia="Times New Roman" w:hAnsi="Frutiger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C5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C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CD7"/>
    <w:rPr>
      <w:rFonts w:ascii="Frutiger" w:eastAsia="Times New Roman" w:hAnsi="Frutiger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unhideWhenUsed/>
    <w:rsid w:val="002754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54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54A5"/>
    <w:rPr>
      <w:rFonts w:ascii="Frutiger" w:eastAsia="Times New Roman" w:hAnsi="Frutiger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4A5"/>
    <w:rPr>
      <w:rFonts w:ascii="Frutiger" w:eastAsia="Times New Roman" w:hAnsi="Frutiger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4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4A5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085A9A"/>
    <w:pPr>
      <w:spacing w:after="0" w:line="240" w:lineRule="auto"/>
    </w:pPr>
    <w:rPr>
      <w:rFonts w:ascii="Frutiger" w:eastAsia="Times New Roman" w:hAnsi="Frutiger" w:cs="Times New Roman"/>
      <w:sz w:val="24"/>
      <w:szCs w:val="24"/>
    </w:rPr>
  </w:style>
  <w:style w:type="paragraph" w:styleId="Revision">
    <w:name w:val="Revision"/>
    <w:hidden/>
    <w:uiPriority w:val="99"/>
    <w:semiHidden/>
    <w:rsid w:val="00125624"/>
    <w:pPr>
      <w:spacing w:after="0" w:line="240" w:lineRule="auto"/>
    </w:pPr>
    <w:rPr>
      <w:rFonts w:ascii="Frutiger" w:eastAsia="Times New Roman" w:hAnsi="Frutiger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1357"/>
    <w:rPr>
      <w:rFonts w:ascii="Frutiger" w:eastAsia="Times New Roman" w:hAnsi="Frutiger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3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7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75158CD68F4478BDB0D21BBCA1F9F" ma:contentTypeVersion="11" ma:contentTypeDescription="Create a new document." ma:contentTypeScope="" ma:versionID="12ebbaaf68536d81e82830a1f1c4e39a">
  <xsd:schema xmlns:xsd="http://www.w3.org/2001/XMLSchema" xmlns:xs="http://www.w3.org/2001/XMLSchema" xmlns:p="http://schemas.microsoft.com/office/2006/metadata/properties" xmlns:ns2="1a67aad1-5399-4b65-a50a-06f38c7c7bdb" xmlns:ns3="adf8f2a3-bd98-4281-b1be-bc644b57b058" targetNamespace="http://schemas.microsoft.com/office/2006/metadata/properties" ma:root="true" ma:fieldsID="fed36566bad2ce0dcac0d713eedacee9" ns2:_="" ns3:_="">
    <xsd:import namespace="1a67aad1-5399-4b65-a50a-06f38c7c7bdb"/>
    <xsd:import namespace="adf8f2a3-bd98-4281-b1be-bc644b57b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7aad1-5399-4b65-a50a-06f38c7c7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f11136-f281-40ed-abe3-053b0bca1e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f2a3-bd98-4281-b1be-bc644b57b0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d1d4fc-0c23-471d-820d-a28c23002a4c}" ma:internalName="TaxCatchAll" ma:showField="CatchAllData" ma:web="adf8f2a3-bd98-4281-b1be-bc644b57b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7aad1-5399-4b65-a50a-06f38c7c7bdb">
      <Terms xmlns="http://schemas.microsoft.com/office/infopath/2007/PartnerControls"/>
    </lcf76f155ced4ddcb4097134ff3c332f>
    <TaxCatchAll xmlns="adf8f2a3-bd98-4281-b1be-bc644b57b058" xsi:nil="true"/>
  </documentManagement>
</p:properties>
</file>

<file path=customXml/itemProps1.xml><?xml version="1.0" encoding="utf-8"?>
<ds:datastoreItem xmlns:ds="http://schemas.openxmlformats.org/officeDocument/2006/customXml" ds:itemID="{B978E418-78B3-4612-A65E-09882C9FB2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E8207-7E2D-44B1-BBF6-07390EF34894}"/>
</file>

<file path=customXml/itemProps3.xml><?xml version="1.0" encoding="utf-8"?>
<ds:datastoreItem xmlns:ds="http://schemas.openxmlformats.org/officeDocument/2006/customXml" ds:itemID="{37932F62-CFD2-4D30-8F81-A666DBCA6589}"/>
</file>

<file path=customXml/itemProps4.xml><?xml version="1.0" encoding="utf-8"?>
<ds:datastoreItem xmlns:ds="http://schemas.openxmlformats.org/officeDocument/2006/customXml" ds:itemID="{BDCF7FB0-2F97-486B-BE86-4DFA51877B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2022-11-08T11:48:00Z</dcterms:created>
  <dcterms:modified xsi:type="dcterms:W3CDTF">2022-11-08T14:06:00Z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0x01010063775158CD68F4478BDB0D21BBCA1F9F</vt:lpwstr>
  </property>
</Properties>
</file>