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0226" w14:textId="77777777" w:rsidR="00DF67AA" w:rsidRDefault="00DF67AA" w:rsidP="00903AA2">
      <w:pPr>
        <w:rPr>
          <w:spacing w:val="10"/>
        </w:rPr>
      </w:pPr>
    </w:p>
    <w:p w14:paraId="029A2D4C" w14:textId="77777777" w:rsidR="00DF67AA" w:rsidRDefault="00DF67AA" w:rsidP="00903AA2">
      <w:pPr>
        <w:rPr>
          <w:spacing w:val="10"/>
        </w:rPr>
      </w:pPr>
    </w:p>
    <w:p w14:paraId="6FC866A4" w14:textId="77777777" w:rsidR="00FA1162" w:rsidRDefault="00FA1162" w:rsidP="00903AA2">
      <w:pPr>
        <w:rPr>
          <w:spacing w:val="10"/>
        </w:rPr>
      </w:pPr>
    </w:p>
    <w:p w14:paraId="76169DF5" w14:textId="77777777" w:rsidR="00DF67AA" w:rsidRDefault="00306ED7" w:rsidP="00FA1162">
      <w:pPr>
        <w:rPr>
          <w:spacing w:val="10"/>
        </w:rPr>
      </w:pPr>
      <w:r w:rsidRPr="0063326C">
        <w:rPr>
          <w:noProof/>
          <w:spacing w:val="10"/>
        </w:rPr>
        <mc:AlternateContent>
          <mc:Choice Requires="wps">
            <w:drawing>
              <wp:inline distT="0" distB="0" distL="0" distR="0" wp14:anchorId="11CEC555" wp14:editId="4475058D">
                <wp:extent cx="6058894" cy="1932167"/>
                <wp:effectExtent l="0" t="0" r="1841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1"/>
                        </a:solidFill>
                        <a:ln w="9525">
                          <a:solidFill>
                            <a:schemeClr val="accent1"/>
                          </a:solidFill>
                          <a:miter lim="800000"/>
                          <a:headEnd/>
                          <a:tailEnd/>
                        </a:ln>
                      </wps:spPr>
                      <wps:txbx>
                        <w:txbxContent>
                          <w:p w14:paraId="77951642" w14:textId="7A5FCA74" w:rsidR="00306ED7" w:rsidRPr="00847753" w:rsidRDefault="00C34246" w:rsidP="00306ED7">
                            <w:pPr>
                              <w:pStyle w:val="PolicyTitle"/>
                            </w:pPr>
                            <w:r>
                              <w:t>Social Media for Personal Use</w:t>
                            </w:r>
                            <w:r w:rsidR="00306ED7">
                              <w:t xml:space="preserve"> Policy </w:t>
                            </w:r>
                          </w:p>
                          <w:p w14:paraId="2D83E16E" w14:textId="430966CF" w:rsidR="00306ED7" w:rsidRPr="00847753" w:rsidRDefault="00306ED7" w:rsidP="00306ED7">
                            <w:pPr>
                              <w:pStyle w:val="PolicyCode"/>
                            </w:pPr>
                            <w:r>
                              <w:t>HR9.</w:t>
                            </w:r>
                            <w:r w:rsidR="00C34246">
                              <w:t>13</w:t>
                            </w:r>
                            <w:r w:rsidRPr="00847753">
                              <w:t xml:space="preserve"> </w:t>
                            </w:r>
                            <w:r>
                              <w:t>Employment Policies</w:t>
                            </w:r>
                          </w:p>
                          <w:p w14:paraId="376C11C0" w14:textId="1676DE43" w:rsidR="00306ED7" w:rsidRPr="00847753" w:rsidRDefault="009213A0" w:rsidP="00306ED7">
                            <w:pPr>
                              <w:pStyle w:val="PolicyDate"/>
                            </w:pPr>
                            <w:r>
                              <w:t>February</w:t>
                            </w:r>
                            <w:r>
                              <w:t xml:space="preserve"> </w:t>
                            </w:r>
                            <w:r w:rsidR="00306ED7">
                              <w:t>202</w:t>
                            </w:r>
                            <w:r>
                              <w:t>4</w:t>
                            </w:r>
                          </w:p>
                        </w:txbxContent>
                      </wps:txbx>
                      <wps:bodyPr rot="0" vert="horz" wrap="square" lIns="91440" tIns="45720" rIns="91440" bIns="45720" anchor="t" anchorCtr="0">
                        <a:spAutoFit/>
                      </wps:bodyPr>
                    </wps:wsp>
                  </a:graphicData>
                </a:graphic>
              </wp:inline>
            </w:drawing>
          </mc:Choice>
          <mc:Fallback>
            <w:pict>
              <v:shapetype w14:anchorId="11CEC555"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" fillcolor="#4f868e [3204]" strokecolor="#4f868e [3204]">
                <v:textbox style="mso-fit-shape-to-text:t">
                  <w:txbxContent>
                    <w:p w14:paraId="77951642" w14:textId="7A5FCA74" w:rsidR="00306ED7" w:rsidRPr="00847753" w:rsidRDefault="00C34246" w:rsidP="00306ED7">
                      <w:pPr>
                        <w:pStyle w:val="PolicyTitle"/>
                      </w:pPr>
                      <w:r>
                        <w:t>Social Media for Personal Use</w:t>
                      </w:r>
                      <w:r w:rsidR="00306ED7">
                        <w:t xml:space="preserve"> Policy </w:t>
                      </w:r>
                    </w:p>
                    <w:p w14:paraId="2D83E16E" w14:textId="430966CF" w:rsidR="00306ED7" w:rsidRPr="00847753" w:rsidRDefault="00306ED7" w:rsidP="00306ED7">
                      <w:pPr>
                        <w:pStyle w:val="PolicyCode"/>
                      </w:pPr>
                      <w:r>
                        <w:t>HR9.</w:t>
                      </w:r>
                      <w:r w:rsidR="00C34246">
                        <w:t>13</w:t>
                      </w:r>
                      <w:r w:rsidRPr="00847753">
                        <w:t xml:space="preserve"> </w:t>
                      </w:r>
                      <w:r>
                        <w:t>Employment Policies</w:t>
                      </w:r>
                    </w:p>
                    <w:p w14:paraId="376C11C0" w14:textId="1676DE43" w:rsidR="00306ED7" w:rsidRPr="00847753" w:rsidRDefault="009213A0" w:rsidP="00306ED7">
                      <w:pPr>
                        <w:pStyle w:val="PolicyDate"/>
                      </w:pPr>
                      <w:r>
                        <w:t>February</w:t>
                      </w:r>
                      <w:r>
                        <w:t xml:space="preserve"> </w:t>
                      </w:r>
                      <w:r w:rsidR="00306ED7">
                        <w:t>202</w:t>
                      </w:r>
                      <w:r>
                        <w:t>4</w:t>
                      </w:r>
                    </w:p>
                  </w:txbxContent>
                </v:textbox>
                <w10:anchorlock/>
              </v:shape>
            </w:pict>
          </mc:Fallback>
        </mc:AlternateContent>
      </w:r>
      <w:r w:rsidR="00386B5D">
        <w:rPr>
          <w:noProof/>
          <w:spacing w:val="10"/>
        </w:rPr>
        <w:drawing>
          <wp:anchor distT="0" distB="0" distL="114300" distR="114300" simplePos="0" relativeHeight="251658240" behindDoc="0" locked="0" layoutInCell="1" allowOverlap="1" wp14:anchorId="5862CA7D" wp14:editId="60FEF633">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bookmarkStart w:id="0" w:name="TOC" w:displacedByCustomXml="next"/>
    <w:bookmarkEnd w:id="0" w:displacedByCustomXml="next"/>
    <w:bookmarkStart w:id="1" w:name="_Toc117507298" w:displacedByCustomXml="next"/>
    <w:bookmarkStart w:id="2" w:name="_Toc117507165" w:displacedByCustomXml="next"/>
    <w:bookmarkStart w:id="3" w:name="_Toc117268426" w:displacedByCustomXml="next"/>
    <w:bookmarkStart w:id="4" w:name="_Toc117269235" w:displacedByCustomXml="next"/>
    <w:bookmarkStart w:id="5" w:name="_Toc117508253" w:displacedByCustomXml="next"/>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5CB6C500" w14:textId="77777777" w:rsidR="00DF67AA" w:rsidRDefault="00471203" w:rsidP="00070650">
          <w:pPr>
            <w:rPr>
              <w:rFonts w:cs="Arial"/>
              <w:b/>
              <w:bCs/>
              <w:sz w:val="28"/>
              <w:szCs w:val="28"/>
            </w:rPr>
          </w:pPr>
          <w:r w:rsidRPr="00070650">
            <w:rPr>
              <w:rFonts w:cs="Arial"/>
              <w:b/>
              <w:bCs/>
              <w:sz w:val="28"/>
              <w:szCs w:val="28"/>
            </w:rPr>
            <w:t>Contents</w:t>
          </w:r>
        </w:p>
        <w:p w14:paraId="10A73D0A" w14:textId="5DD91A13" w:rsidR="009213A0"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57675085" w:history="1">
            <w:r w:rsidR="009213A0" w:rsidRPr="00820EBD">
              <w:rPr>
                <w:rStyle w:val="Hyperlink"/>
              </w:rPr>
              <w:t>1</w:t>
            </w:r>
            <w:r w:rsidR="009213A0">
              <w:rPr>
                <w:rFonts w:asciiTheme="minorHAnsi" w:eastAsiaTheme="minorEastAsia" w:hAnsiTheme="minorHAnsi"/>
                <w:kern w:val="2"/>
                <w:lang w:eastAsia="en-GB"/>
                <w14:ligatures w14:val="standardContextual"/>
              </w:rPr>
              <w:tab/>
            </w:r>
            <w:r w:rsidR="009213A0" w:rsidRPr="00820EBD">
              <w:rPr>
                <w:rStyle w:val="Hyperlink"/>
              </w:rPr>
              <w:t>Introduction</w:t>
            </w:r>
            <w:r w:rsidR="009213A0">
              <w:rPr>
                <w:webHidden/>
              </w:rPr>
              <w:tab/>
            </w:r>
            <w:r w:rsidR="009213A0">
              <w:rPr>
                <w:webHidden/>
              </w:rPr>
              <w:fldChar w:fldCharType="begin"/>
            </w:r>
            <w:r w:rsidR="009213A0">
              <w:rPr>
                <w:webHidden/>
              </w:rPr>
              <w:instrText xml:space="preserve"> PAGEREF _Toc157675085 \h </w:instrText>
            </w:r>
            <w:r w:rsidR="009213A0">
              <w:rPr>
                <w:webHidden/>
              </w:rPr>
            </w:r>
            <w:r w:rsidR="009213A0">
              <w:rPr>
                <w:webHidden/>
              </w:rPr>
              <w:fldChar w:fldCharType="separate"/>
            </w:r>
            <w:r w:rsidR="009213A0">
              <w:rPr>
                <w:webHidden/>
              </w:rPr>
              <w:t>1</w:t>
            </w:r>
            <w:r w:rsidR="009213A0">
              <w:rPr>
                <w:webHidden/>
              </w:rPr>
              <w:fldChar w:fldCharType="end"/>
            </w:r>
          </w:hyperlink>
        </w:p>
        <w:p w14:paraId="7ADD7249" w14:textId="264BAC85" w:rsidR="009213A0" w:rsidRDefault="009213A0">
          <w:pPr>
            <w:pStyle w:val="TOC1"/>
            <w:rPr>
              <w:rFonts w:asciiTheme="minorHAnsi" w:eastAsiaTheme="minorEastAsia" w:hAnsiTheme="minorHAnsi"/>
              <w:kern w:val="2"/>
              <w:lang w:eastAsia="en-GB"/>
              <w14:ligatures w14:val="standardContextual"/>
            </w:rPr>
          </w:pPr>
          <w:hyperlink w:anchor="_Toc157675086" w:history="1">
            <w:r w:rsidRPr="00820EBD">
              <w:rPr>
                <w:rStyle w:val="Hyperlink"/>
              </w:rPr>
              <w:t>2</w:t>
            </w:r>
            <w:r>
              <w:rPr>
                <w:rFonts w:asciiTheme="minorHAnsi" w:eastAsiaTheme="minorEastAsia" w:hAnsiTheme="minorHAnsi"/>
                <w:kern w:val="2"/>
                <w:lang w:eastAsia="en-GB"/>
                <w14:ligatures w14:val="standardContextual"/>
              </w:rPr>
              <w:tab/>
            </w:r>
            <w:r w:rsidRPr="00820EBD">
              <w:rPr>
                <w:rStyle w:val="Hyperlink"/>
              </w:rPr>
              <w:t>Scope and Purpose</w:t>
            </w:r>
            <w:r>
              <w:rPr>
                <w:webHidden/>
              </w:rPr>
              <w:tab/>
            </w:r>
            <w:r>
              <w:rPr>
                <w:webHidden/>
              </w:rPr>
              <w:fldChar w:fldCharType="begin"/>
            </w:r>
            <w:r>
              <w:rPr>
                <w:webHidden/>
              </w:rPr>
              <w:instrText xml:space="preserve"> PAGEREF _Toc157675086 \h </w:instrText>
            </w:r>
            <w:r>
              <w:rPr>
                <w:webHidden/>
              </w:rPr>
            </w:r>
            <w:r>
              <w:rPr>
                <w:webHidden/>
              </w:rPr>
              <w:fldChar w:fldCharType="separate"/>
            </w:r>
            <w:r>
              <w:rPr>
                <w:webHidden/>
              </w:rPr>
              <w:t>2</w:t>
            </w:r>
            <w:r>
              <w:rPr>
                <w:webHidden/>
              </w:rPr>
              <w:fldChar w:fldCharType="end"/>
            </w:r>
          </w:hyperlink>
        </w:p>
        <w:p w14:paraId="1C764991" w14:textId="131DB1BB" w:rsidR="009213A0" w:rsidRDefault="009213A0">
          <w:pPr>
            <w:pStyle w:val="TOC1"/>
            <w:rPr>
              <w:rFonts w:asciiTheme="minorHAnsi" w:eastAsiaTheme="minorEastAsia" w:hAnsiTheme="minorHAnsi"/>
              <w:kern w:val="2"/>
              <w:lang w:eastAsia="en-GB"/>
              <w14:ligatures w14:val="standardContextual"/>
            </w:rPr>
          </w:pPr>
          <w:hyperlink w:anchor="_Toc157675087" w:history="1">
            <w:r w:rsidRPr="00820EBD">
              <w:rPr>
                <w:rStyle w:val="Hyperlink"/>
              </w:rPr>
              <w:t>3</w:t>
            </w:r>
            <w:r>
              <w:rPr>
                <w:rFonts w:asciiTheme="minorHAnsi" w:eastAsiaTheme="minorEastAsia" w:hAnsiTheme="minorHAnsi"/>
                <w:kern w:val="2"/>
                <w:lang w:eastAsia="en-GB"/>
                <w14:ligatures w14:val="standardContextual"/>
              </w:rPr>
              <w:tab/>
            </w:r>
            <w:r w:rsidRPr="00820EBD">
              <w:rPr>
                <w:rStyle w:val="Hyperlink"/>
              </w:rPr>
              <w:t>Definitions</w:t>
            </w:r>
            <w:r>
              <w:rPr>
                <w:webHidden/>
              </w:rPr>
              <w:tab/>
            </w:r>
            <w:r>
              <w:rPr>
                <w:webHidden/>
              </w:rPr>
              <w:fldChar w:fldCharType="begin"/>
            </w:r>
            <w:r>
              <w:rPr>
                <w:webHidden/>
              </w:rPr>
              <w:instrText xml:space="preserve"> PAGEREF _Toc157675087 \h </w:instrText>
            </w:r>
            <w:r>
              <w:rPr>
                <w:webHidden/>
              </w:rPr>
            </w:r>
            <w:r>
              <w:rPr>
                <w:webHidden/>
              </w:rPr>
              <w:fldChar w:fldCharType="separate"/>
            </w:r>
            <w:r>
              <w:rPr>
                <w:webHidden/>
              </w:rPr>
              <w:t>3</w:t>
            </w:r>
            <w:r>
              <w:rPr>
                <w:webHidden/>
              </w:rPr>
              <w:fldChar w:fldCharType="end"/>
            </w:r>
          </w:hyperlink>
        </w:p>
        <w:p w14:paraId="00F0FAA6" w14:textId="00358903" w:rsidR="009213A0" w:rsidRDefault="009213A0">
          <w:pPr>
            <w:pStyle w:val="TOC1"/>
            <w:rPr>
              <w:rFonts w:asciiTheme="minorHAnsi" w:eastAsiaTheme="minorEastAsia" w:hAnsiTheme="minorHAnsi"/>
              <w:kern w:val="2"/>
              <w:lang w:eastAsia="en-GB"/>
              <w14:ligatures w14:val="standardContextual"/>
            </w:rPr>
          </w:pPr>
          <w:hyperlink w:anchor="_Toc157675088" w:history="1">
            <w:r w:rsidRPr="00820EBD">
              <w:rPr>
                <w:rStyle w:val="Hyperlink"/>
              </w:rPr>
              <w:t>4</w:t>
            </w:r>
            <w:r>
              <w:rPr>
                <w:rFonts w:asciiTheme="minorHAnsi" w:eastAsiaTheme="minorEastAsia" w:hAnsiTheme="minorHAnsi"/>
                <w:kern w:val="2"/>
                <w:lang w:eastAsia="en-GB"/>
                <w14:ligatures w14:val="standardContextual"/>
              </w:rPr>
              <w:tab/>
            </w:r>
            <w:r w:rsidRPr="00820EBD">
              <w:rPr>
                <w:rStyle w:val="Hyperlink"/>
              </w:rPr>
              <w:t>Statement of Intent</w:t>
            </w:r>
            <w:r>
              <w:rPr>
                <w:webHidden/>
              </w:rPr>
              <w:tab/>
            </w:r>
            <w:r>
              <w:rPr>
                <w:webHidden/>
              </w:rPr>
              <w:fldChar w:fldCharType="begin"/>
            </w:r>
            <w:r>
              <w:rPr>
                <w:webHidden/>
              </w:rPr>
              <w:instrText xml:space="preserve"> PAGEREF _Toc157675088 \h </w:instrText>
            </w:r>
            <w:r>
              <w:rPr>
                <w:webHidden/>
              </w:rPr>
            </w:r>
            <w:r>
              <w:rPr>
                <w:webHidden/>
              </w:rPr>
              <w:fldChar w:fldCharType="separate"/>
            </w:r>
            <w:r>
              <w:rPr>
                <w:webHidden/>
              </w:rPr>
              <w:t>3</w:t>
            </w:r>
            <w:r>
              <w:rPr>
                <w:webHidden/>
              </w:rPr>
              <w:fldChar w:fldCharType="end"/>
            </w:r>
          </w:hyperlink>
        </w:p>
        <w:p w14:paraId="37CC63E8" w14:textId="496A6EF8" w:rsidR="009213A0" w:rsidRDefault="009213A0">
          <w:pPr>
            <w:pStyle w:val="TOC1"/>
            <w:rPr>
              <w:rFonts w:asciiTheme="minorHAnsi" w:eastAsiaTheme="minorEastAsia" w:hAnsiTheme="minorHAnsi"/>
              <w:kern w:val="2"/>
              <w:lang w:eastAsia="en-GB"/>
              <w14:ligatures w14:val="standardContextual"/>
            </w:rPr>
          </w:pPr>
          <w:hyperlink w:anchor="_Toc157675089" w:history="1">
            <w:r w:rsidRPr="00820EBD">
              <w:rPr>
                <w:rStyle w:val="Hyperlink"/>
              </w:rPr>
              <w:t>5</w:t>
            </w:r>
            <w:r>
              <w:rPr>
                <w:rFonts w:asciiTheme="minorHAnsi" w:eastAsiaTheme="minorEastAsia" w:hAnsiTheme="minorHAnsi"/>
                <w:kern w:val="2"/>
                <w:lang w:eastAsia="en-GB"/>
                <w14:ligatures w14:val="standardContextual"/>
              </w:rPr>
              <w:tab/>
            </w:r>
            <w:r w:rsidRPr="00820EBD">
              <w:rPr>
                <w:rStyle w:val="Hyperlink"/>
              </w:rPr>
              <w:t>Social Media for Personal use</w:t>
            </w:r>
            <w:r>
              <w:rPr>
                <w:webHidden/>
              </w:rPr>
              <w:tab/>
            </w:r>
            <w:r>
              <w:rPr>
                <w:webHidden/>
              </w:rPr>
              <w:fldChar w:fldCharType="begin"/>
            </w:r>
            <w:r>
              <w:rPr>
                <w:webHidden/>
              </w:rPr>
              <w:instrText xml:space="preserve"> PAGEREF _Toc157675089 \h </w:instrText>
            </w:r>
            <w:r>
              <w:rPr>
                <w:webHidden/>
              </w:rPr>
            </w:r>
            <w:r>
              <w:rPr>
                <w:webHidden/>
              </w:rPr>
              <w:fldChar w:fldCharType="separate"/>
            </w:r>
            <w:r>
              <w:rPr>
                <w:webHidden/>
              </w:rPr>
              <w:t>3</w:t>
            </w:r>
            <w:r>
              <w:rPr>
                <w:webHidden/>
              </w:rPr>
              <w:fldChar w:fldCharType="end"/>
            </w:r>
          </w:hyperlink>
        </w:p>
        <w:p w14:paraId="37219E90" w14:textId="34B63EED" w:rsidR="009213A0" w:rsidRDefault="009213A0">
          <w:pPr>
            <w:pStyle w:val="TOC1"/>
            <w:rPr>
              <w:rFonts w:asciiTheme="minorHAnsi" w:eastAsiaTheme="minorEastAsia" w:hAnsiTheme="minorHAnsi"/>
              <w:kern w:val="2"/>
              <w:lang w:eastAsia="en-GB"/>
              <w14:ligatures w14:val="standardContextual"/>
            </w:rPr>
          </w:pPr>
          <w:hyperlink w:anchor="_Toc157675090" w:history="1">
            <w:r w:rsidRPr="00820EBD">
              <w:rPr>
                <w:rStyle w:val="Hyperlink"/>
              </w:rPr>
              <w:t>6</w:t>
            </w:r>
            <w:r>
              <w:rPr>
                <w:rFonts w:asciiTheme="minorHAnsi" w:eastAsiaTheme="minorEastAsia" w:hAnsiTheme="minorHAnsi"/>
                <w:kern w:val="2"/>
                <w:lang w:eastAsia="en-GB"/>
                <w14:ligatures w14:val="standardContextual"/>
              </w:rPr>
              <w:tab/>
            </w:r>
            <w:r w:rsidRPr="00820EBD">
              <w:rPr>
                <w:rStyle w:val="Hyperlink"/>
              </w:rPr>
              <w:t>Roles and Responsibilities</w:t>
            </w:r>
            <w:r>
              <w:rPr>
                <w:webHidden/>
              </w:rPr>
              <w:tab/>
            </w:r>
            <w:r>
              <w:rPr>
                <w:webHidden/>
              </w:rPr>
              <w:fldChar w:fldCharType="begin"/>
            </w:r>
            <w:r>
              <w:rPr>
                <w:webHidden/>
              </w:rPr>
              <w:instrText xml:space="preserve"> PAGEREF _Toc157675090 \h </w:instrText>
            </w:r>
            <w:r>
              <w:rPr>
                <w:webHidden/>
              </w:rPr>
            </w:r>
            <w:r>
              <w:rPr>
                <w:webHidden/>
              </w:rPr>
              <w:fldChar w:fldCharType="separate"/>
            </w:r>
            <w:r>
              <w:rPr>
                <w:webHidden/>
              </w:rPr>
              <w:t>5</w:t>
            </w:r>
            <w:r>
              <w:rPr>
                <w:webHidden/>
              </w:rPr>
              <w:fldChar w:fldCharType="end"/>
            </w:r>
          </w:hyperlink>
        </w:p>
        <w:p w14:paraId="1FCCD31B" w14:textId="58005BCB" w:rsidR="009213A0" w:rsidRDefault="009213A0">
          <w:pPr>
            <w:pStyle w:val="TOC1"/>
            <w:rPr>
              <w:rFonts w:asciiTheme="minorHAnsi" w:eastAsiaTheme="minorEastAsia" w:hAnsiTheme="minorHAnsi"/>
              <w:kern w:val="2"/>
              <w:lang w:eastAsia="en-GB"/>
              <w14:ligatures w14:val="standardContextual"/>
            </w:rPr>
          </w:pPr>
          <w:hyperlink w:anchor="_Toc157675091" w:history="1">
            <w:r w:rsidRPr="00820EBD">
              <w:rPr>
                <w:rStyle w:val="Hyperlink"/>
              </w:rPr>
              <w:t>7</w:t>
            </w:r>
            <w:r>
              <w:rPr>
                <w:rFonts w:asciiTheme="minorHAnsi" w:eastAsiaTheme="minorEastAsia" w:hAnsiTheme="minorHAnsi"/>
                <w:kern w:val="2"/>
                <w:lang w:eastAsia="en-GB"/>
                <w14:ligatures w14:val="standardContextual"/>
              </w:rPr>
              <w:tab/>
            </w:r>
            <w:r w:rsidRPr="00820EBD">
              <w:rPr>
                <w:rStyle w:val="Hyperlink"/>
              </w:rPr>
              <w:t>Monitoring</w:t>
            </w:r>
            <w:r>
              <w:rPr>
                <w:webHidden/>
              </w:rPr>
              <w:tab/>
            </w:r>
            <w:r>
              <w:rPr>
                <w:webHidden/>
              </w:rPr>
              <w:fldChar w:fldCharType="begin"/>
            </w:r>
            <w:r>
              <w:rPr>
                <w:webHidden/>
              </w:rPr>
              <w:instrText xml:space="preserve"> PAGEREF _Toc157675091 \h </w:instrText>
            </w:r>
            <w:r>
              <w:rPr>
                <w:webHidden/>
              </w:rPr>
            </w:r>
            <w:r>
              <w:rPr>
                <w:webHidden/>
              </w:rPr>
              <w:fldChar w:fldCharType="separate"/>
            </w:r>
            <w:r>
              <w:rPr>
                <w:webHidden/>
              </w:rPr>
              <w:t>6</w:t>
            </w:r>
            <w:r>
              <w:rPr>
                <w:webHidden/>
              </w:rPr>
              <w:fldChar w:fldCharType="end"/>
            </w:r>
          </w:hyperlink>
        </w:p>
        <w:p w14:paraId="0FCB6FA7" w14:textId="27A9837E" w:rsidR="009213A0" w:rsidRDefault="009213A0">
          <w:pPr>
            <w:pStyle w:val="TOC1"/>
            <w:rPr>
              <w:rFonts w:asciiTheme="minorHAnsi" w:eastAsiaTheme="minorEastAsia" w:hAnsiTheme="minorHAnsi"/>
              <w:kern w:val="2"/>
              <w:lang w:eastAsia="en-GB"/>
              <w14:ligatures w14:val="standardContextual"/>
            </w:rPr>
          </w:pPr>
          <w:hyperlink w:anchor="_Toc157675092" w:history="1">
            <w:r w:rsidRPr="00820EBD">
              <w:rPr>
                <w:rStyle w:val="Hyperlink"/>
              </w:rPr>
              <w:t>8</w:t>
            </w:r>
            <w:r>
              <w:rPr>
                <w:rFonts w:asciiTheme="minorHAnsi" w:eastAsiaTheme="minorEastAsia" w:hAnsiTheme="minorHAnsi"/>
                <w:kern w:val="2"/>
                <w:lang w:eastAsia="en-GB"/>
                <w14:ligatures w14:val="standardContextual"/>
              </w:rPr>
              <w:tab/>
            </w:r>
            <w:r w:rsidRPr="00820EBD">
              <w:rPr>
                <w:rStyle w:val="Hyperlink"/>
              </w:rPr>
              <w:t>Communication and Dissemination</w:t>
            </w:r>
            <w:r>
              <w:rPr>
                <w:webHidden/>
              </w:rPr>
              <w:tab/>
            </w:r>
            <w:r>
              <w:rPr>
                <w:webHidden/>
              </w:rPr>
              <w:fldChar w:fldCharType="begin"/>
            </w:r>
            <w:r>
              <w:rPr>
                <w:webHidden/>
              </w:rPr>
              <w:instrText xml:space="preserve"> PAGEREF _Toc157675092 \h </w:instrText>
            </w:r>
            <w:r>
              <w:rPr>
                <w:webHidden/>
              </w:rPr>
            </w:r>
            <w:r>
              <w:rPr>
                <w:webHidden/>
              </w:rPr>
              <w:fldChar w:fldCharType="separate"/>
            </w:r>
            <w:r>
              <w:rPr>
                <w:webHidden/>
              </w:rPr>
              <w:t>6</w:t>
            </w:r>
            <w:r>
              <w:rPr>
                <w:webHidden/>
              </w:rPr>
              <w:fldChar w:fldCharType="end"/>
            </w:r>
          </w:hyperlink>
        </w:p>
        <w:p w14:paraId="0A872007" w14:textId="2F22C667" w:rsidR="009213A0" w:rsidRDefault="009213A0">
          <w:pPr>
            <w:pStyle w:val="TOC1"/>
            <w:rPr>
              <w:rFonts w:asciiTheme="minorHAnsi" w:eastAsiaTheme="minorEastAsia" w:hAnsiTheme="minorHAnsi"/>
              <w:kern w:val="2"/>
              <w:lang w:eastAsia="en-GB"/>
              <w14:ligatures w14:val="standardContextual"/>
            </w:rPr>
          </w:pPr>
          <w:hyperlink w:anchor="_Toc157675093" w:history="1">
            <w:r w:rsidRPr="00820EBD">
              <w:rPr>
                <w:rStyle w:val="Hyperlink"/>
              </w:rPr>
              <w:t>9</w:t>
            </w:r>
            <w:r>
              <w:rPr>
                <w:rFonts w:asciiTheme="minorHAnsi" w:eastAsiaTheme="minorEastAsia" w:hAnsiTheme="minorHAnsi"/>
                <w:kern w:val="2"/>
                <w:lang w:eastAsia="en-GB"/>
                <w14:ligatures w14:val="standardContextual"/>
              </w:rPr>
              <w:tab/>
            </w:r>
            <w:r w:rsidRPr="00820EBD">
              <w:rPr>
                <w:rStyle w:val="Hyperlink"/>
              </w:rPr>
              <w:t>EDI Impact Assessments</w:t>
            </w:r>
            <w:r>
              <w:rPr>
                <w:webHidden/>
              </w:rPr>
              <w:tab/>
            </w:r>
            <w:r>
              <w:rPr>
                <w:webHidden/>
              </w:rPr>
              <w:fldChar w:fldCharType="begin"/>
            </w:r>
            <w:r>
              <w:rPr>
                <w:webHidden/>
              </w:rPr>
              <w:instrText xml:space="preserve"> PAGEREF _Toc157675093 \h </w:instrText>
            </w:r>
            <w:r>
              <w:rPr>
                <w:webHidden/>
              </w:rPr>
            </w:r>
            <w:r>
              <w:rPr>
                <w:webHidden/>
              </w:rPr>
              <w:fldChar w:fldCharType="separate"/>
            </w:r>
            <w:r>
              <w:rPr>
                <w:webHidden/>
              </w:rPr>
              <w:t>7</w:t>
            </w:r>
            <w:r>
              <w:rPr>
                <w:webHidden/>
              </w:rPr>
              <w:fldChar w:fldCharType="end"/>
            </w:r>
          </w:hyperlink>
        </w:p>
        <w:p w14:paraId="7CE47585" w14:textId="0D9808B5" w:rsidR="009213A0" w:rsidRDefault="009213A0">
          <w:pPr>
            <w:pStyle w:val="TOC1"/>
            <w:rPr>
              <w:rFonts w:asciiTheme="minorHAnsi" w:eastAsiaTheme="minorEastAsia" w:hAnsiTheme="minorHAnsi"/>
              <w:kern w:val="2"/>
              <w:lang w:eastAsia="en-GB"/>
              <w14:ligatures w14:val="standardContextual"/>
            </w:rPr>
          </w:pPr>
          <w:hyperlink w:anchor="_Toc157675094" w:history="1">
            <w:r w:rsidRPr="00820EBD">
              <w:rPr>
                <w:rStyle w:val="Hyperlink"/>
              </w:rPr>
              <w:t>10</w:t>
            </w:r>
            <w:r>
              <w:rPr>
                <w:rFonts w:asciiTheme="minorHAnsi" w:eastAsiaTheme="minorEastAsia" w:hAnsiTheme="minorHAnsi"/>
                <w:kern w:val="2"/>
                <w:lang w:eastAsia="en-GB"/>
                <w14:ligatures w14:val="standardContextual"/>
              </w:rPr>
              <w:tab/>
            </w:r>
            <w:r w:rsidRPr="00820EBD">
              <w:rPr>
                <w:rStyle w:val="Hyperlink"/>
              </w:rPr>
              <w:t>Resources</w:t>
            </w:r>
            <w:r>
              <w:rPr>
                <w:webHidden/>
              </w:rPr>
              <w:tab/>
            </w:r>
            <w:r>
              <w:rPr>
                <w:webHidden/>
              </w:rPr>
              <w:fldChar w:fldCharType="begin"/>
            </w:r>
            <w:r>
              <w:rPr>
                <w:webHidden/>
              </w:rPr>
              <w:instrText xml:space="preserve"> PAGEREF _Toc157675094 \h </w:instrText>
            </w:r>
            <w:r>
              <w:rPr>
                <w:webHidden/>
              </w:rPr>
            </w:r>
            <w:r>
              <w:rPr>
                <w:webHidden/>
              </w:rPr>
              <w:fldChar w:fldCharType="separate"/>
            </w:r>
            <w:r>
              <w:rPr>
                <w:webHidden/>
              </w:rPr>
              <w:t>7</w:t>
            </w:r>
            <w:r>
              <w:rPr>
                <w:webHidden/>
              </w:rPr>
              <w:fldChar w:fldCharType="end"/>
            </w:r>
          </w:hyperlink>
        </w:p>
        <w:p w14:paraId="637D6C5F" w14:textId="43F79A2D" w:rsidR="009213A0" w:rsidRDefault="009213A0">
          <w:pPr>
            <w:pStyle w:val="TOC1"/>
            <w:rPr>
              <w:rFonts w:asciiTheme="minorHAnsi" w:eastAsiaTheme="minorEastAsia" w:hAnsiTheme="minorHAnsi"/>
              <w:kern w:val="2"/>
              <w:lang w:eastAsia="en-GB"/>
              <w14:ligatures w14:val="standardContextual"/>
            </w:rPr>
          </w:pPr>
          <w:hyperlink w:anchor="_Toc157675095" w:history="1">
            <w:r w:rsidRPr="00820EBD">
              <w:rPr>
                <w:rStyle w:val="Hyperlink"/>
              </w:rPr>
              <w:t>11</w:t>
            </w:r>
            <w:r>
              <w:rPr>
                <w:rFonts w:asciiTheme="minorHAnsi" w:eastAsiaTheme="minorEastAsia" w:hAnsiTheme="minorHAnsi"/>
                <w:kern w:val="2"/>
                <w:lang w:eastAsia="en-GB"/>
                <w14:ligatures w14:val="standardContextual"/>
              </w:rPr>
              <w:tab/>
            </w:r>
            <w:r w:rsidRPr="00820EBD">
              <w:rPr>
                <w:rStyle w:val="Hyperlink"/>
              </w:rPr>
              <w:t>Version Control</w:t>
            </w:r>
            <w:r>
              <w:rPr>
                <w:webHidden/>
              </w:rPr>
              <w:tab/>
            </w:r>
            <w:r>
              <w:rPr>
                <w:webHidden/>
              </w:rPr>
              <w:fldChar w:fldCharType="begin"/>
            </w:r>
            <w:r>
              <w:rPr>
                <w:webHidden/>
              </w:rPr>
              <w:instrText xml:space="preserve"> PAGEREF _Toc157675095 \h </w:instrText>
            </w:r>
            <w:r>
              <w:rPr>
                <w:webHidden/>
              </w:rPr>
            </w:r>
            <w:r>
              <w:rPr>
                <w:webHidden/>
              </w:rPr>
              <w:fldChar w:fldCharType="separate"/>
            </w:r>
            <w:r>
              <w:rPr>
                <w:webHidden/>
              </w:rPr>
              <w:t>7</w:t>
            </w:r>
            <w:r>
              <w:rPr>
                <w:webHidden/>
              </w:rPr>
              <w:fldChar w:fldCharType="end"/>
            </w:r>
          </w:hyperlink>
        </w:p>
        <w:p w14:paraId="240FDA15" w14:textId="5DB3587E" w:rsidR="00DF67AA" w:rsidRPr="002E4B12" w:rsidRDefault="00F91DD0" w:rsidP="002E4B12">
          <w:pPr>
            <w:pStyle w:val="TOC1"/>
          </w:pPr>
          <w:r>
            <w:rPr>
              <w:rFonts w:cs="Arial"/>
              <w:spacing w:val="7"/>
            </w:rPr>
            <w:fldChar w:fldCharType="end"/>
          </w:r>
        </w:p>
      </w:sdtContent>
    </w:sdt>
    <w:p w14:paraId="0F2E24F5" w14:textId="77777777" w:rsidR="009A0ED4" w:rsidRDefault="009A0ED4" w:rsidP="00D558F5">
      <w:pPr>
        <w:pStyle w:val="Heading1Numbered"/>
      </w:pPr>
      <w:bookmarkStart w:id="6" w:name="_Toc157675085"/>
      <w:r w:rsidRPr="00D558F5">
        <w:t>Introduction</w:t>
      </w:r>
      <w:bookmarkEnd w:id="6"/>
    </w:p>
    <w:p w14:paraId="2DFF9743" w14:textId="37383D40" w:rsidR="00C34246" w:rsidRDefault="00E31E31" w:rsidP="00E31E31">
      <w:pPr>
        <w:pStyle w:val="Text1Numbered"/>
      </w:pPr>
      <w:r w:rsidRPr="0049524F">
        <w:t>This policy recognises the rights of colleagues to use social media on a personal basis</w:t>
      </w:r>
      <w:r>
        <w:t xml:space="preserve"> and</w:t>
      </w:r>
      <w:r w:rsidRPr="0049524F">
        <w:t xml:space="preserve"> </w:t>
      </w:r>
      <w:r>
        <w:t xml:space="preserve">seeks </w:t>
      </w:r>
      <w:r w:rsidRPr="0049524F">
        <w:t>to ensure</w:t>
      </w:r>
      <w:r>
        <w:t xml:space="preserve"> that</w:t>
      </w:r>
      <w:r w:rsidRPr="0049524F">
        <w:t xml:space="preserve"> they are aware of the requirement to protect the reputation of MHA and respect </w:t>
      </w:r>
      <w:r>
        <w:t>those who use MHA’s services</w:t>
      </w:r>
      <w:r w:rsidRPr="0049524F">
        <w:t>, their family members,</w:t>
      </w:r>
      <w:r>
        <w:t xml:space="preserve"> </w:t>
      </w:r>
      <w:r w:rsidRPr="0049524F">
        <w:t>visitors to MHA sites (</w:t>
      </w:r>
      <w:r>
        <w:t xml:space="preserve">including </w:t>
      </w:r>
      <w:r w:rsidRPr="0049524F">
        <w:t xml:space="preserve">contractors </w:t>
      </w:r>
      <w:r>
        <w:t xml:space="preserve">and </w:t>
      </w:r>
      <w:r w:rsidRPr="0049524F">
        <w:t>suppliers)</w:t>
      </w:r>
      <w:r>
        <w:t xml:space="preserve">, and other </w:t>
      </w:r>
      <w:r w:rsidRPr="0049524F">
        <w:t xml:space="preserve">colleagues and volunteers when using social media. </w:t>
      </w:r>
    </w:p>
    <w:p w14:paraId="184AD4BA" w14:textId="76EC9099" w:rsidR="00DF300F" w:rsidRDefault="00DF300F" w:rsidP="00E31E31">
      <w:pPr>
        <w:pStyle w:val="Text1Numbered"/>
      </w:pPr>
      <w:r>
        <w:t>Colleagues are</w:t>
      </w:r>
      <w:r w:rsidRPr="00DF300F">
        <w:t xml:space="preserve"> ultimately responsible for </w:t>
      </w:r>
      <w:r>
        <w:t>their</w:t>
      </w:r>
      <w:r w:rsidRPr="00DF300F">
        <w:t xml:space="preserve"> online behaviour</w:t>
      </w:r>
      <w:r>
        <w:t xml:space="preserve"> and</w:t>
      </w:r>
      <w:r w:rsidRPr="00DF300F">
        <w:t xml:space="preserve"> should not post any derogatory or offensive comments or act in a manner that brings </w:t>
      </w:r>
      <w:r>
        <w:t>MHA</w:t>
      </w:r>
      <w:r w:rsidRPr="00DF300F">
        <w:t xml:space="preserve"> into disrepute. It is possible that </w:t>
      </w:r>
      <w:r>
        <w:t xml:space="preserve">colleagues </w:t>
      </w:r>
      <w:r w:rsidRPr="00DF300F">
        <w:t xml:space="preserve">could be subject to disciplinary and/or legal action, including civil proceedings or criminal prosecution, if </w:t>
      </w:r>
      <w:r>
        <w:t xml:space="preserve">comments </w:t>
      </w:r>
      <w:r w:rsidRPr="00DF300F">
        <w:t xml:space="preserve">or representations </w:t>
      </w:r>
      <w:r>
        <w:t xml:space="preserve">are made </w:t>
      </w:r>
      <w:r w:rsidRPr="00DF300F">
        <w:t xml:space="preserve">of a defamatory nature, are inaccurate, libellous, harassing, threatening or may otherwise be illegal.  </w:t>
      </w:r>
    </w:p>
    <w:p w14:paraId="59D39D8F" w14:textId="77777777" w:rsidR="00227175" w:rsidRDefault="00227175" w:rsidP="00227175">
      <w:pPr>
        <w:pStyle w:val="Text1Numbered"/>
        <w:numPr>
          <w:ilvl w:val="0"/>
          <w:numId w:val="0"/>
        </w:numPr>
        <w:ind w:left="1135"/>
      </w:pPr>
    </w:p>
    <w:p w14:paraId="3B4C67C2" w14:textId="5044C5BA" w:rsidR="00227175" w:rsidRPr="0049524F" w:rsidRDefault="00227175" w:rsidP="00EF2C18">
      <w:pPr>
        <w:pStyle w:val="Text1Numbered"/>
      </w:pPr>
      <w:r w:rsidRPr="00227175">
        <w:t>Any queries on the application or interpretation of this policy must be discussed with Human Resources (HR) appropriate prior to any action being taken</w:t>
      </w:r>
      <w:r>
        <w:t xml:space="preserve">: </w:t>
      </w:r>
      <w:hyperlink r:id="rId9" w:history="1">
        <w:r w:rsidRPr="00793DAE">
          <w:rPr>
            <w:rStyle w:val="Hyperlink"/>
          </w:rPr>
          <w:t>hr@mha.org.uk</w:t>
        </w:r>
      </w:hyperlink>
    </w:p>
    <w:p w14:paraId="2C37E85A" w14:textId="77777777" w:rsidR="002E4B12" w:rsidRDefault="009A0ED4" w:rsidP="002E4B12">
      <w:pPr>
        <w:pStyle w:val="Heading1Numbered"/>
      </w:pPr>
      <w:bookmarkStart w:id="7" w:name="_Toc157675086"/>
      <w:r w:rsidRPr="00EF3699">
        <w:t xml:space="preserve">Scope </w:t>
      </w:r>
      <w:r w:rsidR="001310BB" w:rsidRPr="00EF3699">
        <w:t>and</w:t>
      </w:r>
      <w:r w:rsidRPr="00EF3699">
        <w:t xml:space="preserve"> </w:t>
      </w:r>
      <w:r w:rsidRPr="00D558F5">
        <w:t>Purpose</w:t>
      </w:r>
      <w:bookmarkEnd w:id="7"/>
    </w:p>
    <w:p w14:paraId="41C03270" w14:textId="3DC0C96B" w:rsidR="00674DAB" w:rsidRDefault="00E31E31" w:rsidP="000845C9">
      <w:pPr>
        <w:pStyle w:val="Text1Numbered"/>
      </w:pPr>
      <w:r w:rsidRPr="0049524F">
        <w:t xml:space="preserve">This policy has been developed to provide guidance for colleagues in using social media in their personal life </w:t>
      </w:r>
      <w:r w:rsidR="00AF44D2">
        <w:rPr>
          <w:rFonts w:cs="Arial"/>
        </w:rPr>
        <w:t xml:space="preserve">including, but not limited to, Facebook, </w:t>
      </w:r>
      <w:proofErr w:type="gramStart"/>
      <w:r w:rsidR="00AF44D2">
        <w:rPr>
          <w:rFonts w:cs="Arial"/>
        </w:rPr>
        <w:t>Twitter</w:t>
      </w:r>
      <w:proofErr w:type="gramEnd"/>
      <w:r w:rsidR="00AF44D2">
        <w:rPr>
          <w:rFonts w:cs="Arial"/>
        </w:rPr>
        <w:t xml:space="preserve"> and LinkedIn, as well as blogs, forums, message boards, review sites and online polls.</w:t>
      </w:r>
    </w:p>
    <w:p w14:paraId="0149FB7D" w14:textId="77777777" w:rsidR="00674DAB" w:rsidRDefault="00674DAB" w:rsidP="00674DAB">
      <w:pPr>
        <w:pStyle w:val="Text1Numbered"/>
        <w:numPr>
          <w:ilvl w:val="0"/>
          <w:numId w:val="0"/>
        </w:numPr>
        <w:ind w:left="1135"/>
      </w:pPr>
    </w:p>
    <w:p w14:paraId="085398FB" w14:textId="0F6D836F" w:rsidR="00E31E31" w:rsidRDefault="00674DAB" w:rsidP="000845C9">
      <w:pPr>
        <w:pStyle w:val="Text1Numbered"/>
      </w:pPr>
      <w:r>
        <w:t xml:space="preserve">This policy refers to “colleagues” as </w:t>
      </w:r>
      <w:r w:rsidR="00E31E31">
        <w:t>all MHA colleagues and volunteers, including MHA’s Board of Trustees who should read this policy in conjunction with their code of conduct.</w:t>
      </w:r>
    </w:p>
    <w:p w14:paraId="5A631F73" w14:textId="77777777" w:rsidR="00F639D0" w:rsidRPr="00F639D0" w:rsidRDefault="00F639D0" w:rsidP="00F639D0">
      <w:pPr>
        <w:pStyle w:val="Text1Numbered"/>
        <w:numPr>
          <w:ilvl w:val="0"/>
          <w:numId w:val="0"/>
        </w:numPr>
        <w:ind w:left="1135"/>
        <w:rPr>
          <w:rFonts w:ascii="Calibri" w:hAnsi="Calibri"/>
          <w:u w:val="single"/>
        </w:rPr>
      </w:pPr>
    </w:p>
    <w:p w14:paraId="05C14A71" w14:textId="0C2A4EAC" w:rsidR="009213A0" w:rsidRDefault="00F639D0" w:rsidP="009213A0">
      <w:pPr>
        <w:pStyle w:val="Text1Numbered"/>
      </w:pPr>
      <w:r w:rsidRPr="00F639D0">
        <w:t xml:space="preserve">Refer to </w:t>
      </w:r>
      <w:r>
        <w:t>Using Social Media to Promote MHA Policy [</w:t>
      </w:r>
      <w:r w:rsidRPr="00F639D0">
        <w:t>M003</w:t>
      </w:r>
      <w:r>
        <w:t xml:space="preserve">] </w:t>
      </w:r>
      <w:r w:rsidRPr="00F639D0">
        <w:t xml:space="preserve">for using social media to promote MHA, social media campaigns, and initiative, which are not included in the scope of this policy. Those who use social media as part of their role to promote MHA and to connect with residents, relatives, stakeholders, and the media will receive relevant job specific training and guidance to assist them to do this in line with MHA brand guidelines and best practice.   </w:t>
      </w:r>
    </w:p>
    <w:p w14:paraId="6EAD6901" w14:textId="77777777" w:rsidR="009213A0" w:rsidRDefault="009213A0" w:rsidP="009213A0">
      <w:pPr>
        <w:pStyle w:val="ListParagraph"/>
      </w:pPr>
    </w:p>
    <w:p w14:paraId="4F033645" w14:textId="77777777" w:rsidR="009213A0" w:rsidRDefault="009213A0" w:rsidP="009213A0">
      <w:pPr>
        <w:pStyle w:val="Text1Numbered"/>
        <w:numPr>
          <w:ilvl w:val="0"/>
          <w:numId w:val="0"/>
        </w:numPr>
        <w:ind w:left="1135"/>
      </w:pPr>
    </w:p>
    <w:p w14:paraId="2553D5C5" w14:textId="77777777" w:rsidR="009213A0" w:rsidRDefault="009213A0" w:rsidP="009213A0">
      <w:pPr>
        <w:pStyle w:val="Text1Numbered"/>
        <w:numPr>
          <w:ilvl w:val="0"/>
          <w:numId w:val="0"/>
        </w:numPr>
        <w:ind w:left="1135"/>
      </w:pPr>
    </w:p>
    <w:p w14:paraId="7E516FF4" w14:textId="77777777" w:rsidR="009213A0" w:rsidRPr="00F639D0" w:rsidRDefault="009213A0" w:rsidP="009213A0">
      <w:pPr>
        <w:pStyle w:val="Text1Numbered"/>
        <w:numPr>
          <w:ilvl w:val="0"/>
          <w:numId w:val="0"/>
        </w:numPr>
        <w:ind w:left="1135"/>
      </w:pPr>
    </w:p>
    <w:p w14:paraId="730B3AC8" w14:textId="77777777" w:rsidR="00DF67AA" w:rsidRPr="00EF3699" w:rsidRDefault="009A0ED4" w:rsidP="00EC4F61">
      <w:pPr>
        <w:pStyle w:val="Heading1Numbered"/>
      </w:pPr>
      <w:bookmarkStart w:id="8" w:name="_Toc157675087"/>
      <w:r w:rsidRPr="00EF3699">
        <w:t>Definitions</w:t>
      </w:r>
      <w:bookmarkEnd w:id="8"/>
    </w:p>
    <w:tbl>
      <w:tblPr>
        <w:tblStyle w:val="MHATable"/>
        <w:tblW w:w="0" w:type="auto"/>
        <w:tblLook w:val="04A0" w:firstRow="1" w:lastRow="0" w:firstColumn="1" w:lastColumn="0" w:noHBand="0" w:noVBand="1"/>
      </w:tblPr>
      <w:tblGrid>
        <w:gridCol w:w="1441"/>
        <w:gridCol w:w="4650"/>
        <w:gridCol w:w="1701"/>
        <w:gridCol w:w="1757"/>
      </w:tblGrid>
      <w:tr w:rsidR="00674DAB" w:rsidRPr="004C3545" w14:paraId="4095D87B" w14:textId="5A62F5BD" w:rsidTr="009213A0">
        <w:trPr>
          <w:cnfStyle w:val="100000000000" w:firstRow="1" w:lastRow="0" w:firstColumn="0" w:lastColumn="0" w:oddVBand="0" w:evenVBand="0" w:oddHBand="0" w:evenHBand="0" w:firstRowFirstColumn="0" w:firstRowLastColumn="0" w:lastRowFirstColumn="0" w:lastRowLastColumn="0"/>
        </w:trPr>
        <w:tc>
          <w:tcPr>
            <w:tcW w:w="1441" w:type="dxa"/>
          </w:tcPr>
          <w:p w14:paraId="10DB0FA8" w14:textId="77777777" w:rsidR="00674DAB" w:rsidRPr="004C3545" w:rsidRDefault="00674DAB" w:rsidP="00737EDE">
            <w:r>
              <w:t>Term</w:t>
            </w:r>
          </w:p>
        </w:tc>
        <w:tc>
          <w:tcPr>
            <w:tcW w:w="4650" w:type="dxa"/>
          </w:tcPr>
          <w:p w14:paraId="3EF46364" w14:textId="77777777" w:rsidR="00674DAB" w:rsidRPr="004C3545" w:rsidRDefault="00674DAB" w:rsidP="00737EDE">
            <w:r>
              <w:t>Definition</w:t>
            </w:r>
          </w:p>
        </w:tc>
        <w:tc>
          <w:tcPr>
            <w:tcW w:w="3458" w:type="dxa"/>
            <w:gridSpan w:val="2"/>
            <w:tcBorders>
              <w:bottom w:val="single" w:sz="4" w:space="0" w:color="auto"/>
            </w:tcBorders>
          </w:tcPr>
          <w:p w14:paraId="217A3E83" w14:textId="088FC499" w:rsidR="00674DAB" w:rsidRDefault="00674DAB" w:rsidP="00737EDE">
            <w:r>
              <w:t>Examples</w:t>
            </w:r>
          </w:p>
        </w:tc>
      </w:tr>
      <w:tr w:rsidR="00674DAB" w:rsidRPr="004C3545" w14:paraId="31D8240F" w14:textId="69BCDBD0" w:rsidTr="009213A0">
        <w:tc>
          <w:tcPr>
            <w:tcW w:w="1441" w:type="dxa"/>
            <w:vMerge w:val="restart"/>
          </w:tcPr>
          <w:p w14:paraId="4F9EC8C4" w14:textId="2387B53C" w:rsidR="00674DAB" w:rsidRPr="00E31E31" w:rsidRDefault="00674DAB" w:rsidP="00737EDE">
            <w:pPr>
              <w:rPr>
                <w:b/>
                <w:bCs/>
              </w:rPr>
            </w:pPr>
            <w:r w:rsidRPr="00E31E31">
              <w:rPr>
                <w:b/>
                <w:bCs/>
              </w:rPr>
              <w:t>Social Media</w:t>
            </w:r>
          </w:p>
        </w:tc>
        <w:tc>
          <w:tcPr>
            <w:tcW w:w="4650" w:type="dxa"/>
            <w:vMerge w:val="restart"/>
            <w:tcBorders>
              <w:right w:val="single" w:sz="4" w:space="0" w:color="auto"/>
            </w:tcBorders>
          </w:tcPr>
          <w:p w14:paraId="1988D821" w14:textId="6D26B5F5" w:rsidR="00674DAB" w:rsidRPr="004C3545" w:rsidRDefault="00674DAB" w:rsidP="00737EDE">
            <w:r>
              <w:t>S</w:t>
            </w:r>
            <w:r w:rsidRPr="00E31E31">
              <w:t xml:space="preserve">ocial media is any online website or interactive “app” </w:t>
            </w:r>
            <w:r w:rsidR="00DF300F">
              <w:t xml:space="preserve">or “platform” </w:t>
            </w:r>
            <w:r w:rsidRPr="00E31E31">
              <w:t xml:space="preserve">which lets people share and discuss ideas, views, </w:t>
            </w:r>
            <w:r w:rsidR="00F639D0" w:rsidRPr="00E31E31">
              <w:t>pictures,</w:t>
            </w:r>
            <w:r w:rsidRPr="00E31E31">
              <w:t xml:space="preserve"> or videos. </w:t>
            </w:r>
          </w:p>
        </w:tc>
        <w:tc>
          <w:tcPr>
            <w:tcW w:w="3458" w:type="dxa"/>
            <w:gridSpan w:val="2"/>
            <w:tcBorders>
              <w:top w:val="single" w:sz="4" w:space="0" w:color="auto"/>
              <w:left w:val="single" w:sz="4" w:space="0" w:color="auto"/>
              <w:bottom w:val="nil"/>
              <w:right w:val="single" w:sz="4" w:space="0" w:color="auto"/>
            </w:tcBorders>
          </w:tcPr>
          <w:p w14:paraId="0D49AB8F" w14:textId="115A12A4" w:rsidR="00674DAB" w:rsidRPr="00E31E31" w:rsidRDefault="00674DAB" w:rsidP="00674DAB">
            <w:r w:rsidRPr="00E31E31">
              <w:t xml:space="preserve">This policy covers but is not limited to the </w:t>
            </w:r>
            <w:r>
              <w:t>following social media sites:</w:t>
            </w:r>
          </w:p>
        </w:tc>
      </w:tr>
      <w:tr w:rsidR="00674DAB" w:rsidRPr="004C3545" w14:paraId="2C76B996" w14:textId="5E473D20" w:rsidTr="009213A0">
        <w:tc>
          <w:tcPr>
            <w:tcW w:w="1441" w:type="dxa"/>
            <w:vMerge/>
          </w:tcPr>
          <w:p w14:paraId="6B126D44" w14:textId="77777777" w:rsidR="00674DAB" w:rsidRPr="00E31E31" w:rsidRDefault="00674DAB" w:rsidP="00737EDE">
            <w:pPr>
              <w:rPr>
                <w:b/>
                <w:bCs/>
              </w:rPr>
            </w:pPr>
          </w:p>
        </w:tc>
        <w:tc>
          <w:tcPr>
            <w:tcW w:w="4650" w:type="dxa"/>
            <w:vMerge/>
            <w:tcBorders>
              <w:right w:val="single" w:sz="4" w:space="0" w:color="auto"/>
            </w:tcBorders>
          </w:tcPr>
          <w:p w14:paraId="3CF6C602" w14:textId="77777777" w:rsidR="00674DAB" w:rsidRDefault="00674DAB" w:rsidP="00737EDE"/>
        </w:tc>
        <w:tc>
          <w:tcPr>
            <w:tcW w:w="1701" w:type="dxa"/>
            <w:tcBorders>
              <w:top w:val="nil"/>
              <w:left w:val="single" w:sz="4" w:space="0" w:color="auto"/>
              <w:bottom w:val="single" w:sz="4" w:space="0" w:color="auto"/>
              <w:right w:val="nil"/>
            </w:tcBorders>
          </w:tcPr>
          <w:p w14:paraId="7A734E4B" w14:textId="77777777" w:rsidR="00674DAB" w:rsidRDefault="00674DAB" w:rsidP="00674DAB">
            <w:pPr>
              <w:spacing w:line="22" w:lineRule="atLeast"/>
              <w:rPr>
                <w:rFonts w:cs="Arial"/>
                <w:color w:val="000000" w:themeColor="text1"/>
              </w:rPr>
            </w:pPr>
            <w:r w:rsidRPr="0049524F">
              <w:rPr>
                <w:rFonts w:cs="Arial"/>
                <w:color w:val="000000" w:themeColor="text1"/>
              </w:rPr>
              <w:t xml:space="preserve">Facebook </w:t>
            </w:r>
          </w:p>
          <w:p w14:paraId="348F9EB0" w14:textId="77777777" w:rsidR="00674DAB" w:rsidRDefault="00674DAB" w:rsidP="00674DAB">
            <w:pPr>
              <w:spacing w:line="22" w:lineRule="atLeast"/>
              <w:rPr>
                <w:rFonts w:cs="Arial"/>
                <w:color w:val="000000" w:themeColor="text1"/>
              </w:rPr>
            </w:pPr>
            <w:r w:rsidRPr="0049524F">
              <w:rPr>
                <w:rFonts w:cs="Arial"/>
                <w:color w:val="000000" w:themeColor="text1"/>
              </w:rPr>
              <w:t xml:space="preserve">TikTok </w:t>
            </w:r>
          </w:p>
          <w:p w14:paraId="04C7A121" w14:textId="77777777" w:rsidR="00674DAB" w:rsidRPr="0049524F" w:rsidRDefault="00674DAB" w:rsidP="00674DAB">
            <w:pPr>
              <w:spacing w:line="22" w:lineRule="atLeast"/>
              <w:rPr>
                <w:rFonts w:cs="Arial"/>
                <w:color w:val="000000" w:themeColor="text1"/>
              </w:rPr>
            </w:pPr>
            <w:r w:rsidRPr="0049524F">
              <w:rPr>
                <w:rFonts w:cs="Arial"/>
                <w:color w:val="000000" w:themeColor="text1"/>
              </w:rPr>
              <w:t>Pinterest</w:t>
            </w:r>
          </w:p>
          <w:p w14:paraId="50F35D27" w14:textId="4F98665E" w:rsidR="00674DAB" w:rsidRDefault="00674DAB" w:rsidP="00674DAB">
            <w:pPr>
              <w:spacing w:line="22" w:lineRule="atLeast"/>
              <w:rPr>
                <w:rFonts w:cs="Arial"/>
                <w:color w:val="000000" w:themeColor="text1"/>
              </w:rPr>
            </w:pPr>
            <w:r w:rsidRPr="0049524F">
              <w:rPr>
                <w:rFonts w:cs="Arial"/>
                <w:color w:val="000000" w:themeColor="text1"/>
              </w:rPr>
              <w:t xml:space="preserve">Snapchat You Tube </w:t>
            </w:r>
          </w:p>
          <w:p w14:paraId="621721C0" w14:textId="5ECA48DC" w:rsidR="00674DAB" w:rsidRPr="00674DAB" w:rsidRDefault="00674DAB" w:rsidP="00674DAB">
            <w:pPr>
              <w:spacing w:line="22" w:lineRule="atLeast"/>
              <w:rPr>
                <w:rFonts w:cs="Arial"/>
                <w:color w:val="000000" w:themeColor="text1"/>
              </w:rPr>
            </w:pPr>
            <w:r w:rsidRPr="0049524F">
              <w:rPr>
                <w:rFonts w:cs="Arial"/>
                <w:color w:val="000000" w:themeColor="text1"/>
              </w:rPr>
              <w:t>LinkedIn</w:t>
            </w:r>
          </w:p>
        </w:tc>
        <w:tc>
          <w:tcPr>
            <w:tcW w:w="1757" w:type="dxa"/>
            <w:tcBorders>
              <w:top w:val="nil"/>
              <w:left w:val="nil"/>
              <w:bottom w:val="single" w:sz="4" w:space="0" w:color="auto"/>
              <w:right w:val="single" w:sz="4" w:space="0" w:color="auto"/>
            </w:tcBorders>
          </w:tcPr>
          <w:p w14:paraId="654AF90E" w14:textId="77777777" w:rsidR="00674DAB" w:rsidRDefault="00674DAB" w:rsidP="00674DAB">
            <w:pPr>
              <w:spacing w:line="22" w:lineRule="atLeast"/>
              <w:rPr>
                <w:rFonts w:cs="Arial"/>
                <w:color w:val="000000" w:themeColor="text1"/>
              </w:rPr>
            </w:pPr>
            <w:r w:rsidRPr="0049524F">
              <w:rPr>
                <w:rFonts w:cs="Arial"/>
                <w:color w:val="000000" w:themeColor="text1"/>
              </w:rPr>
              <w:t>Blogs</w:t>
            </w:r>
          </w:p>
          <w:p w14:paraId="08416ED2" w14:textId="77777777" w:rsidR="00674DAB" w:rsidRDefault="00674DAB" w:rsidP="00674DAB">
            <w:pPr>
              <w:spacing w:line="22" w:lineRule="atLeast"/>
              <w:rPr>
                <w:rFonts w:cs="Arial"/>
                <w:color w:val="000000" w:themeColor="text1"/>
              </w:rPr>
            </w:pPr>
            <w:r w:rsidRPr="0049524F">
              <w:rPr>
                <w:rFonts w:cs="Arial"/>
                <w:color w:val="000000" w:themeColor="text1"/>
              </w:rPr>
              <w:t xml:space="preserve">WhatsApp </w:t>
            </w:r>
          </w:p>
          <w:p w14:paraId="514534DF" w14:textId="77777777" w:rsidR="00674DAB" w:rsidRPr="0049524F" w:rsidRDefault="00674DAB" w:rsidP="00674DAB">
            <w:pPr>
              <w:spacing w:line="22" w:lineRule="atLeast"/>
              <w:rPr>
                <w:rFonts w:cs="Arial"/>
                <w:color w:val="000000" w:themeColor="text1"/>
              </w:rPr>
            </w:pPr>
            <w:r w:rsidRPr="0049524F">
              <w:rPr>
                <w:rFonts w:cs="Arial"/>
                <w:color w:val="000000" w:themeColor="text1"/>
              </w:rPr>
              <w:t>X (Twitter)</w:t>
            </w:r>
          </w:p>
          <w:p w14:paraId="670A2CE5" w14:textId="77777777" w:rsidR="00674DAB" w:rsidRDefault="00674DAB" w:rsidP="00674DAB">
            <w:pPr>
              <w:spacing w:line="22" w:lineRule="atLeast"/>
              <w:rPr>
                <w:rFonts w:cs="Arial"/>
                <w:color w:val="000000" w:themeColor="text1"/>
              </w:rPr>
            </w:pPr>
            <w:r w:rsidRPr="0049524F">
              <w:rPr>
                <w:rFonts w:cs="Arial"/>
                <w:color w:val="000000" w:themeColor="text1"/>
              </w:rPr>
              <w:t>Threads</w:t>
            </w:r>
          </w:p>
          <w:p w14:paraId="0C693DE3" w14:textId="77777777" w:rsidR="00674DAB" w:rsidRDefault="00674DAB" w:rsidP="00674DAB">
            <w:pPr>
              <w:spacing w:line="22" w:lineRule="atLeast"/>
              <w:rPr>
                <w:rFonts w:cs="Arial"/>
                <w:color w:val="000000" w:themeColor="text1"/>
              </w:rPr>
            </w:pPr>
            <w:r w:rsidRPr="0049524F">
              <w:rPr>
                <w:rFonts w:cs="Arial"/>
                <w:color w:val="000000" w:themeColor="text1"/>
              </w:rPr>
              <w:t>Instagram</w:t>
            </w:r>
          </w:p>
          <w:p w14:paraId="3C77E822" w14:textId="77777777" w:rsidR="00674DAB" w:rsidRPr="0049524F" w:rsidRDefault="00674DAB" w:rsidP="00674DAB">
            <w:pPr>
              <w:spacing w:line="22" w:lineRule="atLeast"/>
              <w:rPr>
                <w:rFonts w:cs="Arial"/>
                <w:color w:val="000000" w:themeColor="text1"/>
              </w:rPr>
            </w:pPr>
            <w:r w:rsidRPr="0049524F">
              <w:rPr>
                <w:rFonts w:cs="Arial"/>
                <w:color w:val="000000" w:themeColor="text1"/>
              </w:rPr>
              <w:t>Workplace</w:t>
            </w:r>
          </w:p>
          <w:p w14:paraId="6E00ECF5" w14:textId="77777777" w:rsidR="00674DAB" w:rsidRPr="00E31E31" w:rsidRDefault="00674DAB" w:rsidP="00737EDE"/>
        </w:tc>
      </w:tr>
    </w:tbl>
    <w:p w14:paraId="29C67857" w14:textId="77777777" w:rsidR="009213A0" w:rsidRDefault="009213A0" w:rsidP="009213A0">
      <w:pPr>
        <w:pStyle w:val="Text"/>
      </w:pPr>
    </w:p>
    <w:p w14:paraId="3E6F19C4" w14:textId="4E18D594" w:rsidR="00674DAB" w:rsidRDefault="00674DAB" w:rsidP="00674DAB">
      <w:pPr>
        <w:pStyle w:val="Heading1Numbered"/>
      </w:pPr>
      <w:bookmarkStart w:id="9" w:name="_Toc157675088"/>
      <w:r>
        <w:t>Statement of Intent</w:t>
      </w:r>
      <w:bookmarkEnd w:id="9"/>
    </w:p>
    <w:p w14:paraId="1FA6C3BD" w14:textId="138C279A" w:rsidR="00674DAB" w:rsidRDefault="00674DAB" w:rsidP="00F639D0">
      <w:pPr>
        <w:pStyle w:val="Text1Numbered"/>
      </w:pPr>
      <w:r>
        <w:t>MHA recognises that social media is part of everyday life and plays an important role in communicating and keeping in touch with others. At the same time, we want to ensure colleagues are aware of the need to follow guidelines to ensure that colleagues, those who use MHA’s services, and MHAs reputation are protected and respected.</w:t>
      </w:r>
    </w:p>
    <w:p w14:paraId="494A22E7" w14:textId="54C9026E" w:rsidR="00674DAB" w:rsidRDefault="00674DAB" w:rsidP="00674DAB">
      <w:pPr>
        <w:pStyle w:val="Heading1Numbered"/>
      </w:pPr>
      <w:bookmarkStart w:id="10" w:name="_Toc157675089"/>
      <w:r>
        <w:t>Social Media for Personal use</w:t>
      </w:r>
      <w:bookmarkEnd w:id="10"/>
    </w:p>
    <w:p w14:paraId="5ADD801C" w14:textId="2BA2F0D3" w:rsidR="00674DAB" w:rsidRPr="00674DAB" w:rsidRDefault="00674DAB" w:rsidP="00F639D0">
      <w:pPr>
        <w:pStyle w:val="Text1Numbered"/>
      </w:pPr>
      <w:r w:rsidRPr="00674DAB">
        <w:t>Before seeking to use one of the apps above for MHA / business purposes you should ensure it is allowed under the Computer Use Policy through the IT Team.</w:t>
      </w:r>
      <w:r w:rsidR="00F639D0">
        <w:t xml:space="preserve"> </w:t>
      </w:r>
      <w:r w:rsidRPr="00674DAB">
        <w:t>To ensure the use of the application doesn’t put personal data at risk please discuss with the Data Protection Officer.</w:t>
      </w:r>
    </w:p>
    <w:p w14:paraId="7E88A389" w14:textId="77777777" w:rsidR="00674DAB" w:rsidRPr="00674DAB" w:rsidRDefault="00674DAB" w:rsidP="00674DAB">
      <w:pPr>
        <w:pStyle w:val="Text1Numbered"/>
        <w:numPr>
          <w:ilvl w:val="0"/>
          <w:numId w:val="0"/>
        </w:numPr>
        <w:ind w:left="1135"/>
      </w:pPr>
    </w:p>
    <w:p w14:paraId="5AF6B827" w14:textId="7A9BB57D" w:rsidR="00674DAB" w:rsidRPr="00E431F4" w:rsidRDefault="00674DAB" w:rsidP="00674DAB">
      <w:pPr>
        <w:pStyle w:val="Text1Numbered"/>
      </w:pPr>
      <w:r w:rsidRPr="00674DAB">
        <w:t>Please note that though WhatsApp for business communications</w:t>
      </w:r>
      <w:r>
        <w:t xml:space="preserve"> is not permitted</w:t>
      </w:r>
      <w:r w:rsidR="005F41B0">
        <w:t xml:space="preserve">, neither are </w:t>
      </w:r>
      <w:r w:rsidR="00F639D0">
        <w:t>Facebook</w:t>
      </w:r>
      <w:r w:rsidR="005F41B0">
        <w:t xml:space="preserve"> messenger or other </w:t>
      </w:r>
      <w:r w:rsidR="00F639D0">
        <w:t xml:space="preserve">messaging </w:t>
      </w:r>
      <w:r w:rsidR="005F41B0">
        <w:t>apps</w:t>
      </w:r>
      <w:r w:rsidR="00F639D0">
        <w:t xml:space="preserve"> unless specifically stated in the Computer Use Policy [IT1].</w:t>
      </w:r>
    </w:p>
    <w:p w14:paraId="11BF5BF0" w14:textId="794B7A6E" w:rsidR="00674DAB" w:rsidRDefault="00674DAB" w:rsidP="00674DAB">
      <w:pPr>
        <w:pStyle w:val="Text1Numbered"/>
        <w:numPr>
          <w:ilvl w:val="0"/>
          <w:numId w:val="0"/>
        </w:numPr>
        <w:ind w:left="1135"/>
      </w:pPr>
    </w:p>
    <w:p w14:paraId="230E5197" w14:textId="727CB6F6" w:rsidR="00674DAB" w:rsidRDefault="00674DAB" w:rsidP="00674DAB">
      <w:pPr>
        <w:pStyle w:val="Text1Numbered"/>
      </w:pPr>
      <w:r>
        <w:t>Colleagues are not permitted to access their personal social media accounts on MHA devices.</w:t>
      </w:r>
    </w:p>
    <w:p w14:paraId="2387BF84" w14:textId="77777777" w:rsidR="00674DAB" w:rsidRDefault="00674DAB" w:rsidP="00674DAB">
      <w:pPr>
        <w:pStyle w:val="Text1Numbered"/>
        <w:numPr>
          <w:ilvl w:val="0"/>
          <w:numId w:val="0"/>
        </w:numPr>
      </w:pPr>
    </w:p>
    <w:p w14:paraId="3F76D4EA" w14:textId="1952C7BE" w:rsidR="00674DAB" w:rsidRPr="00674DAB" w:rsidRDefault="00674DAB" w:rsidP="00674DAB">
      <w:pPr>
        <w:pStyle w:val="Text1Numbered"/>
      </w:pPr>
      <w:r w:rsidRPr="00674DAB">
        <w:t>The</w:t>
      </w:r>
      <w:r w:rsidR="00F639D0">
        <w:t>re are potential issues that colleagues may face when using social media, even when they are using it with the best of intentions. Colleagues should:</w:t>
      </w:r>
      <w:r w:rsidRPr="00674DAB">
        <w:t xml:space="preserve">   </w:t>
      </w:r>
    </w:p>
    <w:p w14:paraId="5283B39E" w14:textId="5908E618" w:rsidR="00674DAB" w:rsidRPr="00674DAB" w:rsidRDefault="00F639D0" w:rsidP="00F639D0">
      <w:pPr>
        <w:pStyle w:val="Textlistindented-bullet"/>
      </w:pPr>
      <w:r>
        <w:t>A</w:t>
      </w:r>
      <w:r w:rsidR="00674DAB" w:rsidRPr="00674DAB">
        <w:t xml:space="preserve">ssume what you put on social media will be there forever. </w:t>
      </w:r>
    </w:p>
    <w:p w14:paraId="745B32AF" w14:textId="59CFF6CD" w:rsidR="00674DAB" w:rsidRPr="00674DAB" w:rsidRDefault="00674DAB" w:rsidP="00F639D0">
      <w:pPr>
        <w:pStyle w:val="Textlistindented-bullet"/>
      </w:pPr>
      <w:r w:rsidRPr="00674DAB">
        <w:t xml:space="preserve">Remember what </w:t>
      </w:r>
      <w:r w:rsidR="00F639D0">
        <w:t>is</w:t>
      </w:r>
      <w:r w:rsidRPr="00674DAB">
        <w:t xml:space="preserve"> </w:t>
      </w:r>
      <w:r w:rsidR="00F639D0">
        <w:t xml:space="preserve">posted </w:t>
      </w:r>
      <w:r w:rsidRPr="00674DAB">
        <w:t xml:space="preserve">can be libellous or deemed to break the law both of which can mean </w:t>
      </w:r>
      <w:r w:rsidR="00F639D0">
        <w:t>the colleague</w:t>
      </w:r>
      <w:r w:rsidRPr="00674DAB">
        <w:t xml:space="preserve"> may face serious legal consequences.</w:t>
      </w:r>
    </w:p>
    <w:p w14:paraId="4690100B" w14:textId="77777777" w:rsidR="00674DAB" w:rsidRPr="00674DAB" w:rsidRDefault="00674DAB" w:rsidP="00F639D0">
      <w:pPr>
        <w:pStyle w:val="Textlistindented-bullet"/>
      </w:pPr>
      <w:r w:rsidRPr="00674DAB">
        <w:t xml:space="preserve">A good rule of thumb is ‘anything you wouldn’t say to a person face to face should not be posted on social media’. This doesn’t justify saying things which are racist, homophobic etc or otherwise offensive.  </w:t>
      </w:r>
    </w:p>
    <w:p w14:paraId="591B9FF0" w14:textId="73715D5C" w:rsidR="00D40DD9" w:rsidRDefault="00674DAB" w:rsidP="00674DAB">
      <w:pPr>
        <w:pStyle w:val="Text1Numbered"/>
      </w:pPr>
      <w:r w:rsidRPr="00674DAB">
        <w:t xml:space="preserve">When it comes to those using our services, their relatives, </w:t>
      </w:r>
      <w:r w:rsidR="00F639D0" w:rsidRPr="00674DAB">
        <w:t>visitors,</w:t>
      </w:r>
      <w:r w:rsidRPr="00674DAB">
        <w:t xml:space="preserve"> and those coming to an MHA site </w:t>
      </w:r>
      <w:r w:rsidR="00F639D0" w:rsidRPr="00674DAB">
        <w:t>e.g.,</w:t>
      </w:r>
      <w:r w:rsidRPr="00674DAB">
        <w:t xml:space="preserve"> contractors / other health professionals and colleagues</w:t>
      </w:r>
      <w:r>
        <w:t>:</w:t>
      </w:r>
    </w:p>
    <w:p w14:paraId="6A33A94B" w14:textId="48868027" w:rsidR="00674DAB" w:rsidRDefault="00674DAB" w:rsidP="00674DAB">
      <w:pPr>
        <w:pStyle w:val="Textlistindented-bullet"/>
      </w:pPr>
      <w:r>
        <w:t xml:space="preserve">Colleagues must not talk about them or share any personal, </w:t>
      </w:r>
      <w:r w:rsidR="00F639D0">
        <w:t>financial,</w:t>
      </w:r>
      <w:r>
        <w:t xml:space="preserve"> or medical information </w:t>
      </w:r>
    </w:p>
    <w:p w14:paraId="28ADEEB1" w14:textId="3B4A5AA3" w:rsidR="00674DAB" w:rsidRDefault="00674DAB" w:rsidP="00674DAB">
      <w:pPr>
        <w:pStyle w:val="Textlistindented-bullet"/>
      </w:pPr>
      <w:r>
        <w:t>Colleagues must not make comments about them which are, or could be seen as, rude, offensive, discriminatory defamatory, or damaging to MHA’s reputation.</w:t>
      </w:r>
    </w:p>
    <w:p w14:paraId="3BEBB47E" w14:textId="1912F2F5" w:rsidR="00674DAB" w:rsidRDefault="00674DAB" w:rsidP="00674DAB">
      <w:pPr>
        <w:pStyle w:val="Textlistindented-bullet"/>
      </w:pPr>
      <w:r>
        <w:t>Colleagues must not make unwanted or unsolicited contact with another person(s).</w:t>
      </w:r>
    </w:p>
    <w:p w14:paraId="5A2D9C3C" w14:textId="2A2E1BA0" w:rsidR="00674DAB" w:rsidRDefault="00674DAB" w:rsidP="00674DAB">
      <w:pPr>
        <w:pStyle w:val="Text1Numbered"/>
      </w:pPr>
      <w:r>
        <w:t>Colleagues must not post about other colleagues, residents, tenants, members, or anyone else who engages with MHA on social media. If colleagues have a grievance, or concern, refer to the relevant policies for guidance (see resource list).</w:t>
      </w:r>
    </w:p>
    <w:p w14:paraId="22CF9924" w14:textId="77777777" w:rsidR="00674DAB" w:rsidRDefault="00674DAB" w:rsidP="00674DAB">
      <w:pPr>
        <w:pStyle w:val="Text1Numbered"/>
        <w:numPr>
          <w:ilvl w:val="0"/>
          <w:numId w:val="0"/>
        </w:numPr>
        <w:ind w:left="1135"/>
      </w:pPr>
    </w:p>
    <w:p w14:paraId="1132D0C6" w14:textId="2DC21137" w:rsidR="00674DAB" w:rsidRDefault="00674DAB" w:rsidP="00674DAB">
      <w:pPr>
        <w:pStyle w:val="Text1Numbered"/>
      </w:pPr>
      <w:r>
        <w:t xml:space="preserve">Colleagues must not respond to any criticism of MHA on social media but instead inform </w:t>
      </w:r>
      <w:r w:rsidR="00227175">
        <w:t>their line</w:t>
      </w:r>
      <w:r>
        <w:t xml:space="preserve"> manager </w:t>
      </w:r>
      <w:r w:rsidR="00227175">
        <w:t>who can escalate this to MHA’s</w:t>
      </w:r>
      <w:r>
        <w:t xml:space="preserve"> Communications Team.</w:t>
      </w:r>
    </w:p>
    <w:p w14:paraId="657FF579" w14:textId="77777777" w:rsidR="00674DAB" w:rsidRDefault="00674DAB" w:rsidP="00674DAB">
      <w:pPr>
        <w:pStyle w:val="Text1Numbered"/>
        <w:numPr>
          <w:ilvl w:val="0"/>
          <w:numId w:val="0"/>
        </w:numPr>
        <w:ind w:left="1135"/>
      </w:pPr>
    </w:p>
    <w:p w14:paraId="78F90FF9" w14:textId="0EDCE2DB" w:rsidR="00674DAB" w:rsidRDefault="00227175" w:rsidP="00674DAB">
      <w:pPr>
        <w:pStyle w:val="Text1Numbered"/>
      </w:pPr>
      <w:r>
        <w:t>Colleagues must</w:t>
      </w:r>
      <w:r w:rsidR="00674DAB">
        <w:t xml:space="preserve"> not post work-related images or videos on </w:t>
      </w:r>
      <w:r>
        <w:t>their</w:t>
      </w:r>
      <w:r w:rsidR="00674DAB">
        <w:t xml:space="preserve"> personal social media</w:t>
      </w:r>
      <w:r>
        <w:t xml:space="preserve"> accounts</w:t>
      </w:r>
      <w:r w:rsidR="00674DAB">
        <w:t xml:space="preserve">. If </w:t>
      </w:r>
      <w:r>
        <w:t>colleagues</w:t>
      </w:r>
      <w:r w:rsidR="00674DAB">
        <w:t xml:space="preserve"> wish to celebrate/share something</w:t>
      </w:r>
      <w:r>
        <w:t xml:space="preserve">, they must do this </w:t>
      </w:r>
      <w:r w:rsidR="00674DAB">
        <w:t xml:space="preserve">from </w:t>
      </w:r>
      <w:r>
        <w:t>the relevant</w:t>
      </w:r>
      <w:r w:rsidR="00674DAB">
        <w:t xml:space="preserve"> home or scheme</w:t>
      </w:r>
      <w:r>
        <w:t xml:space="preserve"> account. Colleagues may then share the MHA post on their personal social media account if they wish.</w:t>
      </w:r>
      <w:r w:rsidR="00674DAB">
        <w:t xml:space="preserve"> </w:t>
      </w:r>
    </w:p>
    <w:p w14:paraId="05E6CEAD" w14:textId="77777777" w:rsidR="00674DAB" w:rsidRDefault="00674DAB" w:rsidP="00674DAB">
      <w:pPr>
        <w:pStyle w:val="Text1Numbered"/>
        <w:numPr>
          <w:ilvl w:val="0"/>
          <w:numId w:val="0"/>
        </w:numPr>
        <w:ind w:left="1135"/>
      </w:pPr>
    </w:p>
    <w:p w14:paraId="71037F3B" w14:textId="2EFE8996" w:rsidR="00674DAB" w:rsidRDefault="00AF44D2" w:rsidP="009213A0">
      <w:pPr>
        <w:pStyle w:val="Text1Numbered"/>
      </w:pPr>
      <w:r w:rsidRPr="00AF44D2">
        <w:t xml:space="preserve">Under no </w:t>
      </w:r>
      <w:r w:rsidRPr="009213A0">
        <w:t>circumstances</w:t>
      </w:r>
      <w:r w:rsidRPr="00AF44D2">
        <w:t xml:space="preserve"> will offensive</w:t>
      </w:r>
      <w:r>
        <w:t xml:space="preserve"> or discriminatory</w:t>
      </w:r>
      <w:r w:rsidRPr="00AF44D2">
        <w:t xml:space="preserve"> comments be made about </w:t>
      </w:r>
      <w:r>
        <w:t xml:space="preserve">MHA </w:t>
      </w:r>
      <w:r w:rsidRPr="00AF44D2">
        <w:t xml:space="preserve">colleagues, </w:t>
      </w:r>
      <w:r>
        <w:t>MHA</w:t>
      </w:r>
      <w:r w:rsidRPr="00AF44D2">
        <w:t xml:space="preserve"> business or </w:t>
      </w:r>
      <w:r>
        <w:t>residents/members</w:t>
      </w:r>
      <w:r w:rsidRPr="00AF44D2">
        <w:t xml:space="preserve"> on the internet. This</w:t>
      </w:r>
      <w:r>
        <w:t xml:space="preserve"> is likely</w:t>
      </w:r>
      <w:r w:rsidRPr="00AF44D2">
        <w:t xml:space="preserve"> amount to cyber-bullying and be deemed a disciplinary offence</w:t>
      </w:r>
      <w:r>
        <w:t xml:space="preserve">. </w:t>
      </w:r>
    </w:p>
    <w:p w14:paraId="2DBE7F5B" w14:textId="77777777" w:rsidR="009213A0" w:rsidRDefault="009213A0" w:rsidP="009213A0">
      <w:pPr>
        <w:pStyle w:val="Text1Numbered"/>
        <w:numPr>
          <w:ilvl w:val="0"/>
          <w:numId w:val="0"/>
        </w:numPr>
      </w:pPr>
    </w:p>
    <w:p w14:paraId="2E34F77E" w14:textId="77777777" w:rsidR="00674DAB" w:rsidRDefault="00674DAB" w:rsidP="00674DAB">
      <w:pPr>
        <w:pStyle w:val="Text1Numbered"/>
      </w:pPr>
      <w:r>
        <w:t xml:space="preserve">Personal blogs and recommendations should have clear disclaimers that the views expressed are your views and not those of MHA. </w:t>
      </w:r>
    </w:p>
    <w:p w14:paraId="41076D52" w14:textId="77777777" w:rsidR="00674DAB" w:rsidRDefault="00674DAB" w:rsidP="00674DAB">
      <w:pPr>
        <w:pStyle w:val="Text1Numbered"/>
        <w:numPr>
          <w:ilvl w:val="0"/>
          <w:numId w:val="0"/>
        </w:numPr>
        <w:ind w:left="1135"/>
      </w:pPr>
    </w:p>
    <w:p w14:paraId="54F9C6BE" w14:textId="103E137B" w:rsidR="00674DAB" w:rsidRDefault="00674DAB" w:rsidP="00674DAB">
      <w:pPr>
        <w:pStyle w:val="Text1Numbered"/>
      </w:pPr>
      <w:r>
        <w:t xml:space="preserve">Never share confidential or business information, even in a private message. If </w:t>
      </w:r>
      <w:r w:rsidR="00227175">
        <w:t xml:space="preserve">there is </w:t>
      </w:r>
      <w:r>
        <w:t>doubt as to what is confidential information</w:t>
      </w:r>
      <w:r w:rsidR="00227175">
        <w:t>,</w:t>
      </w:r>
      <w:r>
        <w:t xml:space="preserve"> don’t share </w:t>
      </w:r>
      <w:r w:rsidR="00227175">
        <w:t>anything</w:t>
      </w:r>
      <w:r>
        <w:t xml:space="preserve">.  </w:t>
      </w:r>
    </w:p>
    <w:p w14:paraId="0D4A4CB4" w14:textId="77777777" w:rsidR="00674DAB" w:rsidRDefault="00674DAB" w:rsidP="00674DAB">
      <w:pPr>
        <w:pStyle w:val="Text1Numbered"/>
        <w:numPr>
          <w:ilvl w:val="0"/>
          <w:numId w:val="0"/>
        </w:numPr>
        <w:ind w:left="1135"/>
      </w:pPr>
    </w:p>
    <w:p w14:paraId="5A598E4D" w14:textId="786D853D" w:rsidR="00AF44D2" w:rsidRPr="00D40DD9" w:rsidRDefault="00227175" w:rsidP="009213A0">
      <w:pPr>
        <w:pStyle w:val="Text1Numbered"/>
      </w:pPr>
      <w:r>
        <w:t xml:space="preserve">Colleagues may add MHA as their place of work on social media if they </w:t>
      </w:r>
      <w:r w:rsidR="00F639D0">
        <w:t>wish but</w:t>
      </w:r>
      <w:r>
        <w:t xml:space="preserve"> should keep in mind that that </w:t>
      </w:r>
      <w:r w:rsidR="00674DAB">
        <w:t xml:space="preserve">people </w:t>
      </w:r>
      <w:r>
        <w:t>may associate personal</w:t>
      </w:r>
      <w:r w:rsidR="00674DAB">
        <w:t xml:space="preserve"> views with MHA</w:t>
      </w:r>
      <w:r>
        <w:t>.</w:t>
      </w:r>
      <w:r w:rsidR="00AF44D2">
        <w:t xml:space="preserve"> It is therefore recommended that a simple and visible disclaimer is added such as </w:t>
      </w:r>
      <w:r w:rsidR="00AF44D2" w:rsidRPr="00AF44D2">
        <w:t xml:space="preserve">“These are my personal views and not those of the </w:t>
      </w:r>
      <w:r w:rsidR="00AF44D2">
        <w:t>organisation I work for</w:t>
      </w:r>
      <w:r w:rsidR="00AF44D2" w:rsidRPr="00AF44D2">
        <w:t xml:space="preserve">”. The </w:t>
      </w:r>
      <w:r w:rsidR="00AF44D2">
        <w:t xml:space="preserve">MHA </w:t>
      </w:r>
      <w:r w:rsidR="00AF44D2" w:rsidRPr="00AF44D2">
        <w:t>logo must not be used on personal web pages.</w:t>
      </w:r>
    </w:p>
    <w:p w14:paraId="39A5C267" w14:textId="77777777" w:rsidR="00A92CD7" w:rsidRPr="004C3545" w:rsidRDefault="009A0ED4" w:rsidP="00914FC1">
      <w:pPr>
        <w:pStyle w:val="Heading1Numbered"/>
      </w:pPr>
      <w:bookmarkStart w:id="11" w:name="_Toc157675090"/>
      <w:r w:rsidRPr="004C3545">
        <w:t xml:space="preserve">Roles </w:t>
      </w:r>
      <w:r w:rsidR="001310BB">
        <w:t>and</w:t>
      </w:r>
      <w:r w:rsidRPr="004C3545">
        <w:t xml:space="preserve"> Responsibilities</w:t>
      </w:r>
      <w:bookmarkEnd w:id="11"/>
    </w:p>
    <w:tbl>
      <w:tblPr>
        <w:tblStyle w:val="MHATable"/>
        <w:tblW w:w="0" w:type="auto"/>
        <w:tblLook w:val="04A0" w:firstRow="1" w:lastRow="0" w:firstColumn="1" w:lastColumn="0" w:noHBand="0" w:noVBand="1"/>
      </w:tblPr>
      <w:tblGrid>
        <w:gridCol w:w="1696"/>
        <w:gridCol w:w="7797"/>
      </w:tblGrid>
      <w:tr w:rsidR="00A92CD7" w:rsidRPr="004C3545" w14:paraId="7B8DEE2F" w14:textId="77777777" w:rsidTr="00227175">
        <w:trPr>
          <w:cnfStyle w:val="100000000000" w:firstRow="1" w:lastRow="0" w:firstColumn="0" w:lastColumn="0" w:oddVBand="0" w:evenVBand="0" w:oddHBand="0" w:evenHBand="0" w:firstRowFirstColumn="0" w:firstRowLastColumn="0" w:lastRowFirstColumn="0" w:lastRowLastColumn="0"/>
        </w:trPr>
        <w:tc>
          <w:tcPr>
            <w:tcW w:w="1696" w:type="dxa"/>
          </w:tcPr>
          <w:p w14:paraId="271FB27A" w14:textId="77777777" w:rsidR="00A92CD7" w:rsidRPr="004C3545" w:rsidRDefault="00A92CD7" w:rsidP="002D47FD">
            <w:r w:rsidRPr="004C3545">
              <w:t>Role</w:t>
            </w:r>
          </w:p>
        </w:tc>
        <w:tc>
          <w:tcPr>
            <w:tcW w:w="7797" w:type="dxa"/>
          </w:tcPr>
          <w:p w14:paraId="060EA99F" w14:textId="77777777" w:rsidR="00A92CD7" w:rsidRPr="004C3545" w:rsidRDefault="00A92CD7" w:rsidP="002D47FD">
            <w:r w:rsidRPr="004C3545">
              <w:t>Responsibilities</w:t>
            </w:r>
          </w:p>
        </w:tc>
      </w:tr>
      <w:tr w:rsidR="00772CA5" w:rsidRPr="004C3545" w14:paraId="0889A611" w14:textId="77777777" w:rsidTr="00227175">
        <w:tc>
          <w:tcPr>
            <w:tcW w:w="1696" w:type="dxa"/>
          </w:tcPr>
          <w:p w14:paraId="0EF76E79" w14:textId="77777777" w:rsidR="00772CA5" w:rsidRPr="00227175" w:rsidRDefault="00772CA5" w:rsidP="00772CA5">
            <w:pPr>
              <w:rPr>
                <w:b/>
                <w:bCs/>
              </w:rPr>
            </w:pPr>
            <w:r w:rsidRPr="00227175">
              <w:rPr>
                <w:rFonts w:cs="Arial"/>
                <w:b/>
                <w:bCs/>
                <w:szCs w:val="22"/>
              </w:rPr>
              <w:t>All Colleagues</w:t>
            </w:r>
          </w:p>
        </w:tc>
        <w:tc>
          <w:tcPr>
            <w:tcW w:w="7797" w:type="dxa"/>
          </w:tcPr>
          <w:p w14:paraId="4555D2ED" w14:textId="3A2E3224" w:rsidR="00772CA5" w:rsidRPr="004C3545" w:rsidRDefault="00227175" w:rsidP="00227175">
            <w:pPr>
              <w:pStyle w:val="Textlist-bullet"/>
            </w:pPr>
            <w:r w:rsidRPr="00227175">
              <w:t xml:space="preserve">Colleagues are responsible for ensuring they read understand and comply with this policy.  </w:t>
            </w:r>
          </w:p>
        </w:tc>
      </w:tr>
      <w:tr w:rsidR="00772CA5" w:rsidRPr="004C3545" w14:paraId="646D2E37" w14:textId="77777777" w:rsidTr="00227175">
        <w:tc>
          <w:tcPr>
            <w:tcW w:w="1696" w:type="dxa"/>
          </w:tcPr>
          <w:p w14:paraId="23B49718" w14:textId="77777777" w:rsidR="00772CA5" w:rsidRPr="00227175" w:rsidRDefault="00772CA5" w:rsidP="00772CA5">
            <w:pPr>
              <w:rPr>
                <w:b/>
                <w:bCs/>
              </w:rPr>
            </w:pPr>
            <w:r w:rsidRPr="00227175">
              <w:rPr>
                <w:rFonts w:cs="Arial"/>
                <w:b/>
                <w:bCs/>
                <w:szCs w:val="22"/>
              </w:rPr>
              <w:t>Line Management</w:t>
            </w:r>
          </w:p>
        </w:tc>
        <w:tc>
          <w:tcPr>
            <w:tcW w:w="7797" w:type="dxa"/>
          </w:tcPr>
          <w:p w14:paraId="6215410B" w14:textId="5B4AE5AE" w:rsidR="00F42A5B" w:rsidRPr="004C3545" w:rsidRDefault="00227175" w:rsidP="00227175">
            <w:pPr>
              <w:pStyle w:val="Textlist-bullet"/>
            </w:pPr>
            <w:r>
              <w:t>To escalate any concerns raised by colleagues to MHA’s central support Communications team.</w:t>
            </w:r>
          </w:p>
        </w:tc>
      </w:tr>
    </w:tbl>
    <w:p w14:paraId="4B92F169" w14:textId="77777777" w:rsidR="00244765" w:rsidRDefault="00244765" w:rsidP="00903AA2">
      <w:pPr>
        <w:rPr>
          <w:rFonts w:cs="Arial"/>
          <w:spacing w:val="7"/>
        </w:rPr>
      </w:pPr>
    </w:p>
    <w:p w14:paraId="54E6B222" w14:textId="77777777" w:rsidR="009213A0" w:rsidRDefault="009213A0" w:rsidP="00903AA2">
      <w:pPr>
        <w:rPr>
          <w:rFonts w:cs="Arial"/>
          <w:spacing w:val="7"/>
        </w:rPr>
      </w:pPr>
    </w:p>
    <w:p w14:paraId="5598F89D" w14:textId="77777777" w:rsidR="009213A0" w:rsidRPr="004C3545" w:rsidRDefault="009213A0" w:rsidP="00903AA2">
      <w:pPr>
        <w:rPr>
          <w:rFonts w:cs="Arial"/>
          <w:spacing w:val="7"/>
        </w:rPr>
      </w:pPr>
    </w:p>
    <w:p w14:paraId="5F442588" w14:textId="58C270B0" w:rsidR="00DF67AA" w:rsidRDefault="002B5CDA" w:rsidP="00D558F5">
      <w:pPr>
        <w:pStyle w:val="Heading1Numbered"/>
      </w:pPr>
      <w:bookmarkStart w:id="12" w:name="_Toc157675091"/>
      <w:r w:rsidRPr="00B2494E">
        <w:t>Monitoring</w:t>
      </w:r>
      <w:bookmarkEnd w:id="12"/>
    </w:p>
    <w:p w14:paraId="5460AAD2" w14:textId="77777777" w:rsidR="002E4B12" w:rsidRDefault="00082857" w:rsidP="002E4B12">
      <w:pPr>
        <w:pStyle w:val="Text1Numbered"/>
      </w:pPr>
      <w:r>
        <w:t xml:space="preserve">Compliance is assessed through direct observation, </w:t>
      </w:r>
      <w:r w:rsidR="00306ED7">
        <w:t>monitoring,</w:t>
      </w:r>
      <w:r>
        <w:t xml:space="preserve"> and supervision of our colleagues.</w:t>
      </w:r>
    </w:p>
    <w:p w14:paraId="5467293E" w14:textId="77777777" w:rsidR="00227175" w:rsidRDefault="00227175" w:rsidP="00227175">
      <w:pPr>
        <w:pStyle w:val="Text1Numbered"/>
        <w:numPr>
          <w:ilvl w:val="0"/>
          <w:numId w:val="0"/>
        </w:numPr>
        <w:ind w:left="1135"/>
      </w:pPr>
    </w:p>
    <w:p w14:paraId="17CF3CB4" w14:textId="41813D75" w:rsidR="00227175" w:rsidRDefault="00227175" w:rsidP="002E4B12">
      <w:pPr>
        <w:pStyle w:val="Text1Numbered"/>
      </w:pPr>
      <w:r w:rsidRPr="00227175">
        <w:t>A breach of this policy may result in disciplinary action being taken</w:t>
      </w:r>
      <w:r>
        <w:t>. S</w:t>
      </w:r>
      <w:r w:rsidRPr="00227175">
        <w:t>erious breaches will be treated as gross misconduct</w:t>
      </w:r>
      <w:r>
        <w:t xml:space="preserve"> resulting in dismissal.</w:t>
      </w:r>
      <w:r w:rsidRPr="00227175">
        <w:t xml:space="preserve"> </w:t>
      </w:r>
    </w:p>
    <w:p w14:paraId="7893D4BB" w14:textId="77777777" w:rsidR="00227175" w:rsidRDefault="00227175" w:rsidP="00227175">
      <w:pPr>
        <w:pStyle w:val="Text1Numbered"/>
        <w:numPr>
          <w:ilvl w:val="0"/>
          <w:numId w:val="0"/>
        </w:numPr>
      </w:pPr>
    </w:p>
    <w:p w14:paraId="10D5CC15" w14:textId="4D9C9796" w:rsidR="00227175" w:rsidRPr="0049524F" w:rsidRDefault="00227175" w:rsidP="00227175">
      <w:pPr>
        <w:pStyle w:val="Text1Numbered"/>
      </w:pPr>
      <w:r w:rsidRPr="0049524F">
        <w:t>In addition to examples contained within the Code of Conduct</w:t>
      </w:r>
      <w:r>
        <w:t xml:space="preserve"> [HR8.3]</w:t>
      </w:r>
      <w:r w:rsidRPr="0049524F">
        <w:t xml:space="preserve">, </w:t>
      </w:r>
      <w:r>
        <w:t>Discipline [HR8.2]</w:t>
      </w:r>
      <w:r w:rsidRPr="0049524F">
        <w:t>, Bullying and Harassment</w:t>
      </w:r>
      <w:r>
        <w:t xml:space="preserve"> [HR8.5],</w:t>
      </w:r>
      <w:r w:rsidRPr="0049524F">
        <w:t xml:space="preserve"> and Computer Use </w:t>
      </w:r>
      <w:r>
        <w:t>Policy [IT1],</w:t>
      </w:r>
      <w:r w:rsidRPr="0049524F">
        <w:t xml:space="preserve"> the following will normally be considered gross misconduct: </w:t>
      </w:r>
    </w:p>
    <w:p w14:paraId="7502E8F7" w14:textId="77777777" w:rsidR="00227175" w:rsidRPr="0049524F" w:rsidRDefault="00227175" w:rsidP="00227175">
      <w:pPr>
        <w:spacing w:line="22" w:lineRule="atLeast"/>
        <w:ind w:left="709"/>
        <w:rPr>
          <w:rFonts w:cs="Arial"/>
          <w:color w:val="000000" w:themeColor="text1"/>
        </w:rPr>
      </w:pPr>
    </w:p>
    <w:p w14:paraId="0BB0336F" w14:textId="69DD7DDD" w:rsidR="00227175" w:rsidRPr="0049524F" w:rsidRDefault="00227175" w:rsidP="00227175">
      <w:pPr>
        <w:pStyle w:val="Textlistindented-bullet"/>
      </w:pPr>
      <w:r w:rsidRPr="0049524F">
        <w:t xml:space="preserve">Sharing confidential information service users, their family, colleagues, </w:t>
      </w:r>
      <w:r w:rsidR="00F639D0" w:rsidRPr="0049524F">
        <w:t>volunteers,</w:t>
      </w:r>
      <w:r w:rsidRPr="0049524F">
        <w:t xml:space="preserve"> or others. If you are in any doubt as to what is confidential information don’t share </w:t>
      </w:r>
    </w:p>
    <w:p w14:paraId="21AF5C48" w14:textId="77777777" w:rsidR="00227175" w:rsidRPr="0049524F" w:rsidRDefault="00227175" w:rsidP="00227175">
      <w:pPr>
        <w:pStyle w:val="Textlistindented-bullet"/>
      </w:pPr>
      <w:r w:rsidRPr="0049524F">
        <w:t>Sharing confidential or business information about MHA as an organisation.</w:t>
      </w:r>
    </w:p>
    <w:p w14:paraId="7FBC7328" w14:textId="57592368" w:rsidR="00227175" w:rsidRPr="0049524F" w:rsidRDefault="00227175" w:rsidP="00227175">
      <w:pPr>
        <w:pStyle w:val="Textlistindented-bullet"/>
      </w:pPr>
      <w:r w:rsidRPr="0049524F">
        <w:t xml:space="preserve">Any negative comments that could bring MHA into disrepute. This includes comments about residents, their family members, </w:t>
      </w:r>
      <w:r w:rsidR="00F639D0" w:rsidRPr="0049524F">
        <w:t>colleagues,</w:t>
      </w:r>
      <w:r w:rsidRPr="0049524F">
        <w:t xml:space="preserve"> or others.</w:t>
      </w:r>
    </w:p>
    <w:p w14:paraId="7BD72CA8" w14:textId="77777777" w:rsidR="00227175" w:rsidRPr="0049524F" w:rsidRDefault="00227175" w:rsidP="00227175">
      <w:pPr>
        <w:pStyle w:val="Textlistindented-bullet"/>
      </w:pPr>
      <w:r w:rsidRPr="0049524F">
        <w:t>Any comments which breach MHA’s Values or Equality Diversity and Inclusion Policy.</w:t>
      </w:r>
    </w:p>
    <w:p w14:paraId="195C9BE8" w14:textId="4CD10602" w:rsidR="00227175" w:rsidRPr="002E4B12" w:rsidRDefault="00227175" w:rsidP="00227175">
      <w:pPr>
        <w:pStyle w:val="Textlistindented-bullet"/>
      </w:pPr>
      <w:r w:rsidRPr="0049524F">
        <w:t>Any bullying or harassment of a colleague</w:t>
      </w:r>
      <w:r>
        <w:t>,</w:t>
      </w:r>
      <w:r w:rsidRPr="0049524F">
        <w:t xml:space="preserve"> </w:t>
      </w:r>
      <w:r>
        <w:t xml:space="preserve">or other, </w:t>
      </w:r>
      <w:r w:rsidRPr="0049524F">
        <w:t xml:space="preserve">this includes cases where the </w:t>
      </w:r>
      <w:r>
        <w:t xml:space="preserve">person </w:t>
      </w:r>
      <w:r w:rsidRPr="0049524F">
        <w:t xml:space="preserve">concerned does not see the comments or images.   </w:t>
      </w:r>
    </w:p>
    <w:p w14:paraId="1B862105" w14:textId="77777777" w:rsidR="00DF67AA" w:rsidRDefault="000C7997" w:rsidP="00D558F5">
      <w:pPr>
        <w:pStyle w:val="Heading1Numbered"/>
      </w:pPr>
      <w:bookmarkStart w:id="13" w:name="_Toc157675092"/>
      <w:r w:rsidRPr="000C7997">
        <w:t>Communication and Dissemination</w:t>
      </w:r>
      <w:bookmarkEnd w:id="13"/>
    </w:p>
    <w:p w14:paraId="03AD716C" w14:textId="77777777" w:rsidR="00D47ABA" w:rsidRDefault="00D47ABA" w:rsidP="00D47ABA">
      <w:pPr>
        <w:pStyle w:val="Text1Numbered"/>
      </w:pPr>
      <w:r>
        <w:t>This policy is disseminated and implemented within all MHA services through MHA’s channels of communication.</w:t>
      </w:r>
    </w:p>
    <w:p w14:paraId="2FE4DCFB" w14:textId="77777777" w:rsidR="00D47ABA" w:rsidRDefault="00D47ABA" w:rsidP="00082857">
      <w:pPr>
        <w:pStyle w:val="Text1Numbered"/>
        <w:numPr>
          <w:ilvl w:val="0"/>
          <w:numId w:val="0"/>
        </w:numPr>
      </w:pPr>
    </w:p>
    <w:p w14:paraId="79FE4B1E" w14:textId="77777777" w:rsidR="00D47ABA" w:rsidRDefault="00D47ABA" w:rsidP="00D47ABA">
      <w:pPr>
        <w:pStyle w:val="Text1Numbered"/>
      </w:pPr>
      <w:r>
        <w:t>Each colleague’s line manager must ensure that all teams are aware of their roles, responsibilities.</w:t>
      </w:r>
    </w:p>
    <w:p w14:paraId="2B94B81C" w14:textId="77777777" w:rsidR="00D47ABA" w:rsidRDefault="00D47ABA" w:rsidP="00D47ABA">
      <w:pPr>
        <w:pStyle w:val="Text1Numbered"/>
        <w:numPr>
          <w:ilvl w:val="0"/>
          <w:numId w:val="0"/>
        </w:numPr>
      </w:pPr>
    </w:p>
    <w:p w14:paraId="0367C78B" w14:textId="77777777" w:rsidR="00D47ABA" w:rsidRDefault="00D47ABA" w:rsidP="00D47ABA">
      <w:pPr>
        <w:pStyle w:val="Text1Numbered"/>
      </w:pPr>
      <w:r>
        <w:t>This policy will be available to the people we support and their representatives in alternate formats, as required.</w:t>
      </w:r>
    </w:p>
    <w:p w14:paraId="3F5EC9E8" w14:textId="77777777" w:rsidR="00D47ABA" w:rsidRDefault="00D47ABA" w:rsidP="00D47ABA">
      <w:pPr>
        <w:pStyle w:val="Text1Numbered"/>
        <w:numPr>
          <w:ilvl w:val="0"/>
          <w:numId w:val="0"/>
        </w:numPr>
      </w:pPr>
    </w:p>
    <w:p w14:paraId="32749BC7" w14:textId="77777777" w:rsidR="00D47ABA" w:rsidRDefault="00D47ABA" w:rsidP="00D47ABA">
      <w:pPr>
        <w:pStyle w:val="Text1Numbered"/>
      </w:pPr>
      <w:r>
        <w:t>Any review of this policy will include consultation with our colleagues, review of support planning, incident reports, quality audits and feedback from other agencies.</w:t>
      </w:r>
    </w:p>
    <w:p w14:paraId="3E88FA9C" w14:textId="77777777" w:rsidR="00D47ABA" w:rsidRDefault="00D47ABA" w:rsidP="00D47ABA">
      <w:pPr>
        <w:pStyle w:val="Text1Numbered"/>
        <w:numPr>
          <w:ilvl w:val="0"/>
          <w:numId w:val="0"/>
        </w:numPr>
      </w:pPr>
    </w:p>
    <w:p w14:paraId="2802F9EE" w14:textId="7BFE823B" w:rsidR="00386B5D" w:rsidRPr="00386B5D" w:rsidRDefault="00D47ABA" w:rsidP="0035054F">
      <w:pPr>
        <w:pStyle w:val="Text1Numbered"/>
      </w:pPr>
      <w:r>
        <w:t xml:space="preserve">Queries and issues relating to this policy should be referred to the Standards and Policy Team </w:t>
      </w:r>
      <w:hyperlink r:id="rId10" w:history="1">
        <w:r w:rsidRPr="00B2181E">
          <w:rPr>
            <w:rStyle w:val="Hyperlink"/>
          </w:rPr>
          <w:t>policies@mha.org.uk</w:t>
        </w:r>
      </w:hyperlink>
      <w:r>
        <w:t xml:space="preserve"> </w:t>
      </w:r>
    </w:p>
    <w:p w14:paraId="153AEF56" w14:textId="77777777" w:rsidR="00DF67AA" w:rsidRDefault="00772CA5" w:rsidP="00D558F5">
      <w:pPr>
        <w:pStyle w:val="Heading1Numbered"/>
      </w:pPr>
      <w:bookmarkStart w:id="14" w:name="_Toc157675093"/>
      <w:r>
        <w:t xml:space="preserve">EDI </w:t>
      </w:r>
      <w:r w:rsidR="000C7997">
        <w:t>Impact Assessments</w:t>
      </w:r>
      <w:bookmarkEnd w:id="14"/>
    </w:p>
    <w:p w14:paraId="10FC81D9" w14:textId="77777777" w:rsidR="00D47ABA" w:rsidRPr="002E4B12" w:rsidRDefault="00D47ABA" w:rsidP="002E4B12">
      <w:pPr>
        <w:pStyle w:val="Text1Numbered"/>
      </w:pPr>
      <w:r>
        <w:t>Equality, Diversity, and Impact Assessment to be confirmed.</w:t>
      </w:r>
    </w:p>
    <w:p w14:paraId="420E1FDF" w14:textId="77777777" w:rsidR="000C7997" w:rsidRDefault="000C7997" w:rsidP="00D558F5">
      <w:pPr>
        <w:pStyle w:val="Heading1Numbered"/>
      </w:pPr>
      <w:bookmarkStart w:id="15" w:name="_Toc157675094"/>
      <w:r w:rsidRPr="00B2494E">
        <w:t>Resources</w:t>
      </w:r>
      <w:bookmarkEnd w:id="15"/>
      <w:r w:rsidRPr="00B2494E">
        <w:t xml:space="preserve"> </w:t>
      </w:r>
    </w:p>
    <w:p w14:paraId="363E8ABC" w14:textId="69E9E8EB" w:rsidR="00852000" w:rsidRDefault="00227175" w:rsidP="00227175">
      <w:pPr>
        <w:pStyle w:val="Textlistindented-bullet"/>
      </w:pPr>
      <w:r w:rsidRPr="00227175">
        <w:t>Computer use policy</w:t>
      </w:r>
      <w:r>
        <w:t xml:space="preserve"> [IT1]</w:t>
      </w:r>
    </w:p>
    <w:p w14:paraId="13E585E8" w14:textId="0FE8A210" w:rsidR="00227175" w:rsidRDefault="00227175" w:rsidP="00227175">
      <w:pPr>
        <w:pStyle w:val="Textlistindented-bullet"/>
      </w:pPr>
      <w:r w:rsidRPr="00227175">
        <w:t>Complaints policy and procedure</w:t>
      </w:r>
      <w:r>
        <w:t xml:space="preserve"> [Q1.16]</w:t>
      </w:r>
    </w:p>
    <w:p w14:paraId="4B56EF5A" w14:textId="4A0EA671" w:rsidR="00227175" w:rsidRDefault="00227175" w:rsidP="00227175">
      <w:pPr>
        <w:pStyle w:val="Textlistindented-bullet"/>
      </w:pPr>
      <w:r w:rsidRPr="00227175">
        <w:t>Grievance Policy</w:t>
      </w:r>
      <w:r>
        <w:t xml:space="preserve"> [</w:t>
      </w:r>
      <w:r w:rsidRPr="00227175">
        <w:t>HR8.6</w:t>
      </w:r>
      <w:r>
        <w:t>]</w:t>
      </w:r>
    </w:p>
    <w:p w14:paraId="30ECF86F" w14:textId="3211B356" w:rsidR="00227175" w:rsidRDefault="00227175" w:rsidP="00227175">
      <w:pPr>
        <w:pStyle w:val="Textlistindented-bullet"/>
      </w:pPr>
      <w:r w:rsidRPr="00227175">
        <w:t>Whistleblowing Policy and Procedure</w:t>
      </w:r>
      <w:r>
        <w:t xml:space="preserve"> [HR9.5]</w:t>
      </w:r>
    </w:p>
    <w:p w14:paraId="312E4634" w14:textId="6E5501DB" w:rsidR="00227175" w:rsidRDefault="00227175" w:rsidP="00227175">
      <w:pPr>
        <w:pStyle w:val="Textlistindented-bullet"/>
      </w:pPr>
      <w:r w:rsidRPr="00227175">
        <w:t>Bullying and Harassment</w:t>
      </w:r>
      <w:r>
        <w:t xml:space="preserve"> [HR8.5]</w:t>
      </w:r>
    </w:p>
    <w:p w14:paraId="66366447" w14:textId="12802703" w:rsidR="00227175" w:rsidRDefault="00227175" w:rsidP="00227175">
      <w:pPr>
        <w:pStyle w:val="Textlistindented-bullet"/>
      </w:pPr>
      <w:r w:rsidRPr="00227175">
        <w:t>Discipline policy and procedure</w:t>
      </w:r>
      <w:r>
        <w:t xml:space="preserve"> [HR8.2]</w:t>
      </w:r>
    </w:p>
    <w:p w14:paraId="1FAC1134" w14:textId="6EFB1E00" w:rsidR="00227175" w:rsidRDefault="00227175" w:rsidP="00227175">
      <w:pPr>
        <w:pStyle w:val="Textlistindented-bullet"/>
      </w:pPr>
      <w:r w:rsidRPr="00227175">
        <w:t>Code of Conduct Policy</w:t>
      </w:r>
      <w:r>
        <w:t xml:space="preserve"> [HR8.3]</w:t>
      </w:r>
    </w:p>
    <w:p w14:paraId="61C9B109" w14:textId="45418C90" w:rsidR="00813D8E" w:rsidRDefault="0092090E" w:rsidP="00227175">
      <w:pPr>
        <w:pStyle w:val="Textlistindented-bullet"/>
      </w:pPr>
      <w:r>
        <w:t>Using Social Media to Promote MHA</w:t>
      </w:r>
      <w:r w:rsidR="00813D8E">
        <w:t xml:space="preserve"> </w:t>
      </w:r>
      <w:r>
        <w:t xml:space="preserve">Policy </w:t>
      </w:r>
      <w:r w:rsidR="00813D8E">
        <w:t>[</w:t>
      </w:r>
      <w:r>
        <w:t>M003]</w:t>
      </w:r>
    </w:p>
    <w:p w14:paraId="185D1C3A" w14:textId="77777777" w:rsidR="00DF67AA" w:rsidRDefault="009A0ED4" w:rsidP="002E4B12">
      <w:pPr>
        <w:pStyle w:val="Heading1Numbered"/>
      </w:pPr>
      <w:bookmarkStart w:id="16" w:name="_Toc157675095"/>
      <w:r w:rsidRPr="00DC7F16">
        <w:t>Version Control</w:t>
      </w:r>
      <w:bookmarkEnd w:id="16"/>
    </w:p>
    <w:tbl>
      <w:tblPr>
        <w:tblStyle w:val="MHATable"/>
        <w:tblW w:w="9549" w:type="dxa"/>
        <w:tblLayout w:type="fixed"/>
        <w:tblLook w:val="04A0" w:firstRow="1" w:lastRow="0" w:firstColumn="1" w:lastColumn="0" w:noHBand="0" w:noVBand="1"/>
      </w:tblPr>
      <w:tblGrid>
        <w:gridCol w:w="1129"/>
        <w:gridCol w:w="1418"/>
        <w:gridCol w:w="3118"/>
        <w:gridCol w:w="2552"/>
        <w:gridCol w:w="1332"/>
      </w:tblGrid>
      <w:tr w:rsidR="00F42A5B" w:rsidRPr="005E08A1" w14:paraId="09D40B1C" w14:textId="77777777" w:rsidTr="009213A0">
        <w:trPr>
          <w:cnfStyle w:val="100000000000" w:firstRow="1" w:lastRow="0" w:firstColumn="0" w:lastColumn="0" w:oddVBand="0" w:evenVBand="0" w:oddHBand="0" w:evenHBand="0" w:firstRowFirstColumn="0" w:firstRowLastColumn="0" w:lastRowFirstColumn="0" w:lastRowLastColumn="0"/>
          <w:trHeight w:val="830"/>
          <w:tblHeader/>
        </w:trPr>
        <w:tc>
          <w:tcPr>
            <w:tcW w:w="1129" w:type="dxa"/>
          </w:tcPr>
          <w:p w14:paraId="47108CF3" w14:textId="77777777" w:rsidR="00F30A5F" w:rsidRPr="005E08A1" w:rsidRDefault="00F30A5F" w:rsidP="002D47FD">
            <w:r w:rsidRPr="005E08A1">
              <w:t>Version</w:t>
            </w:r>
          </w:p>
        </w:tc>
        <w:tc>
          <w:tcPr>
            <w:tcW w:w="1418" w:type="dxa"/>
          </w:tcPr>
          <w:p w14:paraId="60FC22BD" w14:textId="77777777" w:rsidR="00F30A5F" w:rsidRPr="005E08A1" w:rsidRDefault="00F30A5F" w:rsidP="002D47FD">
            <w:r w:rsidRPr="005E08A1">
              <w:t>Version Date</w:t>
            </w:r>
          </w:p>
        </w:tc>
        <w:tc>
          <w:tcPr>
            <w:tcW w:w="3118" w:type="dxa"/>
          </w:tcPr>
          <w:p w14:paraId="43CD8C0B" w14:textId="77777777" w:rsidR="00F30A5F" w:rsidRPr="005E08A1" w:rsidRDefault="00F30A5F" w:rsidP="002D47FD">
            <w:r w:rsidRPr="005E08A1">
              <w:t xml:space="preserve">Revision Description / Summary of Changes </w:t>
            </w:r>
          </w:p>
        </w:tc>
        <w:tc>
          <w:tcPr>
            <w:tcW w:w="2552" w:type="dxa"/>
          </w:tcPr>
          <w:p w14:paraId="3F82649A" w14:textId="77777777" w:rsidR="00F30A5F" w:rsidRPr="005E08A1" w:rsidRDefault="00F30A5F" w:rsidP="002D47FD">
            <w:r w:rsidRPr="005E08A1">
              <w:t>Author</w:t>
            </w:r>
          </w:p>
        </w:tc>
        <w:tc>
          <w:tcPr>
            <w:tcW w:w="1332" w:type="dxa"/>
          </w:tcPr>
          <w:p w14:paraId="085A4349" w14:textId="77777777" w:rsidR="00F30A5F" w:rsidRPr="005E08A1" w:rsidRDefault="00F30A5F" w:rsidP="002D47FD">
            <w:r w:rsidRPr="005E08A1">
              <w:t>Next Review Date</w:t>
            </w:r>
          </w:p>
        </w:tc>
      </w:tr>
      <w:tr w:rsidR="00F42A5B" w:rsidRPr="004C3545" w14:paraId="565E1C5B" w14:textId="77777777" w:rsidTr="00BD332F">
        <w:trPr>
          <w:trHeight w:val="407"/>
        </w:trPr>
        <w:tc>
          <w:tcPr>
            <w:tcW w:w="1129" w:type="dxa"/>
          </w:tcPr>
          <w:p w14:paraId="26BADE81" w14:textId="440337FE" w:rsidR="00F30A5F" w:rsidRDefault="00BD332F" w:rsidP="002D47FD">
            <w:r>
              <w:t>4</w:t>
            </w:r>
          </w:p>
        </w:tc>
        <w:tc>
          <w:tcPr>
            <w:tcW w:w="1418" w:type="dxa"/>
          </w:tcPr>
          <w:p w14:paraId="69F6D094" w14:textId="411A4014" w:rsidR="00F30A5F" w:rsidRPr="004C3545" w:rsidRDefault="009213A0" w:rsidP="002D47FD">
            <w:r>
              <w:t>February 2024</w:t>
            </w:r>
          </w:p>
        </w:tc>
        <w:tc>
          <w:tcPr>
            <w:tcW w:w="3118" w:type="dxa"/>
          </w:tcPr>
          <w:p w14:paraId="45101970" w14:textId="77777777" w:rsidR="00F42A5B" w:rsidRDefault="00BD332F" w:rsidP="00BD332F">
            <w:pPr>
              <w:pStyle w:val="Textlist-bullet"/>
            </w:pPr>
            <w:r>
              <w:t>Regular compliance review.</w:t>
            </w:r>
          </w:p>
          <w:p w14:paraId="3CACB62D" w14:textId="31F00F4A" w:rsidR="00BD332F" w:rsidRPr="004C3545" w:rsidRDefault="00BD332F" w:rsidP="00BD332F">
            <w:pPr>
              <w:pStyle w:val="Textlist-bullet"/>
            </w:pPr>
            <w:r>
              <w:t>Social media for promoting MHA removed from policy</w:t>
            </w:r>
            <w:r w:rsidR="009213A0">
              <w:t>, refer to using social media to promote MHA policy [M004].</w:t>
            </w:r>
          </w:p>
        </w:tc>
        <w:tc>
          <w:tcPr>
            <w:tcW w:w="2552" w:type="dxa"/>
          </w:tcPr>
          <w:p w14:paraId="42C38F3B" w14:textId="77777777" w:rsidR="00066761" w:rsidRDefault="00BD332F" w:rsidP="00BD332F">
            <w:pPr>
              <w:pStyle w:val="Textlist-bullet"/>
            </w:pPr>
            <w:r>
              <w:t>HR Advisor</w:t>
            </w:r>
          </w:p>
          <w:p w14:paraId="62E25CCF" w14:textId="77777777" w:rsidR="00BD332F" w:rsidRDefault="00BD332F" w:rsidP="00BD332F">
            <w:pPr>
              <w:pStyle w:val="Textlist-bullet"/>
            </w:pPr>
            <w:r>
              <w:t>Head of HR</w:t>
            </w:r>
          </w:p>
          <w:p w14:paraId="48D5B237" w14:textId="447D27A5" w:rsidR="00BD332F" w:rsidRPr="004C3545" w:rsidRDefault="00BD332F" w:rsidP="00BD332F">
            <w:pPr>
              <w:pStyle w:val="Textlist-bullet"/>
            </w:pPr>
            <w:r>
              <w:t>Standards and Policy Manager</w:t>
            </w:r>
          </w:p>
        </w:tc>
        <w:tc>
          <w:tcPr>
            <w:tcW w:w="1332" w:type="dxa"/>
          </w:tcPr>
          <w:p w14:paraId="4922C7F7" w14:textId="46144EB4" w:rsidR="00F30A5F" w:rsidRPr="004C3545" w:rsidRDefault="009213A0" w:rsidP="002D47FD">
            <w:r>
              <w:t>February</w:t>
            </w:r>
            <w:r w:rsidR="00BD332F">
              <w:t xml:space="preserve"> 202</w:t>
            </w:r>
            <w:r>
              <w:t>7</w:t>
            </w:r>
          </w:p>
        </w:tc>
      </w:tr>
    </w:tbl>
    <w:p w14:paraId="7372AFCA" w14:textId="77777777" w:rsidR="002D47FD" w:rsidRPr="004C3545" w:rsidRDefault="002D47FD" w:rsidP="00265378">
      <w:pPr>
        <w:pStyle w:val="Text"/>
      </w:pPr>
    </w:p>
    <w:sectPr w:rsidR="002D47FD" w:rsidRPr="004C3545" w:rsidSect="00436078">
      <w:headerReference w:type="default" r:id="rId11"/>
      <w:footerReference w:type="default" r:id="rId12"/>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09A52" w14:textId="77777777" w:rsidR="00436078" w:rsidRDefault="00436078" w:rsidP="001876E7">
      <w:pPr>
        <w:spacing w:line="240" w:lineRule="auto"/>
      </w:pPr>
      <w:r>
        <w:separator/>
      </w:r>
    </w:p>
  </w:endnote>
  <w:endnote w:type="continuationSeparator" w:id="0">
    <w:p w14:paraId="066DBCB8" w14:textId="77777777" w:rsidR="00436078" w:rsidRDefault="00436078"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6DC176BE" w14:textId="77777777" w:rsidR="00764B4C" w:rsidRPr="00764B4C" w:rsidRDefault="00764B4C" w:rsidP="002E4B12">
            <w:pPr>
              <w:pStyle w:val="FooterText"/>
              <w:jc w:val="center"/>
              <w:rPr>
                <w:rFonts w:cs="Arial"/>
                <w:spacing w:val="7"/>
              </w:rPr>
            </w:pPr>
          </w:p>
          <w:p w14:paraId="31F55AF9" w14:textId="44D6A86E" w:rsidR="003865D9" w:rsidRDefault="00772CA5" w:rsidP="00454821">
            <w:pPr>
              <w:pStyle w:val="FooterText"/>
              <w:tabs>
                <w:tab w:val="right" w:pos="9498"/>
              </w:tabs>
              <w:jc w:val="left"/>
            </w:pPr>
            <w:r>
              <w:t>HR9.</w:t>
            </w:r>
            <w:r w:rsidR="00C34246">
              <w:t>13</w:t>
            </w:r>
            <w:r w:rsidR="002E4B12">
              <w:t xml:space="preserve"> </w:t>
            </w:r>
            <w:r w:rsidR="00C34246" w:rsidRPr="00C34246">
              <w:t xml:space="preserve">Social Media </w:t>
            </w:r>
            <w:r w:rsidR="00C34246">
              <w:t>for</w:t>
            </w:r>
            <w:r w:rsidR="00C34246" w:rsidRPr="00C34246">
              <w:t xml:space="preserve"> Personal Use Policy</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7B588" w14:textId="77777777" w:rsidR="00436078" w:rsidRDefault="00436078" w:rsidP="001876E7">
      <w:pPr>
        <w:spacing w:line="240" w:lineRule="auto"/>
      </w:pPr>
      <w:r>
        <w:separator/>
      </w:r>
    </w:p>
  </w:footnote>
  <w:footnote w:type="continuationSeparator" w:id="0">
    <w:p w14:paraId="04D9BCEB" w14:textId="77777777" w:rsidR="00436078" w:rsidRDefault="00436078"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6615"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C1953C3" wp14:editId="62AF3BC6">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252E4"/>
    <w:multiLevelType w:val="hybridMultilevel"/>
    <w:tmpl w:val="5CE0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94B0989"/>
    <w:multiLevelType w:val="hybridMultilevel"/>
    <w:tmpl w:val="07AA4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CB17E9"/>
    <w:multiLevelType w:val="multilevel"/>
    <w:tmpl w:val="772A2512"/>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8B34E3"/>
    <w:multiLevelType w:val="hybridMultilevel"/>
    <w:tmpl w:val="2E3E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26539A"/>
    <w:multiLevelType w:val="hybridMultilevel"/>
    <w:tmpl w:val="F1500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A987E00"/>
    <w:multiLevelType w:val="hybridMultilevel"/>
    <w:tmpl w:val="164A8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6"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9413A8"/>
    <w:multiLevelType w:val="hybridMultilevel"/>
    <w:tmpl w:val="95E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374E0F"/>
    <w:multiLevelType w:val="hybridMultilevel"/>
    <w:tmpl w:val="BA946BC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9"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4874BB"/>
    <w:multiLevelType w:val="hybridMultilevel"/>
    <w:tmpl w:val="001A62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1"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237EE2"/>
    <w:multiLevelType w:val="hybridMultilevel"/>
    <w:tmpl w:val="0874A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471A6A"/>
    <w:multiLevelType w:val="multilevel"/>
    <w:tmpl w:val="3D8A3F86"/>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720" w:hanging="720"/>
      </w:pPr>
      <w:rPr>
        <w:rFonts w:hint="default"/>
        <w:b w:val="0"/>
        <w:bCs/>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049141532">
    <w:abstractNumId w:val="5"/>
  </w:num>
  <w:num w:numId="2" w16cid:durableId="314769889">
    <w:abstractNumId w:val="8"/>
  </w:num>
  <w:num w:numId="3" w16cid:durableId="223486558">
    <w:abstractNumId w:val="2"/>
  </w:num>
  <w:num w:numId="4" w16cid:durableId="893782273">
    <w:abstractNumId w:val="3"/>
  </w:num>
  <w:num w:numId="5" w16cid:durableId="1146821655">
    <w:abstractNumId w:val="1"/>
  </w:num>
  <w:num w:numId="6" w16cid:durableId="569312116">
    <w:abstractNumId w:val="19"/>
  </w:num>
  <w:num w:numId="7" w16cid:durableId="139810974">
    <w:abstractNumId w:val="5"/>
  </w:num>
  <w:num w:numId="8" w16cid:durableId="478111977">
    <w:abstractNumId w:val="15"/>
  </w:num>
  <w:num w:numId="9" w16cid:durableId="672680783">
    <w:abstractNumId w:val="14"/>
  </w:num>
  <w:num w:numId="10" w16cid:durableId="582229400">
    <w:abstractNumId w:val="22"/>
  </w:num>
  <w:num w:numId="11" w16cid:durableId="1068845125">
    <w:abstractNumId w:val="16"/>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2"/>
  </w:num>
  <w:num w:numId="20" w16cid:durableId="1927031610">
    <w:abstractNumId w:val="7"/>
  </w:num>
  <w:num w:numId="21" w16cid:durableId="149368801">
    <w:abstractNumId w:val="9"/>
  </w:num>
  <w:num w:numId="22" w16cid:durableId="537015620">
    <w:abstractNumId w:val="24"/>
  </w:num>
  <w:num w:numId="23" w16cid:durableId="673651929">
    <w:abstractNumId w:val="21"/>
  </w:num>
  <w:num w:numId="24" w16cid:durableId="1700010823">
    <w:abstractNumId w:val="0"/>
  </w:num>
  <w:num w:numId="25" w16cid:durableId="1459950268">
    <w:abstractNumId w:val="25"/>
  </w:num>
  <w:num w:numId="26" w16cid:durableId="2024210744">
    <w:abstractNumId w:val="11"/>
  </w:num>
  <w:num w:numId="27" w16cid:durableId="731196969">
    <w:abstractNumId w:val="6"/>
  </w:num>
  <w:num w:numId="28" w16cid:durableId="1159078511">
    <w:abstractNumId w:val="20"/>
  </w:num>
  <w:num w:numId="29" w16cid:durableId="580483559">
    <w:abstractNumId w:val="18"/>
  </w:num>
  <w:num w:numId="30" w16cid:durableId="1034160516">
    <w:abstractNumId w:val="10"/>
  </w:num>
  <w:num w:numId="31" w16cid:durableId="1233661081">
    <w:abstractNumId w:val="13"/>
  </w:num>
  <w:num w:numId="32" w16cid:durableId="1166898073">
    <w:abstractNumId w:val="4"/>
  </w:num>
  <w:num w:numId="33" w16cid:durableId="191504904">
    <w:abstractNumId w:val="17"/>
  </w:num>
  <w:num w:numId="34" w16cid:durableId="12046310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9993921">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46"/>
    <w:rsid w:val="00010148"/>
    <w:rsid w:val="00011E5A"/>
    <w:rsid w:val="0002533A"/>
    <w:rsid w:val="000553E0"/>
    <w:rsid w:val="000646E5"/>
    <w:rsid w:val="00066761"/>
    <w:rsid w:val="00070650"/>
    <w:rsid w:val="000771AD"/>
    <w:rsid w:val="00082857"/>
    <w:rsid w:val="000C7997"/>
    <w:rsid w:val="000D41D5"/>
    <w:rsid w:val="000F25D4"/>
    <w:rsid w:val="000F64C5"/>
    <w:rsid w:val="001155F8"/>
    <w:rsid w:val="001248CF"/>
    <w:rsid w:val="001310BB"/>
    <w:rsid w:val="0013340B"/>
    <w:rsid w:val="00140C68"/>
    <w:rsid w:val="00147C3B"/>
    <w:rsid w:val="001876E7"/>
    <w:rsid w:val="00194A22"/>
    <w:rsid w:val="001B5C40"/>
    <w:rsid w:val="001C1A88"/>
    <w:rsid w:val="001E4229"/>
    <w:rsid w:val="00227175"/>
    <w:rsid w:val="00244765"/>
    <w:rsid w:val="00247E69"/>
    <w:rsid w:val="002516F3"/>
    <w:rsid w:val="002543A7"/>
    <w:rsid w:val="00261059"/>
    <w:rsid w:val="00263D11"/>
    <w:rsid w:val="00265378"/>
    <w:rsid w:val="00273C90"/>
    <w:rsid w:val="00276188"/>
    <w:rsid w:val="00276732"/>
    <w:rsid w:val="00283169"/>
    <w:rsid w:val="002A538B"/>
    <w:rsid w:val="002B5CDA"/>
    <w:rsid w:val="002C0EC0"/>
    <w:rsid w:val="002D47FD"/>
    <w:rsid w:val="002E4B12"/>
    <w:rsid w:val="00300707"/>
    <w:rsid w:val="00302641"/>
    <w:rsid w:val="00306ED7"/>
    <w:rsid w:val="00322ED2"/>
    <w:rsid w:val="003256F1"/>
    <w:rsid w:val="003266FD"/>
    <w:rsid w:val="00345825"/>
    <w:rsid w:val="0035054F"/>
    <w:rsid w:val="003510EE"/>
    <w:rsid w:val="003865D9"/>
    <w:rsid w:val="00386B5D"/>
    <w:rsid w:val="0038720A"/>
    <w:rsid w:val="003B2431"/>
    <w:rsid w:val="003C04D5"/>
    <w:rsid w:val="003C59CC"/>
    <w:rsid w:val="003F52EA"/>
    <w:rsid w:val="004128E7"/>
    <w:rsid w:val="0042795E"/>
    <w:rsid w:val="0043268D"/>
    <w:rsid w:val="00436078"/>
    <w:rsid w:val="004428C9"/>
    <w:rsid w:val="00451A46"/>
    <w:rsid w:val="00454821"/>
    <w:rsid w:val="0045562B"/>
    <w:rsid w:val="00471203"/>
    <w:rsid w:val="004726A7"/>
    <w:rsid w:val="00480B30"/>
    <w:rsid w:val="004924CF"/>
    <w:rsid w:val="004A48AB"/>
    <w:rsid w:val="004A5F05"/>
    <w:rsid w:val="004B36CD"/>
    <w:rsid w:val="004C3545"/>
    <w:rsid w:val="004F5E04"/>
    <w:rsid w:val="00507AF2"/>
    <w:rsid w:val="00512916"/>
    <w:rsid w:val="0051530E"/>
    <w:rsid w:val="0052519E"/>
    <w:rsid w:val="00545C38"/>
    <w:rsid w:val="005518A9"/>
    <w:rsid w:val="00564D73"/>
    <w:rsid w:val="005711B3"/>
    <w:rsid w:val="00572560"/>
    <w:rsid w:val="0057717F"/>
    <w:rsid w:val="0059266A"/>
    <w:rsid w:val="00594E14"/>
    <w:rsid w:val="005A508B"/>
    <w:rsid w:val="005D0374"/>
    <w:rsid w:val="005D62C0"/>
    <w:rsid w:val="005E08A1"/>
    <w:rsid w:val="005F41B0"/>
    <w:rsid w:val="00610B2B"/>
    <w:rsid w:val="0063081A"/>
    <w:rsid w:val="0063326C"/>
    <w:rsid w:val="006423BB"/>
    <w:rsid w:val="0066591C"/>
    <w:rsid w:val="00667C4A"/>
    <w:rsid w:val="00674DAB"/>
    <w:rsid w:val="006B0609"/>
    <w:rsid w:val="006B41E2"/>
    <w:rsid w:val="00717A8D"/>
    <w:rsid w:val="00723627"/>
    <w:rsid w:val="007256EF"/>
    <w:rsid w:val="00730CA5"/>
    <w:rsid w:val="00744A83"/>
    <w:rsid w:val="007539BA"/>
    <w:rsid w:val="00764B4C"/>
    <w:rsid w:val="00772CA5"/>
    <w:rsid w:val="00776701"/>
    <w:rsid w:val="00784932"/>
    <w:rsid w:val="0078642D"/>
    <w:rsid w:val="007B2919"/>
    <w:rsid w:val="007C2DAF"/>
    <w:rsid w:val="007E1123"/>
    <w:rsid w:val="0081228C"/>
    <w:rsid w:val="00813D8E"/>
    <w:rsid w:val="00831235"/>
    <w:rsid w:val="00832C4B"/>
    <w:rsid w:val="0084471B"/>
    <w:rsid w:val="00847753"/>
    <w:rsid w:val="00852000"/>
    <w:rsid w:val="00861EB0"/>
    <w:rsid w:val="0087097E"/>
    <w:rsid w:val="008874B0"/>
    <w:rsid w:val="00893D07"/>
    <w:rsid w:val="008A7363"/>
    <w:rsid w:val="008B0A37"/>
    <w:rsid w:val="008B1D97"/>
    <w:rsid w:val="008C44E5"/>
    <w:rsid w:val="008D1B9A"/>
    <w:rsid w:val="008D3C32"/>
    <w:rsid w:val="008D5DD4"/>
    <w:rsid w:val="008D6213"/>
    <w:rsid w:val="008D791B"/>
    <w:rsid w:val="008F09EB"/>
    <w:rsid w:val="008F23B5"/>
    <w:rsid w:val="008F41A1"/>
    <w:rsid w:val="00903AA2"/>
    <w:rsid w:val="009050C4"/>
    <w:rsid w:val="00914FC1"/>
    <w:rsid w:val="0092090E"/>
    <w:rsid w:val="00921168"/>
    <w:rsid w:val="009213A0"/>
    <w:rsid w:val="00922DB3"/>
    <w:rsid w:val="00932409"/>
    <w:rsid w:val="00947D46"/>
    <w:rsid w:val="009655E2"/>
    <w:rsid w:val="00973E48"/>
    <w:rsid w:val="009A0ED4"/>
    <w:rsid w:val="009C3E45"/>
    <w:rsid w:val="009E3487"/>
    <w:rsid w:val="009E7B35"/>
    <w:rsid w:val="00A17E0E"/>
    <w:rsid w:val="00A2438D"/>
    <w:rsid w:val="00A24DA1"/>
    <w:rsid w:val="00A34D37"/>
    <w:rsid w:val="00A36714"/>
    <w:rsid w:val="00A43329"/>
    <w:rsid w:val="00A52F66"/>
    <w:rsid w:val="00A61E40"/>
    <w:rsid w:val="00A92CD7"/>
    <w:rsid w:val="00AA0D99"/>
    <w:rsid w:val="00AB4A71"/>
    <w:rsid w:val="00AB6EE9"/>
    <w:rsid w:val="00AC3248"/>
    <w:rsid w:val="00AD5FD5"/>
    <w:rsid w:val="00AE5E04"/>
    <w:rsid w:val="00AF1001"/>
    <w:rsid w:val="00AF44D2"/>
    <w:rsid w:val="00B148E6"/>
    <w:rsid w:val="00B148FF"/>
    <w:rsid w:val="00B22399"/>
    <w:rsid w:val="00B2494E"/>
    <w:rsid w:val="00B275B1"/>
    <w:rsid w:val="00B46F84"/>
    <w:rsid w:val="00B56F75"/>
    <w:rsid w:val="00B8132B"/>
    <w:rsid w:val="00BA22C2"/>
    <w:rsid w:val="00BD332F"/>
    <w:rsid w:val="00C108E0"/>
    <w:rsid w:val="00C114D1"/>
    <w:rsid w:val="00C143CB"/>
    <w:rsid w:val="00C20301"/>
    <w:rsid w:val="00C26C7B"/>
    <w:rsid w:val="00C27093"/>
    <w:rsid w:val="00C34246"/>
    <w:rsid w:val="00C41ACB"/>
    <w:rsid w:val="00C44824"/>
    <w:rsid w:val="00C81C94"/>
    <w:rsid w:val="00C93C14"/>
    <w:rsid w:val="00CB43C5"/>
    <w:rsid w:val="00CB6415"/>
    <w:rsid w:val="00CD5DBF"/>
    <w:rsid w:val="00CF6C46"/>
    <w:rsid w:val="00CF7537"/>
    <w:rsid w:val="00D10E87"/>
    <w:rsid w:val="00D232C1"/>
    <w:rsid w:val="00D4040D"/>
    <w:rsid w:val="00D40DD9"/>
    <w:rsid w:val="00D47ABA"/>
    <w:rsid w:val="00D558F5"/>
    <w:rsid w:val="00D77D91"/>
    <w:rsid w:val="00DB2058"/>
    <w:rsid w:val="00DB24AA"/>
    <w:rsid w:val="00DC7F16"/>
    <w:rsid w:val="00DF300F"/>
    <w:rsid w:val="00DF67AA"/>
    <w:rsid w:val="00E04B72"/>
    <w:rsid w:val="00E06E01"/>
    <w:rsid w:val="00E31E31"/>
    <w:rsid w:val="00E3506D"/>
    <w:rsid w:val="00E365D6"/>
    <w:rsid w:val="00E40653"/>
    <w:rsid w:val="00E561CE"/>
    <w:rsid w:val="00E64A99"/>
    <w:rsid w:val="00E755AD"/>
    <w:rsid w:val="00E75D27"/>
    <w:rsid w:val="00E86F23"/>
    <w:rsid w:val="00E87F15"/>
    <w:rsid w:val="00EA17A7"/>
    <w:rsid w:val="00EB4016"/>
    <w:rsid w:val="00EC4F61"/>
    <w:rsid w:val="00ED047B"/>
    <w:rsid w:val="00EE7121"/>
    <w:rsid w:val="00EF3699"/>
    <w:rsid w:val="00EF60A6"/>
    <w:rsid w:val="00F22D39"/>
    <w:rsid w:val="00F30A5F"/>
    <w:rsid w:val="00F42A5B"/>
    <w:rsid w:val="00F639D0"/>
    <w:rsid w:val="00F7305F"/>
    <w:rsid w:val="00F9138C"/>
    <w:rsid w:val="00F91DD0"/>
    <w:rsid w:val="00FA1162"/>
    <w:rsid w:val="00FB5C56"/>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45B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nhideWhenUsed/>
    <w:rsid w:val="004726A7"/>
    <w:rPr>
      <w:sz w:val="16"/>
      <w:szCs w:val="16"/>
    </w:rPr>
  </w:style>
  <w:style w:type="paragraph" w:styleId="CommentText">
    <w:name w:val="annotation text"/>
    <w:basedOn w:val="Normal"/>
    <w:link w:val="CommentTextChar"/>
    <w:rsid w:val="004726A7"/>
    <w:pPr>
      <w:spacing w:line="240" w:lineRule="auto"/>
    </w:pPr>
    <w:rPr>
      <w:sz w:val="20"/>
      <w:szCs w:val="20"/>
    </w:rPr>
  </w:style>
  <w:style w:type="character" w:customStyle="1" w:styleId="CommentTextChar">
    <w:name w:val="Comment Text Char"/>
    <w:basedOn w:val="DefaultParagraphFont"/>
    <w:link w:val="CommentText"/>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table" w:customStyle="1" w:styleId="TableGrid1">
    <w:name w:val="Table Grid1"/>
    <w:basedOn w:val="TableNormal"/>
    <w:next w:val="TableGrid"/>
    <w:uiPriority w:val="39"/>
    <w:rsid w:val="00594E14"/>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72CA5"/>
    <w:pPr>
      <w:spacing w:line="240" w:lineRule="auto"/>
      <w:ind w:left="360"/>
      <w:jc w:val="both"/>
    </w:pPr>
    <w:rPr>
      <w:rFonts w:eastAsia="Times New Roman" w:cs="Times New Roman"/>
      <w:sz w:val="22"/>
      <w:szCs w:val="20"/>
      <w:lang w:eastAsia="en-GB"/>
    </w:rPr>
  </w:style>
  <w:style w:type="character" w:customStyle="1" w:styleId="BodyTextIndent2Char">
    <w:name w:val="Body Text Indent 2 Char"/>
    <w:basedOn w:val="DefaultParagraphFont"/>
    <w:link w:val="BodyTextIndent2"/>
    <w:rsid w:val="00772CA5"/>
    <w:rPr>
      <w:rFonts w:ascii="Arial" w:eastAsia="Times New Roman" w:hAnsi="Arial" w:cs="Times New Roman"/>
      <w:sz w:val="22"/>
      <w:szCs w:val="20"/>
      <w:lang w:eastAsia="en-GB"/>
    </w:rPr>
  </w:style>
  <w:style w:type="paragraph" w:styleId="BodyTextIndent3">
    <w:name w:val="Body Text Indent 3"/>
    <w:basedOn w:val="Normal"/>
    <w:link w:val="BodyTextIndent3Char"/>
    <w:uiPriority w:val="99"/>
    <w:semiHidden/>
    <w:unhideWhenUsed/>
    <w:rsid w:val="00772CA5"/>
    <w:pPr>
      <w:spacing w:after="120" w:line="240" w:lineRule="auto"/>
      <w:ind w:left="283"/>
      <w:jc w:val="both"/>
    </w:pPr>
    <w:rPr>
      <w:rFonts w:eastAsia="Times New Roman" w:cs="Times New Roman"/>
      <w:sz w:val="16"/>
      <w:szCs w:val="16"/>
    </w:rPr>
  </w:style>
  <w:style w:type="character" w:customStyle="1" w:styleId="BodyTextIndent3Char">
    <w:name w:val="Body Text Indent 3 Char"/>
    <w:basedOn w:val="DefaultParagraphFont"/>
    <w:link w:val="BodyTextIndent3"/>
    <w:uiPriority w:val="99"/>
    <w:semiHidden/>
    <w:rsid w:val="00772CA5"/>
    <w:rPr>
      <w:rFonts w:ascii="Arial" w:eastAsia="Times New Roman" w:hAnsi="Arial" w:cs="Times New Roman"/>
      <w:sz w:val="16"/>
      <w:szCs w:val="16"/>
    </w:rPr>
  </w:style>
  <w:style w:type="character" w:styleId="Emphasis">
    <w:name w:val="Emphasis"/>
    <w:basedOn w:val="DefaultParagraphFont"/>
    <w:uiPriority w:val="20"/>
    <w:qFormat/>
    <w:rsid w:val="00283169"/>
    <w:rPr>
      <w:i/>
      <w:iCs/>
    </w:rPr>
  </w:style>
  <w:style w:type="paragraph" w:styleId="Revision">
    <w:name w:val="Revision"/>
    <w:hidden/>
    <w:uiPriority w:val="99"/>
    <w:semiHidden/>
    <w:rsid w:val="00F7305F"/>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policies@mha.org.uk" TargetMode="External"/><Relationship Id="rId4" Type="http://schemas.openxmlformats.org/officeDocument/2006/relationships/settings" Target="settings.xml"/><Relationship Id="rId9" Type="http://schemas.openxmlformats.org/officeDocument/2006/relationships/hyperlink" Target="mailto:hr@mha.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1815D773-F219-495D-8F9E-7A870BE8E577}"/>
</file>

<file path=customXml/itemProps3.xml><?xml version="1.0" encoding="utf-8"?>
<ds:datastoreItem xmlns:ds="http://schemas.openxmlformats.org/officeDocument/2006/customXml" ds:itemID="{0764BA0E-E86B-4C70-9384-02C3A8F2CFDF}"/>
</file>

<file path=customXml/itemProps4.xml><?xml version="1.0" encoding="utf-8"?>
<ds:datastoreItem xmlns:ds="http://schemas.openxmlformats.org/officeDocument/2006/customXml" ds:itemID="{CDBB8B4D-CC31-4C93-98DF-27B291E97DBB}"/>
</file>

<file path=docProps/app.xml><?xml version="1.0" encoding="utf-8"?>
<Properties xmlns="http://schemas.openxmlformats.org/officeDocument/2006/extended-properties" xmlns:vt="http://schemas.openxmlformats.org/officeDocument/2006/docPropsVTypes">
  <Template>Normal</Template>
  <TotalTime>0</TotalTime>
  <Pages>1</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2024-02-01T10:18:00Z</dcterms:created>
  <dcterms:modified xsi:type="dcterms:W3CDTF">2024-02-01T10:18:00Z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