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B9F11" w14:textId="77777777" w:rsidR="00DF67AA" w:rsidRDefault="005E3A1B" w:rsidP="00903AA2">
      <w:pPr>
        <w:rPr>
          <w:spacing w:val="10"/>
        </w:rPr>
      </w:pPr>
      <w:r>
        <w:rPr>
          <w:noProof/>
          <w:spacing w:val="10"/>
        </w:rPr>
        <w:drawing>
          <wp:anchor distT="0" distB="0" distL="114300" distR="114300" simplePos="0" relativeHeight="251658240" behindDoc="0" locked="0" layoutInCell="1" allowOverlap="1" wp14:anchorId="3C506AF2" wp14:editId="742391F7">
            <wp:simplePos x="0" y="0"/>
            <wp:positionH relativeFrom="column">
              <wp:posOffset>0</wp:posOffset>
            </wp:positionH>
            <wp:positionV relativeFrom="page">
              <wp:posOffset>582965</wp:posOffset>
            </wp:positionV>
            <wp:extent cx="1702435" cy="114557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435" cy="1145579"/>
                    </a:xfrm>
                    <a:prstGeom prst="rect">
                      <a:avLst/>
                    </a:prstGeom>
                  </pic:spPr>
                </pic:pic>
              </a:graphicData>
            </a:graphic>
            <wp14:sizeRelH relativeFrom="margin">
              <wp14:pctWidth>0</wp14:pctWidth>
            </wp14:sizeRelH>
            <wp14:sizeRelV relativeFrom="margin">
              <wp14:pctHeight>0</wp14:pctHeight>
            </wp14:sizeRelV>
          </wp:anchor>
        </w:drawing>
      </w:r>
    </w:p>
    <w:p w14:paraId="60823E4B" w14:textId="77777777" w:rsidR="00DF67AA" w:rsidRDefault="00DF67AA" w:rsidP="00903AA2">
      <w:pPr>
        <w:rPr>
          <w:spacing w:val="10"/>
        </w:rPr>
      </w:pPr>
    </w:p>
    <w:p w14:paraId="7F9CAB78" w14:textId="77777777" w:rsidR="00FA1162" w:rsidRDefault="00FA1162" w:rsidP="00903AA2">
      <w:pPr>
        <w:rPr>
          <w:spacing w:val="10"/>
        </w:rPr>
      </w:pPr>
    </w:p>
    <w:p w14:paraId="386B0DD6" w14:textId="77777777" w:rsidR="00DF67AA" w:rsidRDefault="00AF1001" w:rsidP="00070650">
      <w:pPr>
        <w:rPr>
          <w:noProof/>
          <w:spacing w:val="10"/>
        </w:rPr>
      </w:pPr>
      <w:r w:rsidRPr="0063326C">
        <w:rPr>
          <w:noProof/>
          <w:spacing w:val="10"/>
        </w:rPr>
        <mc:AlternateContent>
          <mc:Choice Requires="wps">
            <w:drawing>
              <wp:inline distT="0" distB="0" distL="0" distR="0" wp14:anchorId="13A39896" wp14:editId="5BDB10DE">
                <wp:extent cx="6058894" cy="1932167"/>
                <wp:effectExtent l="0" t="0" r="1841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chemeClr val="accent2"/>
                        </a:solidFill>
                        <a:ln w="9525">
                          <a:solidFill>
                            <a:schemeClr val="accent2"/>
                          </a:solidFill>
                          <a:miter lim="800000"/>
                          <a:headEnd/>
                          <a:tailEnd/>
                        </a:ln>
                      </wps:spPr>
                      <wps:txbx>
                        <w:txbxContent>
                          <w:p w14:paraId="364782F7" w14:textId="77777777" w:rsidR="00746FD3" w:rsidRDefault="00746FD3" w:rsidP="00847753">
                            <w:pPr>
                              <w:pStyle w:val="PolicyCode"/>
                              <w:rPr>
                                <w:b/>
                                <w:bCs/>
                                <w:sz w:val="72"/>
                                <w:szCs w:val="72"/>
                              </w:rPr>
                            </w:pPr>
                            <w:r w:rsidRPr="00746FD3">
                              <w:rPr>
                                <w:b/>
                                <w:bCs/>
                                <w:sz w:val="72"/>
                                <w:szCs w:val="72"/>
                              </w:rPr>
                              <w:t xml:space="preserve">Whistleblowing Policy and Procedure </w:t>
                            </w:r>
                          </w:p>
                          <w:p w14:paraId="5EE32242" w14:textId="77777777" w:rsidR="00746FD3" w:rsidRDefault="00746FD3" w:rsidP="00746FD3">
                            <w:pPr>
                              <w:pStyle w:val="PolicyCode"/>
                            </w:pPr>
                            <w:r>
                              <w:t>HR9.5 Employment Policies</w:t>
                            </w:r>
                          </w:p>
                          <w:p w14:paraId="65D12595" w14:textId="1CB131F8" w:rsidR="00AB4A71" w:rsidRPr="00746FD3" w:rsidRDefault="00CC158C" w:rsidP="00746FD3">
                            <w:pPr>
                              <w:pStyle w:val="PolicyCode"/>
                              <w:rPr>
                                <w:sz w:val="40"/>
                                <w:szCs w:val="40"/>
                              </w:rPr>
                            </w:pPr>
                            <w:r>
                              <w:rPr>
                                <w:sz w:val="40"/>
                                <w:szCs w:val="40"/>
                              </w:rPr>
                              <w:t>October</w:t>
                            </w:r>
                            <w:r w:rsidR="00746FD3" w:rsidRPr="00746FD3">
                              <w:rPr>
                                <w:sz w:val="40"/>
                                <w:szCs w:val="40"/>
                              </w:rPr>
                              <w:t xml:space="preserve"> 2024</w:t>
                            </w:r>
                          </w:p>
                        </w:txbxContent>
                      </wps:txbx>
                      <wps:bodyPr rot="0" vert="horz" wrap="square" lIns="91440" tIns="45720" rIns="91440" bIns="45720" anchor="t" anchorCtr="0">
                        <a:spAutoFit/>
                      </wps:bodyPr>
                    </wps:wsp>
                  </a:graphicData>
                </a:graphic>
              </wp:inline>
            </w:drawing>
          </mc:Choice>
          <mc:Fallback>
            <w:pict>
              <v:shapetype w14:anchorId="13A39896"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" fillcolor="#d4007f [3205]" strokecolor="#d4007f [3205]">
                <v:textbox style="mso-fit-shape-to-text:t">
                  <w:txbxContent>
                    <w:p w14:paraId="364782F7" w14:textId="77777777" w:rsidR="00746FD3" w:rsidRDefault="00746FD3" w:rsidP="00847753">
                      <w:pPr>
                        <w:pStyle w:val="PolicyCode"/>
                        <w:rPr>
                          <w:b/>
                          <w:bCs/>
                          <w:sz w:val="72"/>
                          <w:szCs w:val="72"/>
                        </w:rPr>
                      </w:pPr>
                      <w:r w:rsidRPr="00746FD3">
                        <w:rPr>
                          <w:b/>
                          <w:bCs/>
                          <w:sz w:val="72"/>
                          <w:szCs w:val="72"/>
                        </w:rPr>
                        <w:t xml:space="preserve">Whistleblowing Policy and Procedure </w:t>
                      </w:r>
                    </w:p>
                    <w:p w14:paraId="5EE32242" w14:textId="77777777" w:rsidR="00746FD3" w:rsidRDefault="00746FD3" w:rsidP="00746FD3">
                      <w:pPr>
                        <w:pStyle w:val="PolicyCode"/>
                      </w:pPr>
                      <w:r>
                        <w:t>HR9.5 Employment Policies</w:t>
                      </w:r>
                    </w:p>
                    <w:p w14:paraId="65D12595" w14:textId="1CB131F8" w:rsidR="00AB4A71" w:rsidRPr="00746FD3" w:rsidRDefault="00CC158C" w:rsidP="00746FD3">
                      <w:pPr>
                        <w:pStyle w:val="PolicyCode"/>
                        <w:rPr>
                          <w:sz w:val="40"/>
                          <w:szCs w:val="40"/>
                        </w:rPr>
                      </w:pPr>
                      <w:r>
                        <w:rPr>
                          <w:sz w:val="40"/>
                          <w:szCs w:val="40"/>
                        </w:rPr>
                        <w:t>October</w:t>
                      </w:r>
                      <w:r w:rsidR="00746FD3" w:rsidRPr="00746FD3">
                        <w:rPr>
                          <w:sz w:val="40"/>
                          <w:szCs w:val="40"/>
                        </w:rPr>
                        <w:t xml:space="preserve"> 2024</w:t>
                      </w:r>
                    </w:p>
                  </w:txbxContent>
                </v:textbox>
                <w10:anchorlock/>
              </v:shape>
            </w:pict>
          </mc:Fallback>
        </mc:AlternateContent>
      </w:r>
      <w:bookmarkStart w:id="0" w:name="TOC"/>
      <w:bookmarkStart w:id="1" w:name="_Toc117508253"/>
      <w:bookmarkStart w:id="2" w:name="_Toc117269235"/>
      <w:bookmarkStart w:id="3" w:name="_Toc117268426"/>
      <w:bookmarkStart w:id="4" w:name="_Toc117507165"/>
      <w:bookmarkStart w:id="5" w:name="_Toc117507298"/>
      <w:bookmarkEnd w:id="0"/>
    </w:p>
    <w:p w14:paraId="7DFE8C4D" w14:textId="77777777" w:rsidR="00717A8D" w:rsidRDefault="00717A8D" w:rsidP="00847753">
      <w:pPr>
        <w:rPr>
          <w:noProof/>
        </w:rPr>
      </w:pPr>
    </w:p>
    <w:sdt>
      <w:sdtPr>
        <w:rPr>
          <w:rFonts w:cs="Arial"/>
          <w:b/>
          <w:bCs/>
          <w:noProof/>
          <w:sz w:val="28"/>
          <w:szCs w:val="28"/>
        </w:rPr>
        <w:id w:val="-570964030"/>
        <w:docPartObj>
          <w:docPartGallery w:val="Table of Contents"/>
          <w:docPartUnique/>
        </w:docPartObj>
      </w:sdtPr>
      <w:sdtEndPr>
        <w:rPr>
          <w:rFonts w:cstheme="minorBidi"/>
          <w:b w:val="0"/>
          <w:bCs w:val="0"/>
          <w:sz w:val="24"/>
          <w:szCs w:val="24"/>
        </w:rPr>
      </w:sdtEndPr>
      <w:sdtContent>
        <w:bookmarkEnd w:id="5" w:displacedByCustomXml="prev"/>
        <w:bookmarkEnd w:id="4" w:displacedByCustomXml="prev"/>
        <w:bookmarkEnd w:id="3" w:displacedByCustomXml="prev"/>
        <w:bookmarkEnd w:id="2" w:displacedByCustomXml="prev"/>
        <w:bookmarkEnd w:id="1" w:displacedByCustomXml="prev"/>
        <w:p w14:paraId="295963B4" w14:textId="77777777" w:rsidR="00DF67AA" w:rsidRDefault="00471203" w:rsidP="00070650">
          <w:pPr>
            <w:rPr>
              <w:rFonts w:cs="Arial"/>
              <w:b/>
              <w:bCs/>
              <w:sz w:val="28"/>
              <w:szCs w:val="28"/>
            </w:rPr>
          </w:pPr>
          <w:r w:rsidRPr="00070650">
            <w:rPr>
              <w:rFonts w:cs="Arial"/>
              <w:b/>
              <w:bCs/>
              <w:sz w:val="28"/>
              <w:szCs w:val="28"/>
            </w:rPr>
            <w:t>Contents</w:t>
          </w:r>
        </w:p>
        <w:p w14:paraId="60A8422E" w14:textId="45E66764" w:rsidR="003E14CE" w:rsidRDefault="00F91DD0">
          <w:pPr>
            <w:pStyle w:val="TOC1"/>
            <w:rPr>
              <w:rFonts w:asciiTheme="minorHAnsi" w:eastAsiaTheme="minorEastAsia" w:hAnsiTheme="minorHAnsi"/>
              <w:kern w:val="2"/>
              <w:lang w:eastAsia="en-GB"/>
              <w14:ligatures w14:val="standardContextual"/>
            </w:rPr>
          </w:pPr>
          <w:r>
            <w:rPr>
              <w:rFonts w:cs="Arial"/>
              <w:spacing w:val="7"/>
            </w:rPr>
            <w:fldChar w:fldCharType="begin"/>
          </w:r>
          <w:r>
            <w:rPr>
              <w:rFonts w:cs="Arial"/>
              <w:spacing w:val="7"/>
            </w:rPr>
            <w:instrText xml:space="preserve"> TOC \h \z \t "Heading 1 Numbered,1,Heading 2 Numbered,2" </w:instrText>
          </w:r>
          <w:r>
            <w:rPr>
              <w:rFonts w:cs="Arial"/>
              <w:spacing w:val="7"/>
            </w:rPr>
            <w:fldChar w:fldCharType="separate"/>
          </w:r>
          <w:hyperlink w:anchor="_Toc179367018" w:history="1">
            <w:r w:rsidR="003E14CE" w:rsidRPr="00916237">
              <w:rPr>
                <w:rStyle w:val="Hyperlink"/>
              </w:rPr>
              <w:t>1</w:t>
            </w:r>
            <w:r w:rsidR="003E14CE">
              <w:rPr>
                <w:rFonts w:asciiTheme="minorHAnsi" w:eastAsiaTheme="minorEastAsia" w:hAnsiTheme="minorHAnsi"/>
                <w:kern w:val="2"/>
                <w:lang w:eastAsia="en-GB"/>
                <w14:ligatures w14:val="standardContextual"/>
              </w:rPr>
              <w:tab/>
            </w:r>
            <w:r w:rsidR="003E14CE" w:rsidRPr="00916237">
              <w:rPr>
                <w:rStyle w:val="Hyperlink"/>
              </w:rPr>
              <w:t>Introduction</w:t>
            </w:r>
            <w:r w:rsidR="003E14CE">
              <w:rPr>
                <w:webHidden/>
              </w:rPr>
              <w:tab/>
            </w:r>
            <w:r w:rsidR="003E14CE">
              <w:rPr>
                <w:webHidden/>
              </w:rPr>
              <w:fldChar w:fldCharType="begin"/>
            </w:r>
            <w:r w:rsidR="003E14CE">
              <w:rPr>
                <w:webHidden/>
              </w:rPr>
              <w:instrText xml:space="preserve"> PAGEREF _Toc179367018 \h </w:instrText>
            </w:r>
            <w:r w:rsidR="003E14CE">
              <w:rPr>
                <w:webHidden/>
              </w:rPr>
            </w:r>
            <w:r w:rsidR="003E14CE">
              <w:rPr>
                <w:webHidden/>
              </w:rPr>
              <w:fldChar w:fldCharType="separate"/>
            </w:r>
            <w:r w:rsidR="00043D49">
              <w:rPr>
                <w:webHidden/>
              </w:rPr>
              <w:t>2</w:t>
            </w:r>
            <w:r w:rsidR="003E14CE">
              <w:rPr>
                <w:webHidden/>
              </w:rPr>
              <w:fldChar w:fldCharType="end"/>
            </w:r>
          </w:hyperlink>
        </w:p>
        <w:p w14:paraId="31FFC19E" w14:textId="4E5269CB" w:rsidR="003E14CE" w:rsidRDefault="003E14CE">
          <w:pPr>
            <w:pStyle w:val="TOC1"/>
            <w:rPr>
              <w:rFonts w:asciiTheme="minorHAnsi" w:eastAsiaTheme="minorEastAsia" w:hAnsiTheme="minorHAnsi"/>
              <w:kern w:val="2"/>
              <w:lang w:eastAsia="en-GB"/>
              <w14:ligatures w14:val="standardContextual"/>
            </w:rPr>
          </w:pPr>
          <w:hyperlink w:anchor="_Toc179367019" w:history="1">
            <w:r w:rsidRPr="00916237">
              <w:rPr>
                <w:rStyle w:val="Hyperlink"/>
              </w:rPr>
              <w:t>2</w:t>
            </w:r>
            <w:r>
              <w:rPr>
                <w:rFonts w:asciiTheme="minorHAnsi" w:eastAsiaTheme="minorEastAsia" w:hAnsiTheme="minorHAnsi"/>
                <w:kern w:val="2"/>
                <w:lang w:eastAsia="en-GB"/>
                <w14:ligatures w14:val="standardContextual"/>
              </w:rPr>
              <w:tab/>
            </w:r>
            <w:r w:rsidRPr="00916237">
              <w:rPr>
                <w:rStyle w:val="Hyperlink"/>
              </w:rPr>
              <w:t>Scope and Purpose</w:t>
            </w:r>
            <w:r>
              <w:rPr>
                <w:webHidden/>
              </w:rPr>
              <w:tab/>
            </w:r>
            <w:r>
              <w:rPr>
                <w:webHidden/>
              </w:rPr>
              <w:fldChar w:fldCharType="begin"/>
            </w:r>
            <w:r>
              <w:rPr>
                <w:webHidden/>
              </w:rPr>
              <w:instrText xml:space="preserve"> PAGEREF _Toc179367019 \h </w:instrText>
            </w:r>
            <w:r>
              <w:rPr>
                <w:webHidden/>
              </w:rPr>
            </w:r>
            <w:r>
              <w:rPr>
                <w:webHidden/>
              </w:rPr>
              <w:fldChar w:fldCharType="separate"/>
            </w:r>
            <w:r w:rsidR="00043D49">
              <w:rPr>
                <w:webHidden/>
              </w:rPr>
              <w:t>3</w:t>
            </w:r>
            <w:r>
              <w:rPr>
                <w:webHidden/>
              </w:rPr>
              <w:fldChar w:fldCharType="end"/>
            </w:r>
          </w:hyperlink>
        </w:p>
        <w:p w14:paraId="3BB39B3F" w14:textId="2A3C76CC" w:rsidR="003E14CE" w:rsidRDefault="003E14CE">
          <w:pPr>
            <w:pStyle w:val="TOC1"/>
            <w:rPr>
              <w:rFonts w:asciiTheme="minorHAnsi" w:eastAsiaTheme="minorEastAsia" w:hAnsiTheme="minorHAnsi"/>
              <w:kern w:val="2"/>
              <w:lang w:eastAsia="en-GB"/>
              <w14:ligatures w14:val="standardContextual"/>
            </w:rPr>
          </w:pPr>
          <w:hyperlink w:anchor="_Toc179367020" w:history="1">
            <w:r w:rsidRPr="00916237">
              <w:rPr>
                <w:rStyle w:val="Hyperlink"/>
              </w:rPr>
              <w:t>3</w:t>
            </w:r>
            <w:r>
              <w:rPr>
                <w:rFonts w:asciiTheme="minorHAnsi" w:eastAsiaTheme="minorEastAsia" w:hAnsiTheme="minorHAnsi"/>
                <w:kern w:val="2"/>
                <w:lang w:eastAsia="en-GB"/>
                <w14:ligatures w14:val="standardContextual"/>
              </w:rPr>
              <w:tab/>
            </w:r>
            <w:r w:rsidRPr="00916237">
              <w:rPr>
                <w:rStyle w:val="Hyperlink"/>
              </w:rPr>
              <w:t>Definitions</w:t>
            </w:r>
            <w:r>
              <w:rPr>
                <w:webHidden/>
              </w:rPr>
              <w:tab/>
            </w:r>
            <w:r>
              <w:rPr>
                <w:webHidden/>
              </w:rPr>
              <w:fldChar w:fldCharType="begin"/>
            </w:r>
            <w:r>
              <w:rPr>
                <w:webHidden/>
              </w:rPr>
              <w:instrText xml:space="preserve"> PAGEREF _Toc179367020 \h </w:instrText>
            </w:r>
            <w:r>
              <w:rPr>
                <w:webHidden/>
              </w:rPr>
            </w:r>
            <w:r>
              <w:rPr>
                <w:webHidden/>
              </w:rPr>
              <w:fldChar w:fldCharType="separate"/>
            </w:r>
            <w:r w:rsidR="00043D49">
              <w:rPr>
                <w:webHidden/>
              </w:rPr>
              <w:t>3</w:t>
            </w:r>
            <w:r>
              <w:rPr>
                <w:webHidden/>
              </w:rPr>
              <w:fldChar w:fldCharType="end"/>
            </w:r>
          </w:hyperlink>
        </w:p>
        <w:p w14:paraId="74579959" w14:textId="78778924" w:rsidR="003E14CE" w:rsidRDefault="003E14CE">
          <w:pPr>
            <w:pStyle w:val="TOC1"/>
            <w:rPr>
              <w:rFonts w:asciiTheme="minorHAnsi" w:eastAsiaTheme="minorEastAsia" w:hAnsiTheme="minorHAnsi"/>
              <w:kern w:val="2"/>
              <w:lang w:eastAsia="en-GB"/>
              <w14:ligatures w14:val="standardContextual"/>
            </w:rPr>
          </w:pPr>
          <w:hyperlink w:anchor="_Toc179367021" w:history="1">
            <w:r w:rsidRPr="00916237">
              <w:rPr>
                <w:rStyle w:val="Hyperlink"/>
              </w:rPr>
              <w:t>4</w:t>
            </w:r>
            <w:r>
              <w:rPr>
                <w:rFonts w:asciiTheme="minorHAnsi" w:eastAsiaTheme="minorEastAsia" w:hAnsiTheme="minorHAnsi"/>
                <w:kern w:val="2"/>
                <w:lang w:eastAsia="en-GB"/>
                <w14:ligatures w14:val="standardContextual"/>
              </w:rPr>
              <w:tab/>
            </w:r>
            <w:r w:rsidRPr="00916237">
              <w:rPr>
                <w:rStyle w:val="Hyperlink"/>
              </w:rPr>
              <w:t>Safeguarding, Grievance, and Complaint Related Concerns</w:t>
            </w:r>
            <w:r>
              <w:rPr>
                <w:webHidden/>
              </w:rPr>
              <w:tab/>
            </w:r>
            <w:r>
              <w:rPr>
                <w:webHidden/>
              </w:rPr>
              <w:fldChar w:fldCharType="begin"/>
            </w:r>
            <w:r>
              <w:rPr>
                <w:webHidden/>
              </w:rPr>
              <w:instrText xml:space="preserve"> PAGEREF _Toc179367021 \h </w:instrText>
            </w:r>
            <w:r>
              <w:rPr>
                <w:webHidden/>
              </w:rPr>
            </w:r>
            <w:r>
              <w:rPr>
                <w:webHidden/>
              </w:rPr>
              <w:fldChar w:fldCharType="separate"/>
            </w:r>
            <w:r w:rsidR="00043D49">
              <w:rPr>
                <w:webHidden/>
              </w:rPr>
              <w:t>4</w:t>
            </w:r>
            <w:r>
              <w:rPr>
                <w:webHidden/>
              </w:rPr>
              <w:fldChar w:fldCharType="end"/>
            </w:r>
          </w:hyperlink>
        </w:p>
        <w:p w14:paraId="5FA2E6E3" w14:textId="5BCB4DE9" w:rsidR="003E14CE" w:rsidRDefault="003E14CE">
          <w:pPr>
            <w:pStyle w:val="TOC1"/>
            <w:rPr>
              <w:rFonts w:asciiTheme="minorHAnsi" w:eastAsiaTheme="minorEastAsia" w:hAnsiTheme="minorHAnsi"/>
              <w:kern w:val="2"/>
              <w:lang w:eastAsia="en-GB"/>
              <w14:ligatures w14:val="standardContextual"/>
            </w:rPr>
          </w:pPr>
          <w:hyperlink w:anchor="_Toc179367022" w:history="1">
            <w:r w:rsidRPr="00916237">
              <w:rPr>
                <w:rStyle w:val="Hyperlink"/>
              </w:rPr>
              <w:t>5</w:t>
            </w:r>
            <w:r>
              <w:rPr>
                <w:rFonts w:asciiTheme="minorHAnsi" w:eastAsiaTheme="minorEastAsia" w:hAnsiTheme="minorHAnsi"/>
                <w:kern w:val="2"/>
                <w:lang w:eastAsia="en-GB"/>
                <w14:ligatures w14:val="standardContextual"/>
              </w:rPr>
              <w:tab/>
            </w:r>
            <w:r w:rsidRPr="00916237">
              <w:rPr>
                <w:rStyle w:val="Hyperlink"/>
              </w:rPr>
              <w:t>Independent Advice and Support</w:t>
            </w:r>
            <w:r>
              <w:rPr>
                <w:webHidden/>
              </w:rPr>
              <w:tab/>
            </w:r>
            <w:r>
              <w:rPr>
                <w:webHidden/>
              </w:rPr>
              <w:fldChar w:fldCharType="begin"/>
            </w:r>
            <w:r>
              <w:rPr>
                <w:webHidden/>
              </w:rPr>
              <w:instrText xml:space="preserve"> PAGEREF _Toc179367022 \h </w:instrText>
            </w:r>
            <w:r>
              <w:rPr>
                <w:webHidden/>
              </w:rPr>
            </w:r>
            <w:r>
              <w:rPr>
                <w:webHidden/>
              </w:rPr>
              <w:fldChar w:fldCharType="separate"/>
            </w:r>
            <w:r w:rsidR="00043D49">
              <w:rPr>
                <w:webHidden/>
              </w:rPr>
              <w:t>5</w:t>
            </w:r>
            <w:r>
              <w:rPr>
                <w:webHidden/>
              </w:rPr>
              <w:fldChar w:fldCharType="end"/>
            </w:r>
          </w:hyperlink>
        </w:p>
        <w:p w14:paraId="0780808A" w14:textId="00DEB9FA" w:rsidR="003E14CE" w:rsidRDefault="003E14CE">
          <w:pPr>
            <w:pStyle w:val="TOC1"/>
            <w:rPr>
              <w:rFonts w:asciiTheme="minorHAnsi" w:eastAsiaTheme="minorEastAsia" w:hAnsiTheme="minorHAnsi"/>
              <w:kern w:val="2"/>
              <w:lang w:eastAsia="en-GB"/>
              <w14:ligatures w14:val="standardContextual"/>
            </w:rPr>
          </w:pPr>
          <w:hyperlink w:anchor="_Toc179367023" w:history="1">
            <w:r w:rsidRPr="00916237">
              <w:rPr>
                <w:rStyle w:val="Hyperlink"/>
              </w:rPr>
              <w:t>6</w:t>
            </w:r>
            <w:r>
              <w:rPr>
                <w:rFonts w:asciiTheme="minorHAnsi" w:eastAsiaTheme="minorEastAsia" w:hAnsiTheme="minorHAnsi"/>
                <w:kern w:val="2"/>
                <w:lang w:eastAsia="en-GB"/>
                <w14:ligatures w14:val="standardContextual"/>
              </w:rPr>
              <w:tab/>
            </w:r>
            <w:r w:rsidRPr="00916237">
              <w:rPr>
                <w:rStyle w:val="Hyperlink"/>
              </w:rPr>
              <w:t>Your Safety</w:t>
            </w:r>
            <w:r>
              <w:rPr>
                <w:webHidden/>
              </w:rPr>
              <w:tab/>
            </w:r>
            <w:r>
              <w:rPr>
                <w:webHidden/>
              </w:rPr>
              <w:fldChar w:fldCharType="begin"/>
            </w:r>
            <w:r>
              <w:rPr>
                <w:webHidden/>
              </w:rPr>
              <w:instrText xml:space="preserve"> PAGEREF _Toc179367023 \h </w:instrText>
            </w:r>
            <w:r>
              <w:rPr>
                <w:webHidden/>
              </w:rPr>
            </w:r>
            <w:r>
              <w:rPr>
                <w:webHidden/>
              </w:rPr>
              <w:fldChar w:fldCharType="separate"/>
            </w:r>
            <w:r w:rsidR="00043D49">
              <w:rPr>
                <w:webHidden/>
              </w:rPr>
              <w:t>5</w:t>
            </w:r>
            <w:r>
              <w:rPr>
                <w:webHidden/>
              </w:rPr>
              <w:fldChar w:fldCharType="end"/>
            </w:r>
          </w:hyperlink>
        </w:p>
        <w:p w14:paraId="67CFDB16" w14:textId="4C5A2282" w:rsidR="003E14CE" w:rsidRDefault="003E14CE">
          <w:pPr>
            <w:pStyle w:val="TOC1"/>
            <w:rPr>
              <w:rFonts w:asciiTheme="minorHAnsi" w:eastAsiaTheme="minorEastAsia" w:hAnsiTheme="minorHAnsi"/>
              <w:kern w:val="2"/>
              <w:lang w:eastAsia="en-GB"/>
              <w14:ligatures w14:val="standardContextual"/>
            </w:rPr>
          </w:pPr>
          <w:hyperlink w:anchor="_Toc179367024" w:history="1">
            <w:r w:rsidRPr="00916237">
              <w:rPr>
                <w:rStyle w:val="Hyperlink"/>
              </w:rPr>
              <w:t>7</w:t>
            </w:r>
            <w:r>
              <w:rPr>
                <w:rFonts w:asciiTheme="minorHAnsi" w:eastAsiaTheme="minorEastAsia" w:hAnsiTheme="minorHAnsi"/>
                <w:kern w:val="2"/>
                <w:lang w:eastAsia="en-GB"/>
                <w14:ligatures w14:val="standardContextual"/>
              </w:rPr>
              <w:tab/>
            </w:r>
            <w:r w:rsidRPr="00916237">
              <w:rPr>
                <w:rStyle w:val="Hyperlink"/>
              </w:rPr>
              <w:t>Confidentiality</w:t>
            </w:r>
            <w:r>
              <w:rPr>
                <w:webHidden/>
              </w:rPr>
              <w:tab/>
            </w:r>
            <w:r>
              <w:rPr>
                <w:webHidden/>
              </w:rPr>
              <w:fldChar w:fldCharType="begin"/>
            </w:r>
            <w:r>
              <w:rPr>
                <w:webHidden/>
              </w:rPr>
              <w:instrText xml:space="preserve"> PAGEREF _Toc179367024 \h </w:instrText>
            </w:r>
            <w:r>
              <w:rPr>
                <w:webHidden/>
              </w:rPr>
            </w:r>
            <w:r>
              <w:rPr>
                <w:webHidden/>
              </w:rPr>
              <w:fldChar w:fldCharType="separate"/>
            </w:r>
            <w:r w:rsidR="00043D49">
              <w:rPr>
                <w:webHidden/>
              </w:rPr>
              <w:t>5</w:t>
            </w:r>
            <w:r>
              <w:rPr>
                <w:webHidden/>
              </w:rPr>
              <w:fldChar w:fldCharType="end"/>
            </w:r>
          </w:hyperlink>
        </w:p>
        <w:p w14:paraId="2C14DA99" w14:textId="0C9F9100" w:rsidR="003E14CE" w:rsidRDefault="003E14CE">
          <w:pPr>
            <w:pStyle w:val="TOC1"/>
            <w:rPr>
              <w:rFonts w:asciiTheme="minorHAnsi" w:eastAsiaTheme="minorEastAsia" w:hAnsiTheme="minorHAnsi"/>
              <w:kern w:val="2"/>
              <w:lang w:eastAsia="en-GB"/>
              <w14:ligatures w14:val="standardContextual"/>
            </w:rPr>
          </w:pPr>
          <w:hyperlink w:anchor="_Toc179367025" w:history="1">
            <w:r w:rsidRPr="00916237">
              <w:rPr>
                <w:rStyle w:val="Hyperlink"/>
              </w:rPr>
              <w:t>8</w:t>
            </w:r>
            <w:r>
              <w:rPr>
                <w:rFonts w:asciiTheme="minorHAnsi" w:eastAsiaTheme="minorEastAsia" w:hAnsiTheme="minorHAnsi"/>
                <w:kern w:val="2"/>
                <w:lang w:eastAsia="en-GB"/>
                <w14:ligatures w14:val="standardContextual"/>
              </w:rPr>
              <w:tab/>
            </w:r>
            <w:r w:rsidRPr="00916237">
              <w:rPr>
                <w:rStyle w:val="Hyperlink"/>
              </w:rPr>
              <w:t>How to Raise a Concern Internally - Procedure</w:t>
            </w:r>
            <w:r>
              <w:rPr>
                <w:webHidden/>
              </w:rPr>
              <w:tab/>
            </w:r>
            <w:r>
              <w:rPr>
                <w:webHidden/>
              </w:rPr>
              <w:fldChar w:fldCharType="begin"/>
            </w:r>
            <w:r>
              <w:rPr>
                <w:webHidden/>
              </w:rPr>
              <w:instrText xml:space="preserve"> PAGEREF _Toc179367025 \h </w:instrText>
            </w:r>
            <w:r>
              <w:rPr>
                <w:webHidden/>
              </w:rPr>
            </w:r>
            <w:r>
              <w:rPr>
                <w:webHidden/>
              </w:rPr>
              <w:fldChar w:fldCharType="separate"/>
            </w:r>
            <w:r w:rsidR="00043D49">
              <w:rPr>
                <w:webHidden/>
              </w:rPr>
              <w:t>6</w:t>
            </w:r>
            <w:r>
              <w:rPr>
                <w:webHidden/>
              </w:rPr>
              <w:fldChar w:fldCharType="end"/>
            </w:r>
          </w:hyperlink>
        </w:p>
        <w:p w14:paraId="3712DFDF" w14:textId="750043E1" w:rsidR="003E14CE" w:rsidRDefault="003E14CE">
          <w:pPr>
            <w:pStyle w:val="TOC1"/>
            <w:rPr>
              <w:rFonts w:asciiTheme="minorHAnsi" w:eastAsiaTheme="minorEastAsia" w:hAnsiTheme="minorHAnsi"/>
              <w:kern w:val="2"/>
              <w:lang w:eastAsia="en-GB"/>
              <w14:ligatures w14:val="standardContextual"/>
            </w:rPr>
          </w:pPr>
          <w:hyperlink w:anchor="_Toc179367026" w:history="1">
            <w:r w:rsidRPr="00916237">
              <w:rPr>
                <w:rStyle w:val="Hyperlink"/>
              </w:rPr>
              <w:t>9</w:t>
            </w:r>
            <w:r>
              <w:rPr>
                <w:rFonts w:asciiTheme="minorHAnsi" w:eastAsiaTheme="minorEastAsia" w:hAnsiTheme="minorHAnsi"/>
                <w:kern w:val="2"/>
                <w:lang w:eastAsia="en-GB"/>
                <w14:ligatures w14:val="standardContextual"/>
              </w:rPr>
              <w:tab/>
            </w:r>
            <w:r w:rsidRPr="00916237">
              <w:rPr>
                <w:rStyle w:val="Hyperlink"/>
              </w:rPr>
              <w:t>Investigating your Concern</w:t>
            </w:r>
            <w:r>
              <w:rPr>
                <w:webHidden/>
              </w:rPr>
              <w:tab/>
            </w:r>
            <w:r>
              <w:rPr>
                <w:webHidden/>
              </w:rPr>
              <w:fldChar w:fldCharType="begin"/>
            </w:r>
            <w:r>
              <w:rPr>
                <w:webHidden/>
              </w:rPr>
              <w:instrText xml:space="preserve"> PAGEREF _Toc179367026 \h </w:instrText>
            </w:r>
            <w:r>
              <w:rPr>
                <w:webHidden/>
              </w:rPr>
            </w:r>
            <w:r>
              <w:rPr>
                <w:webHidden/>
              </w:rPr>
              <w:fldChar w:fldCharType="separate"/>
            </w:r>
            <w:r w:rsidR="00043D49">
              <w:rPr>
                <w:webHidden/>
              </w:rPr>
              <w:t>7</w:t>
            </w:r>
            <w:r>
              <w:rPr>
                <w:webHidden/>
              </w:rPr>
              <w:fldChar w:fldCharType="end"/>
            </w:r>
          </w:hyperlink>
        </w:p>
        <w:p w14:paraId="6A234201" w14:textId="58F31B26" w:rsidR="003E14CE" w:rsidRDefault="003E14CE">
          <w:pPr>
            <w:pStyle w:val="TOC1"/>
            <w:rPr>
              <w:rFonts w:asciiTheme="minorHAnsi" w:eastAsiaTheme="minorEastAsia" w:hAnsiTheme="minorHAnsi"/>
              <w:kern w:val="2"/>
              <w:lang w:eastAsia="en-GB"/>
              <w14:ligatures w14:val="standardContextual"/>
            </w:rPr>
          </w:pPr>
          <w:hyperlink w:anchor="_Toc179367027" w:history="1">
            <w:r w:rsidRPr="00916237">
              <w:rPr>
                <w:rStyle w:val="Hyperlink"/>
              </w:rPr>
              <w:t>10</w:t>
            </w:r>
            <w:r>
              <w:rPr>
                <w:rFonts w:asciiTheme="minorHAnsi" w:eastAsiaTheme="minorEastAsia" w:hAnsiTheme="minorHAnsi"/>
                <w:kern w:val="2"/>
                <w:lang w:eastAsia="en-GB"/>
                <w14:ligatures w14:val="standardContextual"/>
              </w:rPr>
              <w:tab/>
            </w:r>
            <w:r w:rsidRPr="00916237">
              <w:rPr>
                <w:rStyle w:val="Hyperlink"/>
              </w:rPr>
              <w:t>Raising a Concern Externally - Procedure</w:t>
            </w:r>
            <w:r>
              <w:rPr>
                <w:webHidden/>
              </w:rPr>
              <w:tab/>
            </w:r>
            <w:r>
              <w:rPr>
                <w:webHidden/>
              </w:rPr>
              <w:fldChar w:fldCharType="begin"/>
            </w:r>
            <w:r>
              <w:rPr>
                <w:webHidden/>
              </w:rPr>
              <w:instrText xml:space="preserve"> PAGEREF _Toc179367027 \h </w:instrText>
            </w:r>
            <w:r>
              <w:rPr>
                <w:webHidden/>
              </w:rPr>
            </w:r>
            <w:r>
              <w:rPr>
                <w:webHidden/>
              </w:rPr>
              <w:fldChar w:fldCharType="separate"/>
            </w:r>
            <w:r w:rsidR="00043D49">
              <w:rPr>
                <w:webHidden/>
              </w:rPr>
              <w:t>10</w:t>
            </w:r>
            <w:r>
              <w:rPr>
                <w:webHidden/>
              </w:rPr>
              <w:fldChar w:fldCharType="end"/>
            </w:r>
          </w:hyperlink>
        </w:p>
        <w:p w14:paraId="65A811F4" w14:textId="793FFBA4" w:rsidR="003E14CE" w:rsidRDefault="003E14CE">
          <w:pPr>
            <w:pStyle w:val="TOC1"/>
            <w:rPr>
              <w:rFonts w:asciiTheme="minorHAnsi" w:eastAsiaTheme="minorEastAsia" w:hAnsiTheme="minorHAnsi"/>
              <w:kern w:val="2"/>
              <w:lang w:eastAsia="en-GB"/>
              <w14:ligatures w14:val="standardContextual"/>
            </w:rPr>
          </w:pPr>
          <w:hyperlink w:anchor="_Toc179367028" w:history="1">
            <w:r w:rsidRPr="00916237">
              <w:rPr>
                <w:rStyle w:val="Hyperlink"/>
              </w:rPr>
              <w:t>11</w:t>
            </w:r>
            <w:r>
              <w:rPr>
                <w:rFonts w:asciiTheme="minorHAnsi" w:eastAsiaTheme="minorEastAsia" w:hAnsiTheme="minorHAnsi"/>
                <w:kern w:val="2"/>
                <w:lang w:eastAsia="en-GB"/>
                <w14:ligatures w14:val="standardContextual"/>
              </w:rPr>
              <w:tab/>
            </w:r>
            <w:r w:rsidRPr="00916237">
              <w:rPr>
                <w:rStyle w:val="Hyperlink"/>
              </w:rPr>
              <w:t>Legal Protection</w:t>
            </w:r>
            <w:r>
              <w:rPr>
                <w:webHidden/>
              </w:rPr>
              <w:tab/>
            </w:r>
            <w:r>
              <w:rPr>
                <w:webHidden/>
              </w:rPr>
              <w:fldChar w:fldCharType="begin"/>
            </w:r>
            <w:r>
              <w:rPr>
                <w:webHidden/>
              </w:rPr>
              <w:instrText xml:space="preserve"> PAGEREF _Toc179367028 \h </w:instrText>
            </w:r>
            <w:r>
              <w:rPr>
                <w:webHidden/>
              </w:rPr>
            </w:r>
            <w:r>
              <w:rPr>
                <w:webHidden/>
              </w:rPr>
              <w:fldChar w:fldCharType="separate"/>
            </w:r>
            <w:r w:rsidR="00043D49">
              <w:rPr>
                <w:webHidden/>
              </w:rPr>
              <w:t>11</w:t>
            </w:r>
            <w:r>
              <w:rPr>
                <w:webHidden/>
              </w:rPr>
              <w:fldChar w:fldCharType="end"/>
            </w:r>
          </w:hyperlink>
        </w:p>
        <w:p w14:paraId="7BC5A590" w14:textId="66588E2F" w:rsidR="003E14CE" w:rsidRDefault="003E14CE">
          <w:pPr>
            <w:pStyle w:val="TOC1"/>
            <w:rPr>
              <w:rFonts w:asciiTheme="minorHAnsi" w:eastAsiaTheme="minorEastAsia" w:hAnsiTheme="minorHAnsi"/>
              <w:kern w:val="2"/>
              <w:lang w:eastAsia="en-GB"/>
              <w14:ligatures w14:val="standardContextual"/>
            </w:rPr>
          </w:pPr>
          <w:hyperlink w:anchor="_Toc179367029" w:history="1">
            <w:r w:rsidRPr="00916237">
              <w:rPr>
                <w:rStyle w:val="Hyperlink"/>
              </w:rPr>
              <w:t>12</w:t>
            </w:r>
            <w:r>
              <w:rPr>
                <w:rFonts w:asciiTheme="minorHAnsi" w:eastAsiaTheme="minorEastAsia" w:hAnsiTheme="minorHAnsi"/>
                <w:kern w:val="2"/>
                <w:lang w:eastAsia="en-GB"/>
                <w14:ligatures w14:val="standardContextual"/>
              </w:rPr>
              <w:tab/>
            </w:r>
            <w:r w:rsidRPr="00916237">
              <w:rPr>
                <w:rStyle w:val="Hyperlink"/>
              </w:rPr>
              <w:t>Roles and Responsibilities</w:t>
            </w:r>
            <w:r>
              <w:rPr>
                <w:webHidden/>
              </w:rPr>
              <w:tab/>
            </w:r>
            <w:r>
              <w:rPr>
                <w:webHidden/>
              </w:rPr>
              <w:fldChar w:fldCharType="begin"/>
            </w:r>
            <w:r>
              <w:rPr>
                <w:webHidden/>
              </w:rPr>
              <w:instrText xml:space="preserve"> PAGEREF _Toc179367029 \h </w:instrText>
            </w:r>
            <w:r>
              <w:rPr>
                <w:webHidden/>
              </w:rPr>
            </w:r>
            <w:r>
              <w:rPr>
                <w:webHidden/>
              </w:rPr>
              <w:fldChar w:fldCharType="separate"/>
            </w:r>
            <w:r w:rsidR="00043D49">
              <w:rPr>
                <w:webHidden/>
              </w:rPr>
              <w:t>11</w:t>
            </w:r>
            <w:r>
              <w:rPr>
                <w:webHidden/>
              </w:rPr>
              <w:fldChar w:fldCharType="end"/>
            </w:r>
          </w:hyperlink>
        </w:p>
        <w:p w14:paraId="686D830A" w14:textId="38B42D99" w:rsidR="003E14CE" w:rsidRDefault="003E14CE">
          <w:pPr>
            <w:pStyle w:val="TOC1"/>
            <w:rPr>
              <w:rFonts w:asciiTheme="minorHAnsi" w:eastAsiaTheme="minorEastAsia" w:hAnsiTheme="minorHAnsi"/>
              <w:kern w:val="2"/>
              <w:lang w:eastAsia="en-GB"/>
              <w14:ligatures w14:val="standardContextual"/>
            </w:rPr>
          </w:pPr>
          <w:hyperlink w:anchor="_Toc179367030" w:history="1">
            <w:r w:rsidRPr="00916237">
              <w:rPr>
                <w:rStyle w:val="Hyperlink"/>
              </w:rPr>
              <w:t>13</w:t>
            </w:r>
            <w:r>
              <w:rPr>
                <w:rFonts w:asciiTheme="minorHAnsi" w:eastAsiaTheme="minorEastAsia" w:hAnsiTheme="minorHAnsi"/>
                <w:kern w:val="2"/>
                <w:lang w:eastAsia="en-GB"/>
                <w14:ligatures w14:val="standardContextual"/>
              </w:rPr>
              <w:tab/>
            </w:r>
            <w:r w:rsidRPr="00916237">
              <w:rPr>
                <w:rStyle w:val="Hyperlink"/>
              </w:rPr>
              <w:t>Training and Monitoring</w:t>
            </w:r>
            <w:r>
              <w:rPr>
                <w:webHidden/>
              </w:rPr>
              <w:tab/>
            </w:r>
            <w:r>
              <w:rPr>
                <w:webHidden/>
              </w:rPr>
              <w:fldChar w:fldCharType="begin"/>
            </w:r>
            <w:r>
              <w:rPr>
                <w:webHidden/>
              </w:rPr>
              <w:instrText xml:space="preserve"> PAGEREF _Toc179367030 \h </w:instrText>
            </w:r>
            <w:r>
              <w:rPr>
                <w:webHidden/>
              </w:rPr>
            </w:r>
            <w:r>
              <w:rPr>
                <w:webHidden/>
              </w:rPr>
              <w:fldChar w:fldCharType="separate"/>
            </w:r>
            <w:r w:rsidR="00043D49">
              <w:rPr>
                <w:webHidden/>
              </w:rPr>
              <w:t>13</w:t>
            </w:r>
            <w:r>
              <w:rPr>
                <w:webHidden/>
              </w:rPr>
              <w:fldChar w:fldCharType="end"/>
            </w:r>
          </w:hyperlink>
        </w:p>
        <w:p w14:paraId="4C490F0B" w14:textId="1E399C46" w:rsidR="003E14CE" w:rsidRDefault="003E14CE">
          <w:pPr>
            <w:pStyle w:val="TOC1"/>
            <w:rPr>
              <w:rFonts w:asciiTheme="minorHAnsi" w:eastAsiaTheme="minorEastAsia" w:hAnsiTheme="minorHAnsi"/>
              <w:kern w:val="2"/>
              <w:lang w:eastAsia="en-GB"/>
              <w14:ligatures w14:val="standardContextual"/>
            </w:rPr>
          </w:pPr>
          <w:hyperlink w:anchor="_Toc179367031" w:history="1">
            <w:r w:rsidRPr="00916237">
              <w:rPr>
                <w:rStyle w:val="Hyperlink"/>
              </w:rPr>
              <w:t>14</w:t>
            </w:r>
            <w:r>
              <w:rPr>
                <w:rFonts w:asciiTheme="minorHAnsi" w:eastAsiaTheme="minorEastAsia" w:hAnsiTheme="minorHAnsi"/>
                <w:kern w:val="2"/>
                <w:lang w:eastAsia="en-GB"/>
                <w14:ligatures w14:val="standardContextual"/>
              </w:rPr>
              <w:tab/>
            </w:r>
            <w:r w:rsidRPr="00916237">
              <w:rPr>
                <w:rStyle w:val="Hyperlink"/>
              </w:rPr>
              <w:t>Communication and Dissemination</w:t>
            </w:r>
            <w:r>
              <w:rPr>
                <w:webHidden/>
              </w:rPr>
              <w:tab/>
            </w:r>
            <w:r>
              <w:rPr>
                <w:webHidden/>
              </w:rPr>
              <w:fldChar w:fldCharType="begin"/>
            </w:r>
            <w:r>
              <w:rPr>
                <w:webHidden/>
              </w:rPr>
              <w:instrText xml:space="preserve"> PAGEREF _Toc179367031 \h </w:instrText>
            </w:r>
            <w:r>
              <w:rPr>
                <w:webHidden/>
              </w:rPr>
            </w:r>
            <w:r>
              <w:rPr>
                <w:webHidden/>
              </w:rPr>
              <w:fldChar w:fldCharType="separate"/>
            </w:r>
            <w:r w:rsidR="00043D49">
              <w:rPr>
                <w:webHidden/>
              </w:rPr>
              <w:t>13</w:t>
            </w:r>
            <w:r>
              <w:rPr>
                <w:webHidden/>
              </w:rPr>
              <w:fldChar w:fldCharType="end"/>
            </w:r>
          </w:hyperlink>
        </w:p>
        <w:p w14:paraId="29D2EEDE" w14:textId="16CD5C65" w:rsidR="003E14CE" w:rsidRDefault="003E14CE">
          <w:pPr>
            <w:pStyle w:val="TOC1"/>
            <w:rPr>
              <w:rFonts w:asciiTheme="minorHAnsi" w:eastAsiaTheme="minorEastAsia" w:hAnsiTheme="minorHAnsi"/>
              <w:kern w:val="2"/>
              <w:lang w:eastAsia="en-GB"/>
              <w14:ligatures w14:val="standardContextual"/>
            </w:rPr>
          </w:pPr>
          <w:hyperlink w:anchor="_Toc179367032" w:history="1">
            <w:r w:rsidRPr="00916237">
              <w:rPr>
                <w:rStyle w:val="Hyperlink"/>
              </w:rPr>
              <w:t>15</w:t>
            </w:r>
            <w:r>
              <w:rPr>
                <w:rFonts w:asciiTheme="minorHAnsi" w:eastAsiaTheme="minorEastAsia" w:hAnsiTheme="minorHAnsi"/>
                <w:kern w:val="2"/>
                <w:lang w:eastAsia="en-GB"/>
                <w14:ligatures w14:val="standardContextual"/>
              </w:rPr>
              <w:tab/>
            </w:r>
            <w:r w:rsidRPr="00916237">
              <w:rPr>
                <w:rStyle w:val="Hyperlink"/>
              </w:rPr>
              <w:t>EDI Impact Assessments</w:t>
            </w:r>
            <w:r>
              <w:rPr>
                <w:webHidden/>
              </w:rPr>
              <w:tab/>
            </w:r>
            <w:r>
              <w:rPr>
                <w:webHidden/>
              </w:rPr>
              <w:fldChar w:fldCharType="begin"/>
            </w:r>
            <w:r>
              <w:rPr>
                <w:webHidden/>
              </w:rPr>
              <w:instrText xml:space="preserve"> PAGEREF _Toc179367032 \h </w:instrText>
            </w:r>
            <w:r>
              <w:rPr>
                <w:webHidden/>
              </w:rPr>
            </w:r>
            <w:r>
              <w:rPr>
                <w:webHidden/>
              </w:rPr>
              <w:fldChar w:fldCharType="separate"/>
            </w:r>
            <w:r w:rsidR="00043D49">
              <w:rPr>
                <w:webHidden/>
              </w:rPr>
              <w:t>14</w:t>
            </w:r>
            <w:r>
              <w:rPr>
                <w:webHidden/>
              </w:rPr>
              <w:fldChar w:fldCharType="end"/>
            </w:r>
          </w:hyperlink>
        </w:p>
        <w:p w14:paraId="1C227445" w14:textId="7FF5488A" w:rsidR="003E14CE" w:rsidRDefault="003E14CE">
          <w:pPr>
            <w:pStyle w:val="TOC1"/>
            <w:rPr>
              <w:rFonts w:asciiTheme="minorHAnsi" w:eastAsiaTheme="minorEastAsia" w:hAnsiTheme="minorHAnsi"/>
              <w:kern w:val="2"/>
              <w:lang w:eastAsia="en-GB"/>
              <w14:ligatures w14:val="standardContextual"/>
            </w:rPr>
          </w:pPr>
          <w:hyperlink w:anchor="_Toc179367033" w:history="1">
            <w:r w:rsidRPr="00916237">
              <w:rPr>
                <w:rStyle w:val="Hyperlink"/>
              </w:rPr>
              <w:t>16</w:t>
            </w:r>
            <w:r>
              <w:rPr>
                <w:rFonts w:asciiTheme="minorHAnsi" w:eastAsiaTheme="minorEastAsia" w:hAnsiTheme="minorHAnsi"/>
                <w:kern w:val="2"/>
                <w:lang w:eastAsia="en-GB"/>
                <w14:ligatures w14:val="standardContextual"/>
              </w:rPr>
              <w:tab/>
            </w:r>
            <w:r w:rsidRPr="00916237">
              <w:rPr>
                <w:rStyle w:val="Hyperlink"/>
              </w:rPr>
              <w:t>Resources</w:t>
            </w:r>
            <w:r>
              <w:rPr>
                <w:webHidden/>
              </w:rPr>
              <w:tab/>
            </w:r>
            <w:r>
              <w:rPr>
                <w:webHidden/>
              </w:rPr>
              <w:fldChar w:fldCharType="begin"/>
            </w:r>
            <w:r>
              <w:rPr>
                <w:webHidden/>
              </w:rPr>
              <w:instrText xml:space="preserve"> PAGEREF _Toc179367033 \h </w:instrText>
            </w:r>
            <w:r>
              <w:rPr>
                <w:webHidden/>
              </w:rPr>
            </w:r>
            <w:r>
              <w:rPr>
                <w:webHidden/>
              </w:rPr>
              <w:fldChar w:fldCharType="separate"/>
            </w:r>
            <w:r w:rsidR="00043D49">
              <w:rPr>
                <w:webHidden/>
              </w:rPr>
              <w:t>14</w:t>
            </w:r>
            <w:r>
              <w:rPr>
                <w:webHidden/>
              </w:rPr>
              <w:fldChar w:fldCharType="end"/>
            </w:r>
          </w:hyperlink>
        </w:p>
        <w:p w14:paraId="70D348B1" w14:textId="7F4335FF" w:rsidR="003E14CE" w:rsidRDefault="003E14CE">
          <w:pPr>
            <w:pStyle w:val="TOC1"/>
            <w:rPr>
              <w:rFonts w:asciiTheme="minorHAnsi" w:eastAsiaTheme="minorEastAsia" w:hAnsiTheme="minorHAnsi"/>
              <w:kern w:val="2"/>
              <w:lang w:eastAsia="en-GB"/>
              <w14:ligatures w14:val="standardContextual"/>
            </w:rPr>
          </w:pPr>
          <w:hyperlink w:anchor="_Toc179367034" w:history="1">
            <w:r w:rsidRPr="00916237">
              <w:rPr>
                <w:rStyle w:val="Hyperlink"/>
              </w:rPr>
              <w:t>17</w:t>
            </w:r>
            <w:r>
              <w:rPr>
                <w:rFonts w:asciiTheme="minorHAnsi" w:eastAsiaTheme="minorEastAsia" w:hAnsiTheme="minorHAnsi"/>
                <w:kern w:val="2"/>
                <w:lang w:eastAsia="en-GB"/>
                <w14:ligatures w14:val="standardContextual"/>
              </w:rPr>
              <w:tab/>
            </w:r>
            <w:r w:rsidRPr="00916237">
              <w:rPr>
                <w:rStyle w:val="Hyperlink"/>
              </w:rPr>
              <w:t>Version Control</w:t>
            </w:r>
            <w:r>
              <w:rPr>
                <w:webHidden/>
              </w:rPr>
              <w:tab/>
            </w:r>
            <w:r>
              <w:rPr>
                <w:webHidden/>
              </w:rPr>
              <w:fldChar w:fldCharType="begin"/>
            </w:r>
            <w:r>
              <w:rPr>
                <w:webHidden/>
              </w:rPr>
              <w:instrText xml:space="preserve"> PAGEREF _Toc179367034 \h </w:instrText>
            </w:r>
            <w:r>
              <w:rPr>
                <w:webHidden/>
              </w:rPr>
            </w:r>
            <w:r>
              <w:rPr>
                <w:webHidden/>
              </w:rPr>
              <w:fldChar w:fldCharType="separate"/>
            </w:r>
            <w:r w:rsidR="00043D49">
              <w:rPr>
                <w:webHidden/>
              </w:rPr>
              <w:t>15</w:t>
            </w:r>
            <w:r>
              <w:rPr>
                <w:webHidden/>
              </w:rPr>
              <w:fldChar w:fldCharType="end"/>
            </w:r>
          </w:hyperlink>
        </w:p>
        <w:p w14:paraId="74988F08" w14:textId="0B0F0341" w:rsidR="003E14CE" w:rsidRDefault="003E14CE">
          <w:pPr>
            <w:pStyle w:val="TOC1"/>
            <w:rPr>
              <w:rFonts w:asciiTheme="minorHAnsi" w:eastAsiaTheme="minorEastAsia" w:hAnsiTheme="minorHAnsi"/>
              <w:kern w:val="2"/>
              <w:lang w:eastAsia="en-GB"/>
              <w14:ligatures w14:val="standardContextual"/>
            </w:rPr>
          </w:pPr>
          <w:hyperlink w:anchor="_Toc179367035" w:history="1">
            <w:r w:rsidRPr="00916237">
              <w:rPr>
                <w:rStyle w:val="Hyperlink"/>
              </w:rPr>
              <w:t>18</w:t>
            </w:r>
            <w:r>
              <w:rPr>
                <w:rFonts w:asciiTheme="minorHAnsi" w:eastAsiaTheme="minorEastAsia" w:hAnsiTheme="minorHAnsi"/>
                <w:kern w:val="2"/>
                <w:lang w:eastAsia="en-GB"/>
                <w14:ligatures w14:val="standardContextual"/>
              </w:rPr>
              <w:tab/>
            </w:r>
            <w:r w:rsidRPr="00916237">
              <w:rPr>
                <w:rStyle w:val="Hyperlink"/>
              </w:rPr>
              <w:t>Appendices</w:t>
            </w:r>
            <w:r>
              <w:rPr>
                <w:webHidden/>
              </w:rPr>
              <w:tab/>
            </w:r>
            <w:r>
              <w:rPr>
                <w:webHidden/>
              </w:rPr>
              <w:fldChar w:fldCharType="begin"/>
            </w:r>
            <w:r>
              <w:rPr>
                <w:webHidden/>
              </w:rPr>
              <w:instrText xml:space="preserve"> PAGEREF _Toc179367035 \h </w:instrText>
            </w:r>
            <w:r>
              <w:rPr>
                <w:webHidden/>
              </w:rPr>
            </w:r>
            <w:r>
              <w:rPr>
                <w:webHidden/>
              </w:rPr>
              <w:fldChar w:fldCharType="separate"/>
            </w:r>
            <w:r w:rsidR="00043D49">
              <w:rPr>
                <w:webHidden/>
              </w:rPr>
              <w:t>16</w:t>
            </w:r>
            <w:r>
              <w:rPr>
                <w:webHidden/>
              </w:rPr>
              <w:fldChar w:fldCharType="end"/>
            </w:r>
          </w:hyperlink>
        </w:p>
        <w:p w14:paraId="1BB412EE" w14:textId="2C5D03D0" w:rsidR="003E14CE" w:rsidRDefault="003E14CE">
          <w:pPr>
            <w:pStyle w:val="TOC2"/>
            <w:rPr>
              <w:rFonts w:asciiTheme="minorHAnsi" w:eastAsiaTheme="minorEastAsia" w:hAnsiTheme="minorHAnsi"/>
              <w:kern w:val="2"/>
              <w:lang w:eastAsia="en-GB"/>
              <w14:ligatures w14:val="standardContextual"/>
            </w:rPr>
          </w:pPr>
          <w:hyperlink w:anchor="_Toc179367036" w:history="1">
            <w:r w:rsidRPr="00916237">
              <w:rPr>
                <w:rStyle w:val="Hyperlink"/>
              </w:rPr>
              <w:t>18.1</w:t>
            </w:r>
            <w:r>
              <w:rPr>
                <w:rFonts w:asciiTheme="minorHAnsi" w:eastAsiaTheme="minorEastAsia" w:hAnsiTheme="minorHAnsi"/>
                <w:kern w:val="2"/>
                <w:lang w:eastAsia="en-GB"/>
                <w14:ligatures w14:val="standardContextual"/>
              </w:rPr>
              <w:tab/>
            </w:r>
            <w:r w:rsidRPr="00916237">
              <w:rPr>
                <w:rStyle w:val="Hyperlink"/>
              </w:rPr>
              <w:t>Appendix 1: Appropriate statutory or regulatory bodies</w:t>
            </w:r>
            <w:r>
              <w:rPr>
                <w:webHidden/>
              </w:rPr>
              <w:tab/>
            </w:r>
            <w:r>
              <w:rPr>
                <w:webHidden/>
              </w:rPr>
              <w:fldChar w:fldCharType="begin"/>
            </w:r>
            <w:r>
              <w:rPr>
                <w:webHidden/>
              </w:rPr>
              <w:instrText xml:space="preserve"> PAGEREF _Toc179367036 \h </w:instrText>
            </w:r>
            <w:r>
              <w:rPr>
                <w:webHidden/>
              </w:rPr>
            </w:r>
            <w:r>
              <w:rPr>
                <w:webHidden/>
              </w:rPr>
              <w:fldChar w:fldCharType="separate"/>
            </w:r>
            <w:r w:rsidR="00043D49">
              <w:rPr>
                <w:webHidden/>
              </w:rPr>
              <w:t>16</w:t>
            </w:r>
            <w:r>
              <w:rPr>
                <w:webHidden/>
              </w:rPr>
              <w:fldChar w:fldCharType="end"/>
            </w:r>
          </w:hyperlink>
        </w:p>
        <w:p w14:paraId="0C59D2E0" w14:textId="6646F306" w:rsidR="00DF67AA" w:rsidRPr="00746FD3" w:rsidRDefault="00F91DD0" w:rsidP="00746FD3">
          <w:pPr>
            <w:pStyle w:val="TOC1"/>
          </w:pPr>
          <w:r>
            <w:rPr>
              <w:rFonts w:cs="Arial"/>
              <w:spacing w:val="7"/>
            </w:rPr>
            <w:fldChar w:fldCharType="end"/>
          </w:r>
        </w:p>
      </w:sdtContent>
    </w:sdt>
    <w:p w14:paraId="49640E3F" w14:textId="77777777" w:rsidR="00746FD3" w:rsidRDefault="00746FD3" w:rsidP="00746FD3">
      <w:pPr>
        <w:pStyle w:val="Heading1Numbered"/>
      </w:pPr>
      <w:bookmarkStart w:id="6" w:name="_Toc137559806"/>
      <w:bookmarkStart w:id="7" w:name="_Toc179367018"/>
      <w:r w:rsidRPr="00D558F5">
        <w:t>Introduction</w:t>
      </w:r>
      <w:bookmarkEnd w:id="6"/>
      <w:bookmarkEnd w:id="7"/>
    </w:p>
    <w:p w14:paraId="1E835FFB" w14:textId="77777777" w:rsidR="00746FD3" w:rsidRDefault="00746FD3" w:rsidP="00746FD3">
      <w:pPr>
        <w:pStyle w:val="Text1Numbered"/>
      </w:pPr>
      <w:r w:rsidRPr="007B0BC6">
        <w:t xml:space="preserve">MHA </w:t>
      </w:r>
      <w:r>
        <w:t>is</w:t>
      </w:r>
      <w:r w:rsidRPr="007B0BC6">
        <w:t xml:space="preserve"> committed to the highest standards of openness, transparency, and accountability</w:t>
      </w:r>
      <w:r>
        <w:t xml:space="preserve">. We want all colleagues who may know or suspect wrongdoing </w:t>
      </w:r>
      <w:r w:rsidRPr="007B0BC6">
        <w:t>which they believe may affect and/or prejudice the interests of the public (including a person using our services) and/or breach any current legislation</w:t>
      </w:r>
      <w:r>
        <w:t xml:space="preserve"> whether it be someone who uses MHA services, a colleague, or someone else who engages with MHA, to raise their concerns at the earliest opportunity. </w:t>
      </w:r>
    </w:p>
    <w:p w14:paraId="3105E98A" w14:textId="77777777" w:rsidR="00746FD3" w:rsidRDefault="00746FD3" w:rsidP="00746FD3">
      <w:pPr>
        <w:pStyle w:val="Text1Numbered"/>
        <w:numPr>
          <w:ilvl w:val="0"/>
          <w:numId w:val="0"/>
        </w:numPr>
        <w:ind w:left="1135"/>
      </w:pPr>
    </w:p>
    <w:p w14:paraId="4ADD264E" w14:textId="77777777" w:rsidR="00746FD3" w:rsidRDefault="00746FD3" w:rsidP="00746FD3">
      <w:pPr>
        <w:pStyle w:val="Text1Numbered"/>
      </w:pPr>
      <w:r>
        <w:t>Whistleblowing is the common term for making a protected disclosure. It covers situations where an individual raises a concern that they have a reasonable belief relating to wrongdoing in the workplace, which includes:</w:t>
      </w:r>
    </w:p>
    <w:p w14:paraId="211349A4" w14:textId="25FE6A47" w:rsidR="00746FD3" w:rsidRDefault="00610A9B" w:rsidP="00746FD3">
      <w:pPr>
        <w:pStyle w:val="Textlistindented-bullet"/>
      </w:pPr>
      <w:r>
        <w:t>A criminal offence, for example fraud</w:t>
      </w:r>
    </w:p>
    <w:p w14:paraId="7BFCE11B" w14:textId="290337CA" w:rsidR="00746FD3" w:rsidRDefault="00610A9B" w:rsidP="00746FD3">
      <w:pPr>
        <w:pStyle w:val="Textlistindented-bullet"/>
      </w:pPr>
      <w:r>
        <w:t>Someone</w:t>
      </w:r>
      <w:r w:rsidR="00746FD3" w:rsidRPr="00CF65D0">
        <w:rPr>
          <w:rFonts w:cs="Arial"/>
        </w:rPr>
        <w:t>’</w:t>
      </w:r>
      <w:r w:rsidR="00746FD3">
        <w:t>s health and safety are in danger</w:t>
      </w:r>
    </w:p>
    <w:p w14:paraId="2F54C26B" w14:textId="7CBFCB46" w:rsidR="00746FD3" w:rsidRDefault="00610A9B" w:rsidP="00746FD3">
      <w:pPr>
        <w:pStyle w:val="Textlistindented-bullet"/>
      </w:pPr>
      <w:r>
        <w:t>Bullying and/or harassment of people using our services</w:t>
      </w:r>
    </w:p>
    <w:p w14:paraId="61B35537" w14:textId="6C528B65" w:rsidR="00746FD3" w:rsidRDefault="00610A9B" w:rsidP="00746FD3">
      <w:pPr>
        <w:pStyle w:val="Textlistindented-bullet"/>
      </w:pPr>
      <w:r>
        <w:t>Risk or actual damage to the environment</w:t>
      </w:r>
    </w:p>
    <w:p w14:paraId="37D910B9" w14:textId="506967F9" w:rsidR="00746FD3" w:rsidRDefault="00610A9B" w:rsidP="00746FD3">
      <w:pPr>
        <w:pStyle w:val="Textlistindented-bullet"/>
      </w:pPr>
      <w:r>
        <w:t>A miscarriage of justice</w:t>
      </w:r>
    </w:p>
    <w:p w14:paraId="1D6358B5" w14:textId="3E7C5233" w:rsidR="00746FD3" w:rsidRDefault="00610A9B" w:rsidP="00746FD3">
      <w:pPr>
        <w:pStyle w:val="Textlistindented-bullet"/>
      </w:pPr>
      <w:r>
        <w:t>The company is breaking the law, for example does not have the right insurance</w:t>
      </w:r>
    </w:p>
    <w:p w14:paraId="074EE6E2" w14:textId="0283CE88" w:rsidR="00746FD3" w:rsidRDefault="00610A9B" w:rsidP="00746FD3">
      <w:pPr>
        <w:pStyle w:val="Textlistindented-bullet"/>
      </w:pPr>
      <w:r>
        <w:t xml:space="preserve">You believe someone is covering up </w:t>
      </w:r>
      <w:r w:rsidR="00746FD3">
        <w:t>wrongdoing.</w:t>
      </w:r>
    </w:p>
    <w:p w14:paraId="78FC1862" w14:textId="77777777" w:rsidR="00746FD3" w:rsidRDefault="00746FD3" w:rsidP="00746FD3">
      <w:pPr>
        <w:pStyle w:val="Text1Numbered"/>
      </w:pPr>
      <w:r>
        <w:t xml:space="preserve">If you have concerns relating to any of the above wrongdoing, in the first instance we encourage you to raise your concerns to a line manager or a senior manager, who we hope will be able to resolve your </w:t>
      </w:r>
      <w:r w:rsidRPr="00170553">
        <w:t xml:space="preserve">concerns quickly and effectively. </w:t>
      </w:r>
    </w:p>
    <w:p w14:paraId="7A404ED9" w14:textId="77777777" w:rsidR="00746FD3" w:rsidRDefault="00746FD3" w:rsidP="00746FD3">
      <w:pPr>
        <w:pStyle w:val="Text1Numbered"/>
        <w:numPr>
          <w:ilvl w:val="0"/>
          <w:numId w:val="0"/>
        </w:numPr>
        <w:ind w:left="1135"/>
      </w:pPr>
    </w:p>
    <w:p w14:paraId="101DE6BA" w14:textId="77777777" w:rsidR="00746FD3" w:rsidRDefault="00746FD3" w:rsidP="00746FD3">
      <w:pPr>
        <w:pStyle w:val="Text1Numbered"/>
      </w:pPr>
      <w:r>
        <w:t xml:space="preserve">If your </w:t>
      </w:r>
      <w:r w:rsidRPr="00606B35">
        <w:t xml:space="preserve">concerns </w:t>
      </w:r>
      <w:r>
        <w:t>cannot, or are not, p</w:t>
      </w:r>
      <w:r w:rsidRPr="00606B35">
        <w:t xml:space="preserve">roperly addressed by the line manager and/or the senior manager </w:t>
      </w:r>
      <w:r w:rsidRPr="00606B35">
        <w:rPr>
          <w:b/>
          <w:bCs/>
        </w:rPr>
        <w:t xml:space="preserve">or </w:t>
      </w:r>
      <w:r w:rsidRPr="00606B35">
        <w:t>where you feel unable to raise concerns to a line manager or a senior manager, the procedure outlined in this policy should be followed</w:t>
      </w:r>
      <w:r>
        <w:t xml:space="preserve"> and you will be treated as a "whistle-blower”. </w:t>
      </w:r>
    </w:p>
    <w:p w14:paraId="662925D7" w14:textId="77777777" w:rsidR="00746FD3" w:rsidRDefault="00746FD3" w:rsidP="00746FD3">
      <w:pPr>
        <w:pStyle w:val="Text1Numbered"/>
        <w:numPr>
          <w:ilvl w:val="0"/>
          <w:numId w:val="0"/>
        </w:numPr>
        <w:ind w:left="1135"/>
      </w:pPr>
    </w:p>
    <w:p w14:paraId="539D92C1" w14:textId="77777777" w:rsidR="00746FD3" w:rsidRDefault="00746FD3" w:rsidP="00746FD3">
      <w:pPr>
        <w:pStyle w:val="Text1Numbered"/>
      </w:pPr>
      <w:r>
        <w:t xml:space="preserve">As a whistle-blower you are protected by law and should not be treated unfairly for making a protected disclosure. </w:t>
      </w:r>
      <w:r w:rsidRPr="007B0BC6">
        <w:t>MHA wishes to support well-intentioned whistle-blowers in using the disclosure procedure</w:t>
      </w:r>
      <w:r>
        <w:t xml:space="preserve"> set out in this policy</w:t>
      </w:r>
      <w:r w:rsidRPr="007B0BC6">
        <w:t xml:space="preserve">, even if their fears subsequently turn out to be groundless or mistaken. </w:t>
      </w:r>
    </w:p>
    <w:p w14:paraId="5F13D44C" w14:textId="77777777" w:rsidR="00746FD3" w:rsidRDefault="00746FD3" w:rsidP="00746FD3">
      <w:pPr>
        <w:pStyle w:val="Text1Numbered"/>
        <w:numPr>
          <w:ilvl w:val="0"/>
          <w:numId w:val="0"/>
        </w:numPr>
        <w:ind w:left="1135"/>
      </w:pPr>
    </w:p>
    <w:p w14:paraId="16C44DD0" w14:textId="77777777" w:rsidR="00746FD3" w:rsidRDefault="00746FD3" w:rsidP="00746FD3">
      <w:pPr>
        <w:pStyle w:val="Text1Numbered"/>
      </w:pPr>
      <w:hyperlink r:id="rId9" w:history="1">
        <w:r w:rsidRPr="002C742A">
          <w:rPr>
            <w:rStyle w:val="Hyperlink"/>
          </w:rPr>
          <w:t>The Whistleblowing poster</w:t>
        </w:r>
      </w:hyperlink>
      <w:r>
        <w:t xml:space="preserve"> outlining details of the policy and reporting procedure must be displayed in all MHA/ services. </w:t>
      </w:r>
    </w:p>
    <w:p w14:paraId="03E9F51D" w14:textId="77777777" w:rsidR="00746FD3" w:rsidRDefault="00746FD3" w:rsidP="00746FD3">
      <w:pPr>
        <w:pStyle w:val="Heading1Numbered"/>
      </w:pPr>
      <w:bookmarkStart w:id="8" w:name="_Toc137473564"/>
      <w:bookmarkStart w:id="9" w:name="_Toc137473585"/>
      <w:bookmarkStart w:id="10" w:name="_Toc137559807"/>
      <w:bookmarkStart w:id="11" w:name="_Toc179367019"/>
      <w:bookmarkEnd w:id="8"/>
      <w:bookmarkEnd w:id="9"/>
      <w:r w:rsidRPr="00EF3699">
        <w:t xml:space="preserve">Scope and </w:t>
      </w:r>
      <w:r w:rsidRPr="00D558F5">
        <w:t>Purpose</w:t>
      </w:r>
      <w:bookmarkEnd w:id="10"/>
      <w:bookmarkEnd w:id="11"/>
    </w:p>
    <w:p w14:paraId="416D1720" w14:textId="77777777" w:rsidR="00746FD3" w:rsidRPr="002E4B12" w:rsidRDefault="00746FD3" w:rsidP="00746FD3">
      <w:pPr>
        <w:pStyle w:val="Text1Numbered"/>
      </w:pPr>
      <w:r w:rsidRPr="002E4999">
        <w:t>This policy applies to all those who work for MHA, whether full-time or part-time, bank colleagues, employed through an agency or as a volunteer. The purpose of this policy is to provide reassurance that it is safe</w:t>
      </w:r>
      <w:r w:rsidRPr="007B0BC6">
        <w:t xml:space="preserve"> and acceptable to speak up and raise any concern</w:t>
      </w:r>
      <w:r>
        <w:t xml:space="preserve">, </w:t>
      </w:r>
      <w:r w:rsidRPr="002E4999">
        <w:t xml:space="preserve">primarily for concerns where the public interest is at risk, which includes a risk to the wider public, customers, colleagues, or MHA itself. </w:t>
      </w:r>
    </w:p>
    <w:p w14:paraId="111D0C4E" w14:textId="77777777" w:rsidR="00746FD3" w:rsidRPr="00EF3699" w:rsidRDefault="00746FD3" w:rsidP="00746FD3">
      <w:pPr>
        <w:pStyle w:val="Heading1Numbered"/>
      </w:pPr>
      <w:bookmarkStart w:id="12" w:name="_Toc137559808"/>
      <w:bookmarkStart w:id="13" w:name="_Toc179367020"/>
      <w:r w:rsidRPr="00EF3699">
        <w:t>Definitions</w:t>
      </w:r>
      <w:bookmarkEnd w:id="12"/>
      <w:bookmarkEnd w:id="13"/>
    </w:p>
    <w:tbl>
      <w:tblPr>
        <w:tblStyle w:val="MHATable"/>
        <w:tblW w:w="0" w:type="auto"/>
        <w:tblLook w:val="0620" w:firstRow="1" w:lastRow="0" w:firstColumn="0" w:lastColumn="0" w:noHBand="1" w:noVBand="1"/>
      </w:tblPr>
      <w:tblGrid>
        <w:gridCol w:w="1976"/>
        <w:gridCol w:w="7573"/>
      </w:tblGrid>
      <w:tr w:rsidR="00746FD3" w:rsidRPr="009050C4" w14:paraId="5349B5F6" w14:textId="77777777" w:rsidTr="00135476">
        <w:trPr>
          <w:cnfStyle w:val="100000000000" w:firstRow="1" w:lastRow="0" w:firstColumn="0" w:lastColumn="0" w:oddVBand="0" w:evenVBand="0" w:oddHBand="0" w:evenHBand="0" w:firstRowFirstColumn="0" w:firstRowLastColumn="0" w:lastRowFirstColumn="0" w:lastRowLastColumn="0"/>
        </w:trPr>
        <w:tc>
          <w:tcPr>
            <w:tcW w:w="1976" w:type="dxa"/>
          </w:tcPr>
          <w:p w14:paraId="226DD279" w14:textId="77777777" w:rsidR="00746FD3" w:rsidRPr="009050C4" w:rsidRDefault="00746FD3" w:rsidP="00135476">
            <w:pPr>
              <w:rPr>
                <w:b w:val="0"/>
              </w:rPr>
            </w:pPr>
            <w:r w:rsidRPr="009050C4">
              <w:t>Term</w:t>
            </w:r>
          </w:p>
        </w:tc>
        <w:tc>
          <w:tcPr>
            <w:tcW w:w="7573" w:type="dxa"/>
          </w:tcPr>
          <w:p w14:paraId="6A302008" w14:textId="77777777" w:rsidR="00746FD3" w:rsidRPr="009050C4" w:rsidRDefault="00746FD3" w:rsidP="00135476">
            <w:pPr>
              <w:rPr>
                <w:b w:val="0"/>
              </w:rPr>
            </w:pPr>
            <w:r w:rsidRPr="009050C4">
              <w:t>Definition</w:t>
            </w:r>
          </w:p>
        </w:tc>
      </w:tr>
      <w:tr w:rsidR="00746FD3" w:rsidRPr="004C3545" w14:paraId="70AA5C45" w14:textId="77777777" w:rsidTr="00135476">
        <w:tc>
          <w:tcPr>
            <w:tcW w:w="1976" w:type="dxa"/>
          </w:tcPr>
          <w:p w14:paraId="4DD67D27" w14:textId="77777777" w:rsidR="00746FD3" w:rsidRPr="001119AC" w:rsidRDefault="00746FD3" w:rsidP="00135476">
            <w:pPr>
              <w:rPr>
                <w:b/>
                <w:bCs/>
              </w:rPr>
            </w:pPr>
            <w:r w:rsidRPr="001119AC">
              <w:rPr>
                <w:b/>
                <w:bCs/>
              </w:rPr>
              <w:t>Grievance</w:t>
            </w:r>
          </w:p>
        </w:tc>
        <w:tc>
          <w:tcPr>
            <w:tcW w:w="7573" w:type="dxa"/>
          </w:tcPr>
          <w:p w14:paraId="388C1264" w14:textId="05D01736" w:rsidR="00746FD3" w:rsidRDefault="00746FD3" w:rsidP="00135476">
            <w:r>
              <w:t xml:space="preserve">A concern, problem, or complaint that </w:t>
            </w:r>
            <w:r w:rsidR="00883A9E">
              <w:t>a</w:t>
            </w:r>
            <w:r>
              <w:t xml:space="preserve"> colleague may raise with their employer during the course of their employment, relating to their own employment and/or treatment at work.</w:t>
            </w:r>
          </w:p>
        </w:tc>
      </w:tr>
      <w:tr w:rsidR="00746FD3" w:rsidRPr="004C3545" w14:paraId="409929A3" w14:textId="77777777" w:rsidTr="00135476">
        <w:tc>
          <w:tcPr>
            <w:tcW w:w="1976" w:type="dxa"/>
          </w:tcPr>
          <w:p w14:paraId="52A2AA04" w14:textId="77777777" w:rsidR="00746FD3" w:rsidRPr="001119AC" w:rsidRDefault="00746FD3" w:rsidP="00135476">
            <w:pPr>
              <w:rPr>
                <w:b/>
                <w:bCs/>
              </w:rPr>
            </w:pPr>
            <w:r w:rsidRPr="001119AC">
              <w:rPr>
                <w:b/>
                <w:bCs/>
              </w:rPr>
              <w:t>Protected disclosure</w:t>
            </w:r>
          </w:p>
        </w:tc>
        <w:tc>
          <w:tcPr>
            <w:tcW w:w="7573" w:type="dxa"/>
          </w:tcPr>
          <w:p w14:paraId="45614B79" w14:textId="77777777" w:rsidR="00746FD3" w:rsidRDefault="00746FD3" w:rsidP="00135476">
            <w:r>
              <w:t>Where a worker must have a reasonable belief that their disclosure is in the public interest</w:t>
            </w:r>
          </w:p>
        </w:tc>
      </w:tr>
      <w:tr w:rsidR="00746FD3" w:rsidRPr="004C3545" w14:paraId="61FB0326" w14:textId="77777777" w:rsidTr="00135476">
        <w:tc>
          <w:tcPr>
            <w:tcW w:w="1976" w:type="dxa"/>
          </w:tcPr>
          <w:p w14:paraId="4EDF3365" w14:textId="77777777" w:rsidR="00746FD3" w:rsidRPr="001119AC" w:rsidRDefault="00746FD3" w:rsidP="00135476">
            <w:pPr>
              <w:rPr>
                <w:b/>
                <w:bCs/>
              </w:rPr>
            </w:pPr>
            <w:r w:rsidRPr="001119AC">
              <w:rPr>
                <w:b/>
                <w:bCs/>
              </w:rPr>
              <w:t>Safeguarding</w:t>
            </w:r>
          </w:p>
        </w:tc>
        <w:tc>
          <w:tcPr>
            <w:tcW w:w="7573" w:type="dxa"/>
          </w:tcPr>
          <w:p w14:paraId="63C39A15" w14:textId="77777777" w:rsidR="00746FD3" w:rsidRDefault="00746FD3" w:rsidP="00135476">
            <w:r w:rsidRPr="00283169">
              <w:t>Protecting a person's health, wellbeing, and human rights; enabling them to live free from harm, abuse, and neglect</w:t>
            </w:r>
          </w:p>
        </w:tc>
      </w:tr>
      <w:tr w:rsidR="00746FD3" w:rsidRPr="004C3545" w14:paraId="7CFBA2DE" w14:textId="77777777" w:rsidTr="00135476">
        <w:tc>
          <w:tcPr>
            <w:tcW w:w="1976" w:type="dxa"/>
          </w:tcPr>
          <w:p w14:paraId="75B4BBBE" w14:textId="77777777" w:rsidR="00746FD3" w:rsidRPr="001119AC" w:rsidRDefault="00746FD3" w:rsidP="00135476">
            <w:pPr>
              <w:rPr>
                <w:b/>
                <w:bCs/>
              </w:rPr>
            </w:pPr>
            <w:r w:rsidRPr="001119AC">
              <w:rPr>
                <w:b/>
                <w:bCs/>
              </w:rPr>
              <w:t>Whistle-blower</w:t>
            </w:r>
          </w:p>
        </w:tc>
        <w:tc>
          <w:tcPr>
            <w:tcW w:w="7573" w:type="dxa"/>
          </w:tcPr>
          <w:p w14:paraId="31935A4A" w14:textId="77777777" w:rsidR="00746FD3" w:rsidRDefault="00746FD3" w:rsidP="00135476">
            <w:r>
              <w:t>A person who raises a genuine concern in good faith relating to any of the above</w:t>
            </w:r>
          </w:p>
        </w:tc>
      </w:tr>
      <w:tr w:rsidR="00746FD3" w:rsidRPr="004C3545" w14:paraId="2F4B919F" w14:textId="77777777" w:rsidTr="00135476">
        <w:tc>
          <w:tcPr>
            <w:tcW w:w="1976" w:type="dxa"/>
          </w:tcPr>
          <w:p w14:paraId="5CA4249E" w14:textId="77777777" w:rsidR="00746FD3" w:rsidRPr="001119AC" w:rsidRDefault="00746FD3" w:rsidP="00135476">
            <w:pPr>
              <w:rPr>
                <w:b/>
                <w:bCs/>
              </w:rPr>
            </w:pPr>
            <w:r w:rsidRPr="001119AC">
              <w:rPr>
                <w:b/>
                <w:bCs/>
              </w:rPr>
              <w:t>Whistleblowing</w:t>
            </w:r>
          </w:p>
        </w:tc>
        <w:tc>
          <w:tcPr>
            <w:tcW w:w="7573" w:type="dxa"/>
          </w:tcPr>
          <w:p w14:paraId="201DB8E9" w14:textId="77777777" w:rsidR="00746FD3" w:rsidRDefault="00746FD3" w:rsidP="00135476">
            <w:r>
              <w:t>When a worker raises a concern (that cannot be put to the line manager or has not been addressed by the line manager) about dangerous or illegal activity that they are aware of through their work</w:t>
            </w:r>
          </w:p>
        </w:tc>
      </w:tr>
    </w:tbl>
    <w:p w14:paraId="40E2BC9F" w14:textId="77777777" w:rsidR="00746FD3" w:rsidRDefault="00746FD3" w:rsidP="00746FD3">
      <w:pPr>
        <w:pStyle w:val="Heading1Numbered"/>
      </w:pPr>
      <w:bookmarkStart w:id="14" w:name="_Toc137559809"/>
      <w:bookmarkStart w:id="15" w:name="_Toc179367021"/>
      <w:r>
        <w:t>Safeguarding, Grievance, and Complaint Related Concerns</w:t>
      </w:r>
      <w:bookmarkEnd w:id="14"/>
      <w:bookmarkEnd w:id="15"/>
    </w:p>
    <w:p w14:paraId="3F82CA7D" w14:textId="77777777" w:rsidR="00610A9B" w:rsidRDefault="00746FD3" w:rsidP="00746FD3">
      <w:pPr>
        <w:pStyle w:val="Text1Numbered"/>
      </w:pPr>
      <w:r w:rsidRPr="007B0BC6">
        <w:t xml:space="preserve">The </w:t>
      </w:r>
      <w:r w:rsidRPr="002456C4">
        <w:t>Safeguarding of Adults Policy</w:t>
      </w:r>
      <w:r>
        <w:t xml:space="preserve"> </w:t>
      </w:r>
      <w:r w:rsidRPr="007B0BC6">
        <w:t xml:space="preserve">sets out the procedure for dealing with suspected or reported abuse of people using our services. This includes the process for reporting to external agencies including the Regulator and local Safeguarding Adults Board (each home must have a copy of </w:t>
      </w:r>
      <w:r w:rsidR="00E92B40">
        <w:t xml:space="preserve">the </w:t>
      </w:r>
      <w:r w:rsidRPr="007B0BC6">
        <w:t>local authority’s policy for reference).</w:t>
      </w:r>
      <w:r>
        <w:t xml:space="preserve"> However, if you are </w:t>
      </w:r>
      <w:r w:rsidRPr="00A467BA">
        <w:t>concerned that</w:t>
      </w:r>
      <w:r>
        <w:t xml:space="preserve"> our</w:t>
      </w:r>
      <w:r w:rsidRPr="00A467BA">
        <w:t xml:space="preserve"> residents or members are not being cared for in a way that keeps them safe, </w:t>
      </w:r>
      <w:r>
        <w:t>you must raise your concerns with a line manager or senior manager. If y</w:t>
      </w:r>
      <w:r w:rsidRPr="00A467BA">
        <w:t xml:space="preserve">ou feel unable to raise the concern with either </w:t>
      </w:r>
      <w:r>
        <w:t xml:space="preserve">a </w:t>
      </w:r>
      <w:r w:rsidRPr="00A467BA">
        <w:t>line manager or a senior manager</w:t>
      </w:r>
      <w:r>
        <w:t>,</w:t>
      </w:r>
      <w:r w:rsidRPr="00A467BA">
        <w:t xml:space="preserve"> then please email the </w:t>
      </w:r>
      <w:r>
        <w:t xml:space="preserve">MHA </w:t>
      </w:r>
      <w:r w:rsidRPr="00A467BA">
        <w:t>whistleblowing</w:t>
      </w:r>
      <w:r>
        <w:t xml:space="preserve"> email</w:t>
      </w:r>
      <w:r w:rsidRPr="00A467BA">
        <w:t xml:space="preserve"> inbox at </w:t>
      </w:r>
      <w:hyperlink r:id="rId10" w:history="1">
        <w:r w:rsidRPr="004B42C6">
          <w:rPr>
            <w:rStyle w:val="Hyperlink"/>
          </w:rPr>
          <w:t>whistleblowing@mha.org.uk</w:t>
        </w:r>
      </w:hyperlink>
      <w:r w:rsidRPr="00A467BA">
        <w:t xml:space="preserve">. </w:t>
      </w:r>
    </w:p>
    <w:p w14:paraId="46751276" w14:textId="77777777" w:rsidR="00610A9B" w:rsidRDefault="00610A9B" w:rsidP="00610A9B">
      <w:pPr>
        <w:pStyle w:val="Text1Numbered"/>
        <w:numPr>
          <w:ilvl w:val="0"/>
          <w:numId w:val="0"/>
        </w:numPr>
        <w:ind w:left="1135"/>
      </w:pPr>
    </w:p>
    <w:p w14:paraId="556B02ED" w14:textId="028EE8BA" w:rsidR="00746FD3" w:rsidRDefault="00746FD3" w:rsidP="00746FD3">
      <w:pPr>
        <w:pStyle w:val="Text1Numbered"/>
      </w:pPr>
      <w:r w:rsidRPr="00A467BA">
        <w:t>By doing this you can ensure that the people who use our services receive care, treatment and support from colleagues who are confident about reporting any safeguarding and other concerns, without worrying about the consequences.</w:t>
      </w:r>
    </w:p>
    <w:p w14:paraId="055C238E" w14:textId="77777777" w:rsidR="00746FD3" w:rsidRDefault="00746FD3" w:rsidP="00746FD3">
      <w:pPr>
        <w:pStyle w:val="Text1Numbered"/>
        <w:numPr>
          <w:ilvl w:val="0"/>
          <w:numId w:val="0"/>
        </w:numPr>
        <w:ind w:left="1135"/>
      </w:pPr>
    </w:p>
    <w:p w14:paraId="3ACCAFD1" w14:textId="47BAA2B3" w:rsidR="00746FD3" w:rsidRDefault="00746FD3" w:rsidP="00746FD3">
      <w:pPr>
        <w:pStyle w:val="Text1Numbered"/>
      </w:pPr>
      <w:r w:rsidRPr="002456C4">
        <w:t xml:space="preserve">If your concern relates to your own treatment at work, your pay, working hours, shift patterns, rota, workload or bullying by a colleague you should raise these with your </w:t>
      </w:r>
      <w:r>
        <w:t>line m</w:t>
      </w:r>
      <w:r w:rsidRPr="002456C4">
        <w:t>anager.</w:t>
      </w:r>
      <w:r>
        <w:t xml:space="preserve"> I</w:t>
      </w:r>
      <w:r w:rsidRPr="002456C4">
        <w:t xml:space="preserve">f your concern </w:t>
      </w:r>
      <w:r>
        <w:t xml:space="preserve">of this type </w:t>
      </w:r>
      <w:r w:rsidRPr="002456C4">
        <w:t xml:space="preserve">involves your manager, it should be raised with a more senior manager, or a member of </w:t>
      </w:r>
      <w:r>
        <w:t>HR. C</w:t>
      </w:r>
      <w:r w:rsidRPr="002456C4">
        <w:t xml:space="preserve">oncerns can often be resolved quickly and informally through discussion. If your concern is not able to be resolved by talking to your manager or more senior manager, you can use the </w:t>
      </w:r>
      <w:r w:rsidR="00CC158C" w:rsidRPr="00610A9B">
        <w:rPr>
          <w:u w:val="single"/>
        </w:rPr>
        <w:t>Resolution</w:t>
      </w:r>
      <w:r w:rsidRPr="00610A9B">
        <w:rPr>
          <w:u w:val="single"/>
        </w:rPr>
        <w:t xml:space="preserve"> Policy</w:t>
      </w:r>
      <w:r w:rsidR="00CC158C">
        <w:t xml:space="preserve"> </w:t>
      </w:r>
      <w:r w:rsidRPr="002456C4">
        <w:t xml:space="preserve">or if your concern relates to bullying and harassment, refer to the </w:t>
      </w:r>
      <w:r w:rsidRPr="00610A9B">
        <w:rPr>
          <w:u w:val="single"/>
        </w:rPr>
        <w:t xml:space="preserve">Bullying and Harassment </w:t>
      </w:r>
      <w:r w:rsidR="00CC158C" w:rsidRPr="00610A9B">
        <w:rPr>
          <w:u w:val="single"/>
        </w:rPr>
        <w:t>P</w:t>
      </w:r>
      <w:r w:rsidRPr="00610A9B">
        <w:rPr>
          <w:u w:val="single"/>
        </w:rPr>
        <w:t>olicy</w:t>
      </w:r>
      <w:r w:rsidRPr="002456C4">
        <w:t>.</w:t>
      </w:r>
    </w:p>
    <w:p w14:paraId="5981A55D" w14:textId="77777777" w:rsidR="00746FD3" w:rsidRPr="00545C38" w:rsidRDefault="00746FD3" w:rsidP="00746FD3">
      <w:pPr>
        <w:pStyle w:val="Text1Numbered"/>
        <w:numPr>
          <w:ilvl w:val="0"/>
          <w:numId w:val="0"/>
        </w:numPr>
      </w:pPr>
    </w:p>
    <w:p w14:paraId="5DB1C2B7" w14:textId="6B251DDF" w:rsidR="00746FD3" w:rsidRDefault="00746FD3" w:rsidP="00746FD3">
      <w:pPr>
        <w:pStyle w:val="Text1Numbered"/>
      </w:pPr>
      <w:r>
        <w:t>If someone who uses MHA services such as a resident, tenant, or member</w:t>
      </w:r>
      <w:r w:rsidRPr="00DB0189">
        <w:t xml:space="preserve"> has a concern about the support provided to them, this should be raised as a complaint</w:t>
      </w:r>
      <w:r>
        <w:t xml:space="preserve"> using the </w:t>
      </w:r>
      <w:r w:rsidRPr="00610A9B">
        <w:rPr>
          <w:u w:val="single"/>
        </w:rPr>
        <w:t xml:space="preserve">Complaints </w:t>
      </w:r>
      <w:r w:rsidR="00CC158C" w:rsidRPr="00610A9B">
        <w:rPr>
          <w:u w:val="single"/>
        </w:rPr>
        <w:t>P</w:t>
      </w:r>
      <w:r w:rsidRPr="00610A9B">
        <w:rPr>
          <w:u w:val="single"/>
        </w:rPr>
        <w:t xml:space="preserve">olicy and </w:t>
      </w:r>
      <w:r w:rsidR="00CC158C" w:rsidRPr="00610A9B">
        <w:rPr>
          <w:u w:val="single"/>
        </w:rPr>
        <w:t>P</w:t>
      </w:r>
      <w:r w:rsidRPr="00610A9B">
        <w:rPr>
          <w:u w:val="single"/>
        </w:rPr>
        <w:t>rocedure.</w:t>
      </w:r>
    </w:p>
    <w:p w14:paraId="0787CFD5" w14:textId="77777777" w:rsidR="00746FD3" w:rsidRDefault="00746FD3" w:rsidP="00746FD3">
      <w:pPr>
        <w:pStyle w:val="Text1Numbered"/>
        <w:numPr>
          <w:ilvl w:val="0"/>
          <w:numId w:val="0"/>
        </w:numPr>
        <w:ind w:left="1135"/>
      </w:pPr>
    </w:p>
    <w:p w14:paraId="17DC6246" w14:textId="50A343DD" w:rsidR="00B117F5" w:rsidRPr="00DB0189" w:rsidRDefault="00746FD3" w:rsidP="00610A9B">
      <w:pPr>
        <w:pStyle w:val="Text1Numbered"/>
      </w:pPr>
      <w:r w:rsidRPr="007B0BC6">
        <w:t>Concerns relating to an individual’s opinion - e.g., disagreements with work practices, are not classed as a protected disclosure and should be raised with a manager to enable the concerns to be addressed.</w:t>
      </w:r>
    </w:p>
    <w:p w14:paraId="3A84B6A0" w14:textId="77777777" w:rsidR="00746FD3" w:rsidRPr="004C3545" w:rsidRDefault="00746FD3" w:rsidP="00746FD3">
      <w:pPr>
        <w:pStyle w:val="Heading1Numbered"/>
      </w:pPr>
      <w:bookmarkStart w:id="16" w:name="_Toc137559810"/>
      <w:bookmarkStart w:id="17" w:name="_Toc179367022"/>
      <w:r>
        <w:t>Independent Advice and Support</w:t>
      </w:r>
      <w:bookmarkEnd w:id="16"/>
      <w:bookmarkEnd w:id="17"/>
    </w:p>
    <w:p w14:paraId="105EE72E" w14:textId="77777777" w:rsidR="00746FD3" w:rsidRDefault="00746FD3" w:rsidP="00746FD3">
      <w:pPr>
        <w:pStyle w:val="Text1Numbered"/>
      </w:pPr>
      <w:r w:rsidRPr="00D934BB">
        <w:t xml:space="preserve">If you are unsure whether to use this policy or you want confidential advice at any stage, you may contact the independent charity </w:t>
      </w:r>
      <w:r w:rsidRPr="00D934BB">
        <w:rPr>
          <w:b/>
          <w:bCs/>
        </w:rPr>
        <w:t>Protect on 020 3117 2520 or by email at</w:t>
      </w:r>
      <w:r w:rsidRPr="00D934BB">
        <w:t xml:space="preserve"> </w:t>
      </w:r>
      <w:hyperlink r:id="rId11" w:history="1">
        <w:r w:rsidRPr="00746FD3">
          <w:rPr>
            <w:rStyle w:val="Hyperlink"/>
            <w:rFonts w:cs="Arial"/>
            <w:b/>
            <w:color w:val="217593" w:themeColor="accent1"/>
          </w:rPr>
          <w:t>whistle@protect-advice.org.uk</w:t>
        </w:r>
      </w:hyperlink>
      <w:r w:rsidRPr="00D934BB">
        <w:t xml:space="preserve">.  </w:t>
      </w:r>
      <w:r>
        <w:t>Protect</w:t>
      </w:r>
      <w:r w:rsidRPr="00D934BB">
        <w:t xml:space="preserve"> Advisers</w:t>
      </w:r>
      <w:r w:rsidRPr="00D934BB">
        <w:rPr>
          <w:i/>
        </w:rPr>
        <w:t xml:space="preserve"> </w:t>
      </w:r>
      <w:r w:rsidRPr="00D934BB">
        <w:t xml:space="preserve">can talk you through your options and help you raise a concern about malpractice at work. </w:t>
      </w:r>
    </w:p>
    <w:p w14:paraId="23D7836A" w14:textId="77777777" w:rsidR="00746FD3" w:rsidRPr="00D47ABA" w:rsidRDefault="00746FD3" w:rsidP="00746FD3">
      <w:pPr>
        <w:pStyle w:val="Text1Numbered"/>
        <w:numPr>
          <w:ilvl w:val="0"/>
          <w:numId w:val="0"/>
        </w:numPr>
        <w:ind w:left="1135"/>
      </w:pPr>
    </w:p>
    <w:p w14:paraId="1DD939B9" w14:textId="77777777" w:rsidR="00746FD3" w:rsidRDefault="00746FD3" w:rsidP="00746FD3">
      <w:pPr>
        <w:pStyle w:val="Text1Numbered"/>
      </w:pPr>
      <w:r w:rsidRPr="00D934BB">
        <w:t xml:space="preserve">All those listed within the </w:t>
      </w:r>
      <w:r>
        <w:t>scope of this policy</w:t>
      </w:r>
      <w:r w:rsidRPr="00D934BB">
        <w:t xml:space="preserve"> have access to the free phone service. The number of the free phone service is widely and openly displayed within</w:t>
      </w:r>
      <w:r>
        <w:t xml:space="preserve"> MHA homes, schemes and services. </w:t>
      </w:r>
    </w:p>
    <w:p w14:paraId="31883B3C" w14:textId="77777777" w:rsidR="00746FD3" w:rsidRPr="004C3545" w:rsidRDefault="00746FD3" w:rsidP="00746FD3">
      <w:pPr>
        <w:pStyle w:val="Heading1Numbered"/>
      </w:pPr>
      <w:bookmarkStart w:id="18" w:name="_Toc137559811"/>
      <w:bookmarkStart w:id="19" w:name="_Toc179367023"/>
      <w:r>
        <w:t>Your Safety</w:t>
      </w:r>
      <w:bookmarkEnd w:id="18"/>
      <w:bookmarkEnd w:id="19"/>
    </w:p>
    <w:p w14:paraId="52553C25" w14:textId="77777777" w:rsidR="00746FD3" w:rsidRDefault="00746FD3" w:rsidP="00746FD3">
      <w:pPr>
        <w:pStyle w:val="Text1Numbered"/>
      </w:pPr>
      <w:r w:rsidRPr="00205461">
        <w:t xml:space="preserve">If you raise a genuine concern </w:t>
      </w:r>
      <w:r>
        <w:t>as a whistle-blower</w:t>
      </w:r>
      <w:r w:rsidRPr="00205461">
        <w:t>, you will not be at risk of losing your job or suffering any form of reprisal as a result. We will not tolerate the harassment or victimisation of anyone raising a genuine concern and we consider it a disciplinary matter to victimise anyone who has raised a genuine concern.</w:t>
      </w:r>
    </w:p>
    <w:p w14:paraId="2AF13EFE" w14:textId="77777777" w:rsidR="00746FD3" w:rsidRPr="00594E14" w:rsidRDefault="00746FD3" w:rsidP="00746FD3">
      <w:pPr>
        <w:pStyle w:val="Text1Numbered"/>
        <w:numPr>
          <w:ilvl w:val="0"/>
          <w:numId w:val="0"/>
        </w:numPr>
        <w:ind w:left="1135"/>
      </w:pPr>
    </w:p>
    <w:p w14:paraId="040A712A" w14:textId="1A449976" w:rsidR="00746FD3" w:rsidRPr="00511476" w:rsidRDefault="00746FD3" w:rsidP="00746FD3">
      <w:pPr>
        <w:pStyle w:val="Text1Numbered"/>
      </w:pPr>
      <w:r w:rsidRPr="00205461">
        <w:t>However, if someone maliciously raises a matter they know is untrue, disciplinary action will be taken.</w:t>
      </w:r>
    </w:p>
    <w:p w14:paraId="1FA41866" w14:textId="77777777" w:rsidR="00746FD3" w:rsidRDefault="00746FD3" w:rsidP="00746FD3">
      <w:pPr>
        <w:pStyle w:val="Heading1Numbered"/>
      </w:pPr>
      <w:bookmarkStart w:id="20" w:name="_Toc137559812"/>
      <w:bookmarkStart w:id="21" w:name="_Toc179367024"/>
      <w:r>
        <w:t>Confidentiality</w:t>
      </w:r>
      <w:bookmarkEnd w:id="20"/>
      <w:bookmarkEnd w:id="21"/>
    </w:p>
    <w:p w14:paraId="7548C71C" w14:textId="7D40FD1B" w:rsidR="00746FD3" w:rsidRDefault="00746FD3" w:rsidP="00746FD3">
      <w:pPr>
        <w:pStyle w:val="Text1Numbered"/>
      </w:pPr>
      <w:r>
        <w:t xml:space="preserve">As a whistle-blower you may request </w:t>
      </w:r>
      <w:r w:rsidRPr="00205461">
        <w:t>anonymity</w:t>
      </w:r>
      <w:r>
        <w:t xml:space="preserve">, however this may make it more </w:t>
      </w:r>
      <w:r w:rsidRPr="00205461">
        <w:t>difficult to investigate</w:t>
      </w:r>
      <w:r>
        <w:t xml:space="preserve"> your </w:t>
      </w:r>
      <w:r w:rsidRPr="00205461">
        <w:t xml:space="preserve">concern, </w:t>
      </w:r>
      <w:r>
        <w:t xml:space="preserve">for us to </w:t>
      </w:r>
      <w:r w:rsidRPr="00205461">
        <w:t xml:space="preserve">seek more clarification or to provide </w:t>
      </w:r>
      <w:r>
        <w:t>you</w:t>
      </w:r>
      <w:r w:rsidR="006751FC">
        <w:t xml:space="preserve"> with</w:t>
      </w:r>
      <w:r>
        <w:t xml:space="preserve"> </w:t>
      </w:r>
      <w:r w:rsidRPr="00205461">
        <w:t>feedback. It will also be difficult to protect</w:t>
      </w:r>
      <w:r>
        <w:t xml:space="preserve"> you</w:t>
      </w:r>
      <w:r w:rsidRPr="00205461">
        <w:t xml:space="preserve"> from reprisals. Anonymity is therefore not encouraged.</w:t>
      </w:r>
      <w:r w:rsidRPr="001476BC">
        <w:t xml:space="preserve"> </w:t>
      </w:r>
    </w:p>
    <w:p w14:paraId="040B7702" w14:textId="77777777" w:rsidR="00746FD3" w:rsidRDefault="00746FD3" w:rsidP="00746FD3">
      <w:pPr>
        <w:pStyle w:val="Text1Numbered"/>
        <w:numPr>
          <w:ilvl w:val="0"/>
          <w:numId w:val="0"/>
        </w:numPr>
        <w:ind w:left="1135"/>
      </w:pPr>
    </w:p>
    <w:p w14:paraId="219D62EC" w14:textId="77777777" w:rsidR="00610A9B" w:rsidRDefault="00610A9B" w:rsidP="00746FD3">
      <w:pPr>
        <w:pStyle w:val="Text1Numbered"/>
        <w:numPr>
          <w:ilvl w:val="0"/>
          <w:numId w:val="0"/>
        </w:numPr>
        <w:ind w:left="1135"/>
      </w:pPr>
    </w:p>
    <w:p w14:paraId="46E148B0" w14:textId="79570415" w:rsidR="00746FD3" w:rsidRDefault="00746FD3" w:rsidP="00746FD3">
      <w:pPr>
        <w:pStyle w:val="Text1Numbered"/>
      </w:pPr>
      <w:r w:rsidRPr="00205461">
        <w:t>Anonymous allegations will still be considered carefully, considering the seriousness of the issues raised</w:t>
      </w:r>
      <w:r w:rsidR="00601ADB">
        <w:t>,</w:t>
      </w:r>
      <w:r w:rsidRPr="00205461">
        <w:t xml:space="preserve"> the credibility of the concerns and the likelihood of confirming the allegation. However, they can be more difficult to investigate.</w:t>
      </w:r>
    </w:p>
    <w:p w14:paraId="4BAE7449" w14:textId="77777777" w:rsidR="00746FD3" w:rsidRPr="00790D9C" w:rsidRDefault="00746FD3" w:rsidP="00746FD3">
      <w:pPr>
        <w:pStyle w:val="Text1Numbered"/>
        <w:numPr>
          <w:ilvl w:val="0"/>
          <w:numId w:val="0"/>
        </w:numPr>
        <w:ind w:left="1135"/>
      </w:pPr>
    </w:p>
    <w:p w14:paraId="7EAFE105" w14:textId="77777777" w:rsidR="00746FD3" w:rsidRPr="00082857" w:rsidRDefault="00746FD3" w:rsidP="00746FD3">
      <w:pPr>
        <w:pStyle w:val="Text1Numbered"/>
      </w:pPr>
      <w:r w:rsidRPr="00205461">
        <w:t>Every effort will be made to keep your identity confidential, at least until any formal investigation is under way. In order not to jeopardise the investigation into the alleged malpractice, you will also be expected to keep the fact that you have raised a concern, the nature of the concern and the identity of those involved confidential. Every effort will be made to inform you if your identity is likely to be disclosed.</w:t>
      </w:r>
    </w:p>
    <w:p w14:paraId="3C58681D" w14:textId="77777777" w:rsidR="00746FD3" w:rsidRPr="00D56AC4" w:rsidRDefault="00746FD3" w:rsidP="00746FD3">
      <w:pPr>
        <w:pStyle w:val="Heading1Numbered"/>
      </w:pPr>
      <w:bookmarkStart w:id="22" w:name="_Toc137559813"/>
      <w:bookmarkStart w:id="23" w:name="_Toc179367025"/>
      <w:r w:rsidRPr="00D56AC4">
        <w:t>How to Raise a Concern Internally - Procedure</w:t>
      </w:r>
      <w:bookmarkEnd w:id="22"/>
      <w:bookmarkEnd w:id="23"/>
    </w:p>
    <w:p w14:paraId="269EFE92" w14:textId="70C99D63" w:rsidR="00746FD3" w:rsidRPr="00F42D2F" w:rsidRDefault="00746FD3" w:rsidP="00746FD3">
      <w:pPr>
        <w:pStyle w:val="Text1Numbered"/>
      </w:pPr>
      <w:r w:rsidRPr="00D27AEA">
        <w:t>If you have concerns relating to any of</w:t>
      </w:r>
      <w:r w:rsidR="006751FC">
        <w:t xml:space="preserve"> the</w:t>
      </w:r>
      <w:r w:rsidRPr="00D27AEA">
        <w:t xml:space="preserve"> wrongdoing</w:t>
      </w:r>
      <w:r w:rsidR="006751FC">
        <w:t>s</w:t>
      </w:r>
      <w:r w:rsidRPr="00D27AEA">
        <w:t xml:space="preserve"> outlined in section 1.2, in the first instance we encourage you to raise your concerns to a line manager or a senior manager, who we hope will be able to resolve your concerns quickly and effectively. </w:t>
      </w:r>
      <w:r>
        <w:rPr>
          <w:rFonts w:cs="Arial"/>
        </w:rPr>
        <w:t xml:space="preserve">Dependent upon the nature of the concern, line managers may need to liaise accordingly with additional relevant colleagues as outlined in </w:t>
      </w:r>
      <w:r w:rsidRPr="00F42D2F">
        <w:rPr>
          <w:rFonts w:cs="Arial"/>
        </w:rPr>
        <w:t xml:space="preserve">table 2.  </w:t>
      </w:r>
    </w:p>
    <w:p w14:paraId="3C98FF4E" w14:textId="77777777" w:rsidR="00746FD3" w:rsidRPr="00F42D2F" w:rsidRDefault="00746FD3" w:rsidP="00746FD3">
      <w:pPr>
        <w:pStyle w:val="Text1Numbered"/>
        <w:numPr>
          <w:ilvl w:val="0"/>
          <w:numId w:val="0"/>
        </w:numPr>
        <w:ind w:left="1135"/>
      </w:pPr>
    </w:p>
    <w:p w14:paraId="54872C20" w14:textId="77777777" w:rsidR="00746FD3" w:rsidRPr="00F42D2F" w:rsidRDefault="00746FD3" w:rsidP="00746FD3">
      <w:pPr>
        <w:pStyle w:val="Text1Numbered"/>
      </w:pPr>
      <w:r>
        <w:t xml:space="preserve">If your </w:t>
      </w:r>
      <w:r w:rsidRPr="00606B35">
        <w:t xml:space="preserve">concerns </w:t>
      </w:r>
      <w:r>
        <w:t>cannot, or are not, p</w:t>
      </w:r>
      <w:r w:rsidRPr="00606B35">
        <w:t xml:space="preserve">roperly addressed by the line manager and/or the senior manager </w:t>
      </w:r>
      <w:r w:rsidRPr="00C361C9">
        <w:rPr>
          <w:b/>
          <w:bCs/>
        </w:rPr>
        <w:t xml:space="preserve">or </w:t>
      </w:r>
      <w:r w:rsidRPr="00F42D2F">
        <w:t xml:space="preserve">where you feel unable to raise concerns to a line manager or a senior manager, and therefore wish to make a protected disclosure as a whistle-blower, please email the Whistleblowing inbox at </w:t>
      </w:r>
      <w:hyperlink r:id="rId12" w:history="1">
        <w:r w:rsidRPr="00711305">
          <w:rPr>
            <w:rStyle w:val="Hyperlink"/>
          </w:rPr>
          <w:t>Whistleblowing@mha.org.uk</w:t>
        </w:r>
      </w:hyperlink>
      <w:r>
        <w:t xml:space="preserve">. </w:t>
      </w:r>
      <w:r w:rsidRPr="00F42D2F">
        <w:t xml:space="preserve"> </w:t>
      </w:r>
    </w:p>
    <w:p w14:paraId="2EAD44AA" w14:textId="77777777" w:rsidR="00610A9B" w:rsidRDefault="00610A9B" w:rsidP="00746FD3">
      <w:pPr>
        <w:pStyle w:val="Text1Numbered"/>
        <w:numPr>
          <w:ilvl w:val="0"/>
          <w:numId w:val="0"/>
        </w:numPr>
        <w:rPr>
          <w:rFonts w:cs="Arial"/>
        </w:rPr>
      </w:pPr>
    </w:p>
    <w:p w14:paraId="7286EDF2" w14:textId="77777777" w:rsidR="00610A9B" w:rsidRDefault="00610A9B" w:rsidP="00746FD3">
      <w:pPr>
        <w:pStyle w:val="Text1Numbered"/>
        <w:numPr>
          <w:ilvl w:val="0"/>
          <w:numId w:val="0"/>
        </w:numPr>
        <w:rPr>
          <w:rFonts w:cs="Arial"/>
        </w:rPr>
      </w:pPr>
    </w:p>
    <w:p w14:paraId="25E171B4" w14:textId="77777777" w:rsidR="00610A9B" w:rsidRDefault="00610A9B" w:rsidP="00746FD3">
      <w:pPr>
        <w:pStyle w:val="Text1Numbered"/>
        <w:numPr>
          <w:ilvl w:val="0"/>
          <w:numId w:val="0"/>
        </w:numPr>
        <w:rPr>
          <w:rFonts w:cs="Arial"/>
        </w:rPr>
      </w:pPr>
    </w:p>
    <w:p w14:paraId="5A6BA15C" w14:textId="77777777" w:rsidR="00610A9B" w:rsidRDefault="00610A9B" w:rsidP="00746FD3">
      <w:pPr>
        <w:pStyle w:val="Text1Numbered"/>
        <w:numPr>
          <w:ilvl w:val="0"/>
          <w:numId w:val="0"/>
        </w:numPr>
        <w:rPr>
          <w:rFonts w:cs="Arial"/>
        </w:rPr>
      </w:pPr>
    </w:p>
    <w:p w14:paraId="7F736C8C" w14:textId="77777777" w:rsidR="00610A9B" w:rsidRDefault="00610A9B" w:rsidP="00746FD3">
      <w:pPr>
        <w:pStyle w:val="Text1Numbered"/>
        <w:numPr>
          <w:ilvl w:val="0"/>
          <w:numId w:val="0"/>
        </w:numPr>
        <w:rPr>
          <w:rFonts w:cs="Arial"/>
        </w:rPr>
      </w:pPr>
    </w:p>
    <w:p w14:paraId="5B870F45" w14:textId="77777777" w:rsidR="00610A9B" w:rsidRDefault="00610A9B" w:rsidP="00746FD3">
      <w:pPr>
        <w:pStyle w:val="Text1Numbered"/>
        <w:numPr>
          <w:ilvl w:val="0"/>
          <w:numId w:val="0"/>
        </w:numPr>
        <w:rPr>
          <w:rFonts w:cs="Arial"/>
        </w:rPr>
      </w:pPr>
    </w:p>
    <w:p w14:paraId="27F3ABCA" w14:textId="77777777" w:rsidR="00610A9B" w:rsidRDefault="00610A9B" w:rsidP="00746FD3">
      <w:pPr>
        <w:pStyle w:val="Text1Numbered"/>
        <w:numPr>
          <w:ilvl w:val="0"/>
          <w:numId w:val="0"/>
        </w:numPr>
        <w:rPr>
          <w:rFonts w:cs="Arial"/>
        </w:rPr>
      </w:pPr>
    </w:p>
    <w:p w14:paraId="22676CF2" w14:textId="77777777" w:rsidR="00610A9B" w:rsidRPr="004128E7" w:rsidRDefault="00610A9B" w:rsidP="00746FD3">
      <w:pPr>
        <w:pStyle w:val="Text1Numbered"/>
        <w:numPr>
          <w:ilvl w:val="0"/>
          <w:numId w:val="0"/>
        </w:numPr>
        <w:rPr>
          <w:rFonts w:cs="Arial"/>
        </w:rPr>
      </w:pPr>
    </w:p>
    <w:p w14:paraId="0E0A73BD" w14:textId="3D671725" w:rsidR="00746FD3" w:rsidRPr="00784932" w:rsidRDefault="00746FD3" w:rsidP="00746FD3">
      <w:pPr>
        <w:pStyle w:val="Text1Numbered"/>
        <w:rPr>
          <w:b/>
          <w:bCs/>
        </w:rPr>
      </w:pPr>
      <w:r w:rsidRPr="00784932">
        <w:rPr>
          <w:b/>
          <w:bCs/>
        </w:rPr>
        <w:t xml:space="preserve">Table One: </w:t>
      </w:r>
      <w:r>
        <w:rPr>
          <w:b/>
          <w:bCs/>
        </w:rPr>
        <w:t>R</w:t>
      </w:r>
      <w:r w:rsidRPr="00784932">
        <w:rPr>
          <w:b/>
          <w:bCs/>
        </w:rPr>
        <w:t>outes of raising a concern internally</w:t>
      </w:r>
    </w:p>
    <w:tbl>
      <w:tblPr>
        <w:tblStyle w:val="TableGrid"/>
        <w:tblW w:w="9498" w:type="dxa"/>
        <w:tblInd w:w="-5" w:type="dxa"/>
        <w:tblLook w:val="04A0" w:firstRow="1" w:lastRow="0" w:firstColumn="1" w:lastColumn="0" w:noHBand="0" w:noVBand="1"/>
      </w:tblPr>
      <w:tblGrid>
        <w:gridCol w:w="2074"/>
        <w:gridCol w:w="7424"/>
      </w:tblGrid>
      <w:tr w:rsidR="00746FD3" w:rsidRPr="00130C5F" w14:paraId="0FAC2AFA" w14:textId="77777777" w:rsidTr="00746FD3">
        <w:trPr>
          <w:tblHeader/>
        </w:trPr>
        <w:tc>
          <w:tcPr>
            <w:tcW w:w="1843" w:type="dxa"/>
            <w:shd w:val="clear" w:color="auto" w:fill="217593" w:themeFill="accent1"/>
          </w:tcPr>
          <w:p w14:paraId="4206E2A4" w14:textId="77777777" w:rsidR="00746FD3" w:rsidRPr="00594E14" w:rsidRDefault="00746FD3" w:rsidP="00135476">
            <w:pPr>
              <w:pStyle w:val="Text"/>
              <w:rPr>
                <w:b/>
                <w:bCs/>
                <w:color w:val="FFFFFF" w:themeColor="background1"/>
              </w:rPr>
            </w:pPr>
            <w:r w:rsidRPr="00594E14">
              <w:rPr>
                <w:b/>
                <w:bCs/>
                <w:color w:val="FFFFFF" w:themeColor="background1"/>
              </w:rPr>
              <w:t>Management Level</w:t>
            </w:r>
          </w:p>
        </w:tc>
        <w:tc>
          <w:tcPr>
            <w:tcW w:w="7655" w:type="dxa"/>
            <w:shd w:val="clear" w:color="auto" w:fill="217593" w:themeFill="accent1"/>
          </w:tcPr>
          <w:p w14:paraId="1D318446" w14:textId="77777777" w:rsidR="00746FD3" w:rsidRPr="00594E14" w:rsidRDefault="00746FD3" w:rsidP="00135476">
            <w:pPr>
              <w:pStyle w:val="Text"/>
              <w:rPr>
                <w:b/>
                <w:bCs/>
                <w:color w:val="FFFFFF" w:themeColor="background1"/>
              </w:rPr>
            </w:pPr>
            <w:r w:rsidRPr="00594E14">
              <w:rPr>
                <w:b/>
                <w:bCs/>
                <w:color w:val="FFFFFF" w:themeColor="background1"/>
              </w:rPr>
              <w:t>Details</w:t>
            </w:r>
          </w:p>
        </w:tc>
      </w:tr>
      <w:tr w:rsidR="00746FD3" w:rsidRPr="00130C5F" w14:paraId="77BC948D" w14:textId="77777777" w:rsidTr="00135476">
        <w:tc>
          <w:tcPr>
            <w:tcW w:w="1843" w:type="dxa"/>
          </w:tcPr>
          <w:p w14:paraId="5AF97F7A" w14:textId="77777777" w:rsidR="00746FD3" w:rsidRPr="001119AC" w:rsidRDefault="00746FD3" w:rsidP="00135476">
            <w:pPr>
              <w:pStyle w:val="Text"/>
              <w:rPr>
                <w:b/>
                <w:bCs/>
              </w:rPr>
            </w:pPr>
            <w:r w:rsidRPr="001119AC">
              <w:rPr>
                <w:b/>
                <w:bCs/>
              </w:rPr>
              <w:t>Line Manage</w:t>
            </w:r>
            <w:r>
              <w:rPr>
                <w:b/>
                <w:bCs/>
              </w:rPr>
              <w:t>ment</w:t>
            </w:r>
          </w:p>
        </w:tc>
        <w:tc>
          <w:tcPr>
            <w:tcW w:w="7655" w:type="dxa"/>
          </w:tcPr>
          <w:p w14:paraId="309C502D" w14:textId="77777777" w:rsidR="00746FD3" w:rsidRPr="00130C5F" w:rsidRDefault="00746FD3" w:rsidP="00135476">
            <w:pPr>
              <w:pStyle w:val="Text"/>
            </w:pPr>
            <w:r w:rsidRPr="00130C5F">
              <w:t>The line manager is the immediate manager of the individual who</w:t>
            </w:r>
            <w:r>
              <w:t xml:space="preserve"> wishes to raise a concern</w:t>
            </w:r>
            <w:r w:rsidRPr="00130C5F">
              <w:t>.</w:t>
            </w:r>
            <w:r>
              <w:t xml:space="preserve"> I</w:t>
            </w:r>
            <w:r w:rsidRPr="00D56AC4">
              <w:t>n the first instance we encourage you to raise your concerns to a line manager who we hope will be able to resolve your concerns quickly and effectively.</w:t>
            </w:r>
            <w:r>
              <w:t xml:space="preserve"> </w:t>
            </w:r>
          </w:p>
        </w:tc>
      </w:tr>
      <w:tr w:rsidR="00746FD3" w:rsidRPr="00130C5F" w14:paraId="0FB7EF6B" w14:textId="77777777" w:rsidTr="00135476">
        <w:tc>
          <w:tcPr>
            <w:tcW w:w="1843" w:type="dxa"/>
          </w:tcPr>
          <w:p w14:paraId="189BECFF" w14:textId="77777777" w:rsidR="00746FD3" w:rsidRPr="001119AC" w:rsidRDefault="00746FD3" w:rsidP="00135476">
            <w:pPr>
              <w:pStyle w:val="Text"/>
              <w:rPr>
                <w:b/>
                <w:bCs/>
              </w:rPr>
            </w:pPr>
            <w:r w:rsidRPr="001119AC">
              <w:rPr>
                <w:b/>
                <w:bCs/>
              </w:rPr>
              <w:t>Senior Manager</w:t>
            </w:r>
          </w:p>
        </w:tc>
        <w:tc>
          <w:tcPr>
            <w:tcW w:w="7655" w:type="dxa"/>
          </w:tcPr>
          <w:p w14:paraId="30DFAB35" w14:textId="77777777" w:rsidR="00746FD3" w:rsidRPr="00130C5F" w:rsidRDefault="00746FD3" w:rsidP="00135476">
            <w:pPr>
              <w:pStyle w:val="Text"/>
            </w:pPr>
            <w:r w:rsidRPr="00130C5F">
              <w:t>Senior managers may also be line managers. Senior management roles include Area Managers, Regional Directors, Heads of Service, and Directors.</w:t>
            </w:r>
          </w:p>
        </w:tc>
      </w:tr>
      <w:tr w:rsidR="00746FD3" w:rsidRPr="00130C5F" w14:paraId="4F99CC77" w14:textId="77777777" w:rsidTr="00135476">
        <w:tc>
          <w:tcPr>
            <w:tcW w:w="1843" w:type="dxa"/>
          </w:tcPr>
          <w:p w14:paraId="1E688336" w14:textId="77777777" w:rsidR="00746FD3" w:rsidRPr="001119AC" w:rsidRDefault="00746FD3" w:rsidP="00135476">
            <w:pPr>
              <w:pStyle w:val="Text"/>
              <w:rPr>
                <w:b/>
                <w:bCs/>
              </w:rPr>
            </w:pPr>
            <w:r w:rsidRPr="001119AC">
              <w:rPr>
                <w:b/>
                <w:bCs/>
              </w:rPr>
              <w:t>MHA’s Whistleblowing Email</w:t>
            </w:r>
          </w:p>
        </w:tc>
        <w:tc>
          <w:tcPr>
            <w:tcW w:w="7655" w:type="dxa"/>
          </w:tcPr>
          <w:p w14:paraId="2A7E6FF5" w14:textId="77777777" w:rsidR="00746FD3" w:rsidRPr="00D56AC4" w:rsidRDefault="00746FD3" w:rsidP="00135476">
            <w:pPr>
              <w:pStyle w:val="Text1Numbered"/>
              <w:numPr>
                <w:ilvl w:val="0"/>
                <w:numId w:val="0"/>
              </w:numPr>
              <w:rPr>
                <w:rFonts w:cs="Arial"/>
              </w:rPr>
            </w:pPr>
            <w:r w:rsidRPr="00C361C9">
              <w:t xml:space="preserve">Where it is felt that your concerns have not been properly addressed by a line manager and/or a senior manager </w:t>
            </w:r>
            <w:r w:rsidRPr="00C361C9">
              <w:rPr>
                <w:b/>
                <w:bCs/>
              </w:rPr>
              <w:t xml:space="preserve">or </w:t>
            </w:r>
            <w:r w:rsidRPr="00C361C9">
              <w:t xml:space="preserve">where you feel unable to </w:t>
            </w:r>
            <w:r>
              <w:t xml:space="preserve">raise concerns via a </w:t>
            </w:r>
            <w:r w:rsidRPr="003972D9">
              <w:t>line manager and/or a senior manager</w:t>
            </w:r>
            <w:r w:rsidRPr="00C361C9">
              <w:t xml:space="preserve">, please email the Whistleblowing inbox at </w:t>
            </w:r>
            <w:hyperlink r:id="rId13" w:history="1">
              <w:r w:rsidRPr="00C361C9">
                <w:rPr>
                  <w:rStyle w:val="Hyperlink"/>
                </w:rPr>
                <w:t>whistleblowing@mha.org.uk</w:t>
              </w:r>
            </w:hyperlink>
            <w:r w:rsidRPr="00D56AC4">
              <w:t>.</w:t>
            </w:r>
          </w:p>
        </w:tc>
      </w:tr>
    </w:tbl>
    <w:p w14:paraId="5A45CF7D" w14:textId="77777777" w:rsidR="00746FD3" w:rsidRDefault="00746FD3" w:rsidP="00746FD3">
      <w:pPr>
        <w:shd w:val="clear" w:color="auto" w:fill="FFFFFF"/>
        <w:rPr>
          <w:rFonts w:cs="Arial"/>
        </w:rPr>
      </w:pPr>
    </w:p>
    <w:p w14:paraId="4335DB95" w14:textId="77777777" w:rsidR="00746FD3" w:rsidRPr="004C3545" w:rsidRDefault="00746FD3" w:rsidP="00746FD3">
      <w:pPr>
        <w:pStyle w:val="Heading1Numbered"/>
      </w:pPr>
      <w:bookmarkStart w:id="24" w:name="_Toc137559814"/>
      <w:bookmarkStart w:id="25" w:name="_Toc179367026"/>
      <w:r>
        <w:t>Investigating your Concern</w:t>
      </w:r>
      <w:bookmarkEnd w:id="24"/>
      <w:bookmarkEnd w:id="25"/>
    </w:p>
    <w:p w14:paraId="0435AF8F" w14:textId="77777777" w:rsidR="00746FD3" w:rsidRPr="00C361C9" w:rsidRDefault="00746FD3" w:rsidP="00746FD3">
      <w:pPr>
        <w:pStyle w:val="Text1Numbered"/>
      </w:pPr>
      <w:r w:rsidRPr="00C361C9">
        <w:t xml:space="preserve">If a whistle-blowing concern is raised, a Senior Manager will be informed and will take immediate appropriate action to safeguard the health and safety of any individuals as necessary and will seek to resolve the concern quickly and effectively. </w:t>
      </w:r>
    </w:p>
    <w:p w14:paraId="1A9CBEEB" w14:textId="77777777" w:rsidR="00746FD3" w:rsidRPr="00C361C9" w:rsidRDefault="00746FD3" w:rsidP="00746FD3">
      <w:pPr>
        <w:pStyle w:val="Text1Numbered"/>
        <w:numPr>
          <w:ilvl w:val="0"/>
          <w:numId w:val="0"/>
        </w:numPr>
        <w:ind w:left="1135"/>
      </w:pPr>
    </w:p>
    <w:p w14:paraId="0A54F92B" w14:textId="77777777" w:rsidR="00746FD3" w:rsidRPr="00C361C9" w:rsidRDefault="00746FD3" w:rsidP="00746FD3">
      <w:pPr>
        <w:pStyle w:val="Text1Numbered"/>
      </w:pPr>
      <w:r w:rsidRPr="00C361C9">
        <w:t xml:space="preserve">If not already informed, the Senior Manager must report the concern via </w:t>
      </w:r>
      <w:hyperlink r:id="rId14" w:history="1">
        <w:r w:rsidRPr="00C361C9">
          <w:rPr>
            <w:rStyle w:val="Hyperlink"/>
          </w:rPr>
          <w:t>whistleblowing@mha.org.uk</w:t>
        </w:r>
      </w:hyperlink>
      <w:r w:rsidRPr="00C361C9">
        <w:t xml:space="preserve"> for appropriate monitoring, oversight, and recording. </w:t>
      </w:r>
    </w:p>
    <w:p w14:paraId="78E79825" w14:textId="77777777" w:rsidR="00746FD3" w:rsidRPr="00C361C9" w:rsidRDefault="00746FD3" w:rsidP="00746FD3">
      <w:pPr>
        <w:pStyle w:val="Text1Numbered"/>
        <w:numPr>
          <w:ilvl w:val="0"/>
          <w:numId w:val="0"/>
        </w:numPr>
        <w:ind w:left="1135"/>
      </w:pPr>
    </w:p>
    <w:p w14:paraId="67C4C61D" w14:textId="77777777" w:rsidR="00746FD3" w:rsidRDefault="00746FD3" w:rsidP="00746FD3">
      <w:pPr>
        <w:pStyle w:val="Text1Numbered"/>
      </w:pPr>
      <w:r w:rsidRPr="00C361C9">
        <w:t xml:space="preserve">Where concerns are unable to be satisfactorily resolved by the line manager, the Senior Manager must also inform Relevant Additional Colleagues where appropriate (see table 2). </w:t>
      </w:r>
    </w:p>
    <w:p w14:paraId="190CF978" w14:textId="77777777" w:rsidR="00B117F5" w:rsidRPr="00185E0B" w:rsidRDefault="00B117F5" w:rsidP="00746FD3">
      <w:pPr>
        <w:pStyle w:val="Text1Numbered"/>
        <w:numPr>
          <w:ilvl w:val="0"/>
          <w:numId w:val="0"/>
        </w:numPr>
      </w:pPr>
    </w:p>
    <w:p w14:paraId="7BF1A0D0" w14:textId="77777777" w:rsidR="00746FD3" w:rsidRPr="00784932" w:rsidRDefault="00746FD3" w:rsidP="00746FD3">
      <w:pPr>
        <w:pStyle w:val="Text1Numbered"/>
        <w:rPr>
          <w:b/>
        </w:rPr>
      </w:pPr>
      <w:r w:rsidRPr="00784932">
        <w:rPr>
          <w:b/>
        </w:rPr>
        <w:t xml:space="preserve">Table Two: Relevant Additional Colleagues </w:t>
      </w:r>
    </w:p>
    <w:tbl>
      <w:tblPr>
        <w:tblStyle w:val="TableGrid1"/>
        <w:tblW w:w="9214" w:type="dxa"/>
        <w:tblInd w:w="279" w:type="dxa"/>
        <w:tblLook w:val="04A0" w:firstRow="1" w:lastRow="0" w:firstColumn="1" w:lastColumn="0" w:noHBand="0" w:noVBand="1"/>
      </w:tblPr>
      <w:tblGrid>
        <w:gridCol w:w="3260"/>
        <w:gridCol w:w="5954"/>
      </w:tblGrid>
      <w:tr w:rsidR="00746FD3" w:rsidRPr="00594E14" w14:paraId="64C4078B" w14:textId="77777777" w:rsidTr="00A864B8">
        <w:trPr>
          <w:tblHeader/>
        </w:trPr>
        <w:tc>
          <w:tcPr>
            <w:tcW w:w="3260" w:type="dxa"/>
            <w:shd w:val="clear" w:color="auto" w:fill="217593" w:themeFill="accent1"/>
          </w:tcPr>
          <w:p w14:paraId="25F9590B" w14:textId="77777777" w:rsidR="00746FD3" w:rsidRPr="00594E14" w:rsidRDefault="00746FD3" w:rsidP="00135476">
            <w:pPr>
              <w:pStyle w:val="Text"/>
              <w:rPr>
                <w:b/>
                <w:bCs/>
                <w:color w:val="FFFFFF" w:themeColor="background1"/>
              </w:rPr>
            </w:pPr>
            <w:r w:rsidRPr="00CC158C">
              <w:rPr>
                <w:b/>
                <w:bCs/>
                <w:color w:val="FFFFFF" w:themeColor="background1"/>
                <w:sz w:val="24"/>
                <w:szCs w:val="24"/>
              </w:rPr>
              <w:t xml:space="preserve">Relevant Additional Colleagues to be Informed </w:t>
            </w:r>
          </w:p>
        </w:tc>
        <w:tc>
          <w:tcPr>
            <w:tcW w:w="5954" w:type="dxa"/>
            <w:shd w:val="clear" w:color="auto" w:fill="217593" w:themeFill="accent1"/>
          </w:tcPr>
          <w:p w14:paraId="69D9D4C2" w14:textId="77777777" w:rsidR="00746FD3" w:rsidRPr="00594E14" w:rsidRDefault="00746FD3" w:rsidP="00135476">
            <w:pPr>
              <w:pStyle w:val="Text"/>
              <w:rPr>
                <w:b/>
                <w:bCs/>
                <w:color w:val="FFFFFF" w:themeColor="background1"/>
              </w:rPr>
            </w:pPr>
            <w:r w:rsidRPr="00CC158C">
              <w:rPr>
                <w:b/>
                <w:bCs/>
                <w:color w:val="FFFFFF" w:themeColor="background1"/>
                <w:sz w:val="24"/>
                <w:szCs w:val="24"/>
              </w:rPr>
              <w:t>For Concerns Relating to</w:t>
            </w:r>
          </w:p>
        </w:tc>
      </w:tr>
      <w:tr w:rsidR="00746FD3" w:rsidRPr="00130C5F" w14:paraId="3EEC540A" w14:textId="77777777" w:rsidTr="00A864B8">
        <w:tc>
          <w:tcPr>
            <w:tcW w:w="3260" w:type="dxa"/>
          </w:tcPr>
          <w:p w14:paraId="4F623D02" w14:textId="77777777" w:rsidR="00746FD3" w:rsidRPr="001119AC" w:rsidRDefault="00746FD3" w:rsidP="00135476">
            <w:pPr>
              <w:pStyle w:val="Text"/>
              <w:rPr>
                <w:b/>
                <w:bCs/>
                <w:i/>
                <w:iCs/>
              </w:rPr>
            </w:pPr>
            <w:r w:rsidRPr="00CC158C">
              <w:rPr>
                <w:b/>
                <w:bCs/>
                <w:sz w:val="24"/>
                <w:szCs w:val="24"/>
              </w:rPr>
              <w:t>Safeguarding Lead</w:t>
            </w:r>
          </w:p>
        </w:tc>
        <w:tc>
          <w:tcPr>
            <w:tcW w:w="5954" w:type="dxa"/>
          </w:tcPr>
          <w:p w14:paraId="06CB4395" w14:textId="77777777" w:rsidR="00746FD3" w:rsidRPr="00130C5F" w:rsidRDefault="00746FD3" w:rsidP="00135476">
            <w:pPr>
              <w:pStyle w:val="Text"/>
              <w:rPr>
                <w:i/>
                <w:iCs/>
              </w:rPr>
            </w:pPr>
            <w:r w:rsidRPr="00CC158C">
              <w:rPr>
                <w:sz w:val="24"/>
                <w:szCs w:val="24"/>
              </w:rPr>
              <w:t>A resident / member not being cared for in a way that keeps them safe</w:t>
            </w:r>
          </w:p>
        </w:tc>
      </w:tr>
      <w:tr w:rsidR="00746FD3" w:rsidRPr="00130C5F" w14:paraId="276D000A" w14:textId="77777777" w:rsidTr="00A864B8">
        <w:tc>
          <w:tcPr>
            <w:tcW w:w="3260" w:type="dxa"/>
          </w:tcPr>
          <w:p w14:paraId="0B60E438" w14:textId="77777777" w:rsidR="00746FD3" w:rsidRPr="00CC158C" w:rsidRDefault="00746FD3" w:rsidP="00135476">
            <w:pPr>
              <w:pStyle w:val="Text"/>
              <w:rPr>
                <w:b/>
                <w:bCs/>
                <w:i/>
                <w:iCs/>
                <w:sz w:val="24"/>
                <w:szCs w:val="24"/>
              </w:rPr>
            </w:pPr>
            <w:r w:rsidRPr="00CC158C">
              <w:rPr>
                <w:b/>
                <w:bCs/>
                <w:sz w:val="24"/>
                <w:szCs w:val="24"/>
              </w:rPr>
              <w:t>Director of Finance</w:t>
            </w:r>
          </w:p>
        </w:tc>
        <w:tc>
          <w:tcPr>
            <w:tcW w:w="5954" w:type="dxa"/>
          </w:tcPr>
          <w:p w14:paraId="1F1FF0FE" w14:textId="77777777" w:rsidR="00746FD3" w:rsidRPr="00130C5F" w:rsidRDefault="00746FD3" w:rsidP="00135476">
            <w:pPr>
              <w:pStyle w:val="Text"/>
              <w:rPr>
                <w:i/>
                <w:iCs/>
              </w:rPr>
            </w:pPr>
            <w:r w:rsidRPr="00CC158C">
              <w:rPr>
                <w:sz w:val="24"/>
                <w:szCs w:val="24"/>
              </w:rPr>
              <w:t xml:space="preserve">Financial irregularities </w:t>
            </w:r>
          </w:p>
        </w:tc>
      </w:tr>
      <w:tr w:rsidR="00746FD3" w:rsidRPr="00130C5F" w14:paraId="3DDF5F9B" w14:textId="77777777" w:rsidTr="00A864B8">
        <w:tc>
          <w:tcPr>
            <w:tcW w:w="3260" w:type="dxa"/>
          </w:tcPr>
          <w:p w14:paraId="1BA74937" w14:textId="77777777" w:rsidR="00746FD3" w:rsidRPr="00CC158C" w:rsidRDefault="00746FD3" w:rsidP="00135476">
            <w:pPr>
              <w:pStyle w:val="Text"/>
              <w:rPr>
                <w:b/>
                <w:bCs/>
                <w:i/>
                <w:iCs/>
                <w:sz w:val="24"/>
                <w:szCs w:val="24"/>
              </w:rPr>
            </w:pPr>
            <w:r w:rsidRPr="00CC158C">
              <w:rPr>
                <w:b/>
                <w:bCs/>
                <w:sz w:val="24"/>
                <w:szCs w:val="24"/>
              </w:rPr>
              <w:t>Any Director or the Chief Executive</w:t>
            </w:r>
          </w:p>
        </w:tc>
        <w:tc>
          <w:tcPr>
            <w:tcW w:w="5954" w:type="dxa"/>
          </w:tcPr>
          <w:p w14:paraId="7BB084B0" w14:textId="77777777" w:rsidR="00746FD3" w:rsidRPr="00130C5F" w:rsidRDefault="00746FD3" w:rsidP="00135476">
            <w:pPr>
              <w:pStyle w:val="Text"/>
              <w:rPr>
                <w:i/>
                <w:iCs/>
              </w:rPr>
            </w:pPr>
            <w:r w:rsidRPr="00CC158C">
              <w:rPr>
                <w:sz w:val="24"/>
                <w:szCs w:val="24"/>
              </w:rPr>
              <w:t>Deliberate concealment of information or whole organisation impact</w:t>
            </w:r>
          </w:p>
        </w:tc>
      </w:tr>
      <w:tr w:rsidR="00746FD3" w:rsidRPr="00130C5F" w14:paraId="078DEF55" w14:textId="77777777" w:rsidTr="00A864B8">
        <w:tc>
          <w:tcPr>
            <w:tcW w:w="3260" w:type="dxa"/>
          </w:tcPr>
          <w:p w14:paraId="3D6386F7" w14:textId="77777777" w:rsidR="00746FD3" w:rsidRPr="001119AC" w:rsidRDefault="00746FD3" w:rsidP="00135476">
            <w:pPr>
              <w:pStyle w:val="Text"/>
              <w:rPr>
                <w:b/>
                <w:bCs/>
                <w:i/>
                <w:iCs/>
              </w:rPr>
            </w:pPr>
            <w:r w:rsidRPr="00CC158C">
              <w:rPr>
                <w:b/>
                <w:bCs/>
                <w:sz w:val="24"/>
                <w:szCs w:val="24"/>
              </w:rPr>
              <w:t>The Chair of the Board</w:t>
            </w:r>
          </w:p>
        </w:tc>
        <w:tc>
          <w:tcPr>
            <w:tcW w:w="5954" w:type="dxa"/>
          </w:tcPr>
          <w:p w14:paraId="2E3D7A6A" w14:textId="77777777" w:rsidR="00746FD3" w:rsidRPr="00130C5F" w:rsidRDefault="00746FD3" w:rsidP="00135476">
            <w:pPr>
              <w:pStyle w:val="Text"/>
              <w:rPr>
                <w:i/>
                <w:iCs/>
              </w:rPr>
            </w:pPr>
            <w:r w:rsidRPr="00CC158C">
              <w:rPr>
                <w:sz w:val="24"/>
                <w:szCs w:val="24"/>
              </w:rPr>
              <w:t>Any of the above matters where the alleged matter is likely to be by or about a Director or the Chief Executive</w:t>
            </w:r>
          </w:p>
        </w:tc>
      </w:tr>
    </w:tbl>
    <w:p w14:paraId="6B23338B" w14:textId="77777777" w:rsidR="00746FD3" w:rsidRPr="00594E14" w:rsidRDefault="00746FD3" w:rsidP="00746FD3">
      <w:pPr>
        <w:shd w:val="clear" w:color="auto" w:fill="FFFFFF"/>
        <w:rPr>
          <w:rFonts w:cs="Arial"/>
        </w:rPr>
      </w:pPr>
    </w:p>
    <w:p w14:paraId="407D4705" w14:textId="77777777" w:rsidR="00746FD3" w:rsidRDefault="00746FD3" w:rsidP="00746FD3">
      <w:pPr>
        <w:pStyle w:val="Text1Numbered"/>
      </w:pPr>
      <w:r>
        <w:t xml:space="preserve">The Senior Manager must </w:t>
      </w:r>
      <w:r w:rsidRPr="00205461">
        <w:t xml:space="preserve">respond to the disclosure by arranging a meeting with </w:t>
      </w:r>
      <w:r>
        <w:t>you</w:t>
      </w:r>
      <w:r w:rsidRPr="00205461">
        <w:t xml:space="preserve"> as soon as is reasonably practicable, but in any event no later than seven working days after the disclosure is first made. Even if the first meeting is of an exploratory nature it should normally take place within that period.</w:t>
      </w:r>
      <w:r>
        <w:t xml:space="preserve">  If this cannot be achieved, this will be communicated to you as to why and with an agreed timeframe.</w:t>
      </w:r>
      <w:r w:rsidRPr="00205461">
        <w:t xml:space="preserve"> </w:t>
      </w:r>
    </w:p>
    <w:p w14:paraId="211A5778" w14:textId="77777777" w:rsidR="00746FD3" w:rsidRPr="00244765" w:rsidRDefault="00746FD3" w:rsidP="00746FD3">
      <w:pPr>
        <w:pStyle w:val="Text1Numbered"/>
        <w:numPr>
          <w:ilvl w:val="0"/>
          <w:numId w:val="0"/>
        </w:numPr>
      </w:pPr>
    </w:p>
    <w:p w14:paraId="0A9A6978" w14:textId="77777777" w:rsidR="00746FD3" w:rsidRDefault="00746FD3" w:rsidP="00746FD3">
      <w:pPr>
        <w:pStyle w:val="Text1Numbered"/>
      </w:pPr>
      <w:r w:rsidRPr="00205461">
        <w:t xml:space="preserve">The Senior Manager should assess what further investigation is required of the allegation and inform </w:t>
      </w:r>
      <w:r>
        <w:t>you</w:t>
      </w:r>
      <w:r w:rsidRPr="00205461">
        <w:t xml:space="preserve"> of the nature and timescale of such investigation. Every effort will be made to fully complete investigations within 28 days. </w:t>
      </w:r>
    </w:p>
    <w:p w14:paraId="60CCD006" w14:textId="77777777" w:rsidR="00746FD3" w:rsidRPr="00244765" w:rsidRDefault="00746FD3" w:rsidP="00746FD3">
      <w:pPr>
        <w:pStyle w:val="Text1Numbered"/>
        <w:numPr>
          <w:ilvl w:val="0"/>
          <w:numId w:val="0"/>
        </w:numPr>
      </w:pPr>
    </w:p>
    <w:p w14:paraId="2C554F32" w14:textId="7E0DDAC8" w:rsidR="00746FD3" w:rsidRDefault="00746FD3" w:rsidP="00746FD3">
      <w:pPr>
        <w:pStyle w:val="Text1Numbered"/>
      </w:pPr>
      <w:r w:rsidRPr="00205461">
        <w:t>Appropriate authorities</w:t>
      </w:r>
      <w:r>
        <w:t xml:space="preserve"> and additional relevant colleagues (</w:t>
      </w:r>
      <w:r w:rsidR="00424676">
        <w:t>T</w:t>
      </w:r>
      <w:r>
        <w:t>able 2)</w:t>
      </w:r>
      <w:r w:rsidRPr="00205461">
        <w:t xml:space="preserve"> </w:t>
      </w:r>
      <w:r>
        <w:t>may need to</w:t>
      </w:r>
      <w:r w:rsidRPr="00205461">
        <w:t xml:space="preserve"> be informed accordingly </w:t>
      </w:r>
      <w:r>
        <w:t>-</w:t>
      </w:r>
      <w:r w:rsidRPr="00205461">
        <w:t xml:space="preserve"> where necessary</w:t>
      </w:r>
      <w:r>
        <w:t xml:space="preserve"> they</w:t>
      </w:r>
      <w:r w:rsidRPr="00205461">
        <w:t xml:space="preserve"> will be involved in the investigation process.</w:t>
      </w:r>
      <w:r>
        <w:t xml:space="preserve"> </w:t>
      </w:r>
    </w:p>
    <w:p w14:paraId="5FCC02E9" w14:textId="77777777" w:rsidR="00746FD3" w:rsidRPr="00F42A5B" w:rsidRDefault="00746FD3" w:rsidP="00746FD3">
      <w:pPr>
        <w:pStyle w:val="Text1Numbered"/>
        <w:numPr>
          <w:ilvl w:val="0"/>
          <w:numId w:val="0"/>
        </w:numPr>
      </w:pPr>
    </w:p>
    <w:p w14:paraId="30988501" w14:textId="77777777" w:rsidR="00746FD3" w:rsidRDefault="00746FD3" w:rsidP="00746FD3">
      <w:pPr>
        <w:pStyle w:val="Text1Numbered"/>
      </w:pPr>
      <w:r w:rsidRPr="00205461">
        <w:t xml:space="preserve">Following the investigation, the Senior Manager must inform </w:t>
      </w:r>
      <w:r>
        <w:t>you</w:t>
      </w:r>
      <w:r w:rsidRPr="00205461">
        <w:t xml:space="preserve"> of its outcome and, where relevant, agree the likely course of action that will be taken, along with a time period in which to ensure any action is to be completed by.</w:t>
      </w:r>
      <w:r>
        <w:t xml:space="preserve"> Where we decide not to pursue the matter further, we will explain why.</w:t>
      </w:r>
    </w:p>
    <w:p w14:paraId="66334177" w14:textId="77777777" w:rsidR="00746FD3" w:rsidRDefault="00746FD3" w:rsidP="00746FD3">
      <w:pPr>
        <w:pStyle w:val="Text1Numbered"/>
        <w:numPr>
          <w:ilvl w:val="0"/>
          <w:numId w:val="0"/>
        </w:numPr>
      </w:pPr>
    </w:p>
    <w:p w14:paraId="576364B8" w14:textId="77777777" w:rsidR="00746FD3" w:rsidRDefault="00746FD3" w:rsidP="00746FD3">
      <w:pPr>
        <w:pStyle w:val="Text1Numbered"/>
      </w:pPr>
      <w:r>
        <w:t>It must be noted that we may not be able to inform you of the precise action that is taken where this may infringe a duty of confidence owned by us to someone else or may interfere with any legal action we wish to take.</w:t>
      </w:r>
    </w:p>
    <w:p w14:paraId="1B1BD5AA" w14:textId="77777777" w:rsidR="00746FD3" w:rsidRPr="00082857" w:rsidRDefault="00746FD3" w:rsidP="00746FD3">
      <w:pPr>
        <w:pStyle w:val="Text1Numbered"/>
        <w:numPr>
          <w:ilvl w:val="0"/>
          <w:numId w:val="0"/>
        </w:numPr>
      </w:pPr>
    </w:p>
    <w:p w14:paraId="15E0A70A" w14:textId="77777777" w:rsidR="00746FD3" w:rsidRDefault="00746FD3" w:rsidP="00746FD3">
      <w:pPr>
        <w:pStyle w:val="Text1Numbered"/>
      </w:pPr>
      <w:r w:rsidRPr="00205461">
        <w:t>If necessary</w:t>
      </w:r>
      <w:r>
        <w:t>,</w:t>
      </w:r>
      <w:r w:rsidRPr="00205461">
        <w:t xml:space="preserve"> a further meeting m</w:t>
      </w:r>
      <w:r>
        <w:t>ay</w:t>
      </w:r>
      <w:r w:rsidRPr="00205461">
        <w:t xml:space="preserve"> be held within an agreed time frame to discuss progress in remedying the situation and also to establish that </w:t>
      </w:r>
      <w:r>
        <w:t>you are</w:t>
      </w:r>
      <w:r w:rsidRPr="00205461">
        <w:t xml:space="preserve"> satisfied that their concerns have been dealt with and redressed.</w:t>
      </w:r>
    </w:p>
    <w:p w14:paraId="6674DAA9" w14:textId="77777777" w:rsidR="00746FD3" w:rsidRPr="00082857" w:rsidRDefault="00746FD3" w:rsidP="00746FD3">
      <w:pPr>
        <w:pStyle w:val="Text1Numbered"/>
        <w:numPr>
          <w:ilvl w:val="0"/>
          <w:numId w:val="0"/>
        </w:numPr>
      </w:pPr>
    </w:p>
    <w:p w14:paraId="2BF56FCB" w14:textId="77777777" w:rsidR="00746FD3" w:rsidRDefault="00746FD3" w:rsidP="00746FD3">
      <w:pPr>
        <w:pStyle w:val="Text1Numbered"/>
      </w:pPr>
      <w:r>
        <w:t>You</w:t>
      </w:r>
      <w:r w:rsidRPr="00205461">
        <w:t xml:space="preserve"> may wish to be accompanied by a work colleague </w:t>
      </w:r>
      <w:r>
        <w:t xml:space="preserve">at meetings </w:t>
      </w:r>
      <w:r w:rsidRPr="00205461">
        <w:t xml:space="preserve">who may act as a companion. Non-employed persons making a disclosure may also wish to be accompanied at the meeting(s). In these circumstances, the organisation would appreciate knowing who will be accompanying the person making the disclosure, in advance of the meeting(s) taking place. A member of HR </w:t>
      </w:r>
      <w:r>
        <w:t xml:space="preserve">may also </w:t>
      </w:r>
      <w:r w:rsidRPr="00205461">
        <w:t xml:space="preserve">attend the meeting(s) </w:t>
      </w:r>
      <w:r>
        <w:t>to offer support and procedural advice.</w:t>
      </w:r>
    </w:p>
    <w:p w14:paraId="01CE95E4" w14:textId="77777777" w:rsidR="00746FD3" w:rsidRPr="0035054F" w:rsidRDefault="00746FD3" w:rsidP="00746FD3">
      <w:pPr>
        <w:pStyle w:val="Text1Numbered"/>
        <w:numPr>
          <w:ilvl w:val="0"/>
          <w:numId w:val="0"/>
        </w:numPr>
      </w:pPr>
    </w:p>
    <w:p w14:paraId="08670466" w14:textId="77777777" w:rsidR="00610A9B" w:rsidRPr="00610A9B" w:rsidRDefault="00746FD3" w:rsidP="00746FD3">
      <w:pPr>
        <w:pStyle w:val="Text1Numbered"/>
        <w:rPr>
          <w:rFonts w:cs="Arial"/>
        </w:rPr>
      </w:pPr>
      <w:r>
        <w:t xml:space="preserve">If you remain unhappy with the outcome, you are able to escalate your concerns for review. To do so you will be required to put in writing that you are not happy or in agreement with the outcome and your reasons for this. A more senior manager than the person who was responsible for investigating and feeding back the outcome of your complaint will then review the case, any supporting documentation and process undertaken alongside your concerns or discrepancies. </w:t>
      </w:r>
    </w:p>
    <w:p w14:paraId="73206729" w14:textId="77777777" w:rsidR="00610A9B" w:rsidRDefault="00610A9B" w:rsidP="00610A9B">
      <w:pPr>
        <w:pStyle w:val="ListParagraph"/>
      </w:pPr>
    </w:p>
    <w:p w14:paraId="6D5908D1" w14:textId="3C3640F6" w:rsidR="00746FD3" w:rsidRPr="00C12C29" w:rsidRDefault="00746FD3" w:rsidP="00746FD3">
      <w:pPr>
        <w:pStyle w:val="Text1Numbered"/>
        <w:rPr>
          <w:rFonts w:cs="Arial"/>
        </w:rPr>
      </w:pPr>
      <w:r>
        <w:t>Once the more senior manager has undertaken their review, they will share their findings and decision with you. This could be a recommendation of a further review of the case, or confirmation that they believe that the investigation has been thorough and recommend closure of the case. Their decision represents the end of MHA’s engagement in the process and if you remain unhappy with the outcome you can seek to escalate externally as outlined below.</w:t>
      </w:r>
    </w:p>
    <w:p w14:paraId="1B52363C" w14:textId="77777777" w:rsidR="00746FD3" w:rsidRPr="004C3545" w:rsidRDefault="00746FD3" w:rsidP="00746FD3">
      <w:pPr>
        <w:pStyle w:val="Heading1Numbered"/>
      </w:pPr>
      <w:bookmarkStart w:id="26" w:name="_Toc137473574"/>
      <w:bookmarkStart w:id="27" w:name="_Toc137473595"/>
      <w:bookmarkStart w:id="28" w:name="_Toc137559815"/>
      <w:bookmarkStart w:id="29" w:name="_Toc179367027"/>
      <w:bookmarkEnd w:id="26"/>
      <w:bookmarkEnd w:id="27"/>
      <w:r>
        <w:t>Raising a Concern Externally - Procedure</w:t>
      </w:r>
      <w:bookmarkEnd w:id="28"/>
      <w:bookmarkEnd w:id="29"/>
    </w:p>
    <w:p w14:paraId="3BF76A2C" w14:textId="77777777" w:rsidR="00746FD3" w:rsidRPr="007B0BC6" w:rsidRDefault="00746FD3" w:rsidP="00746FD3">
      <w:pPr>
        <w:pStyle w:val="Text1Numbered"/>
      </w:pPr>
      <w:r w:rsidRPr="007B0BC6">
        <w:t xml:space="preserve">To make a protected disclosure </w:t>
      </w:r>
      <w:r>
        <w:t>externally, you</w:t>
      </w:r>
      <w:r w:rsidRPr="007B0BC6">
        <w:t xml:space="preserve"> must either</w:t>
      </w:r>
      <w:r>
        <w:t>:</w:t>
      </w:r>
    </w:p>
    <w:p w14:paraId="1DB0F3AD" w14:textId="72779B65" w:rsidR="00746FD3" w:rsidRDefault="00610A9B" w:rsidP="00746FD3">
      <w:pPr>
        <w:pStyle w:val="Textlistindented-bullet"/>
      </w:pPr>
      <w:r w:rsidRPr="00205461">
        <w:t xml:space="preserve">Believe </w:t>
      </w:r>
      <w:r w:rsidR="00746FD3">
        <w:t>MHA</w:t>
      </w:r>
      <w:r w:rsidR="00746FD3" w:rsidRPr="00205461">
        <w:t xml:space="preserve"> would treat </w:t>
      </w:r>
      <w:r w:rsidR="00746FD3">
        <w:t>you</w:t>
      </w:r>
      <w:r w:rsidR="00746FD3" w:rsidRPr="00205461">
        <w:t xml:space="preserve"> unfairly if </w:t>
      </w:r>
      <w:r w:rsidR="00746FD3">
        <w:t>you</w:t>
      </w:r>
      <w:r w:rsidR="00746FD3" w:rsidRPr="00205461">
        <w:t xml:space="preserve"> made the disclosure </w:t>
      </w:r>
      <w:r w:rsidR="00746FD3">
        <w:t xml:space="preserve">internally. </w:t>
      </w:r>
    </w:p>
    <w:p w14:paraId="2880F796" w14:textId="71D4267E" w:rsidR="00746FD3" w:rsidRDefault="00610A9B" w:rsidP="00746FD3">
      <w:pPr>
        <w:pStyle w:val="Textlistindented-bullet"/>
      </w:pPr>
      <w:r w:rsidRPr="00205461">
        <w:t xml:space="preserve">Believe </w:t>
      </w:r>
      <w:r w:rsidR="00746FD3" w:rsidRPr="00205461">
        <w:t xml:space="preserve">that </w:t>
      </w:r>
      <w:r w:rsidR="00746FD3">
        <w:t>your</w:t>
      </w:r>
      <w:r w:rsidR="00746FD3" w:rsidRPr="00205461">
        <w:t xml:space="preserve"> disclosure to </w:t>
      </w:r>
      <w:r w:rsidR="00746FD3">
        <w:t xml:space="preserve">MHA </w:t>
      </w:r>
      <w:r w:rsidR="00746FD3" w:rsidRPr="00205461">
        <w:t xml:space="preserve">would result in </w:t>
      </w:r>
      <w:r w:rsidR="00746FD3">
        <w:t xml:space="preserve">concealing or destroying </w:t>
      </w:r>
      <w:r w:rsidR="00746FD3" w:rsidRPr="00205461">
        <w:t>information about the wrongdoing.</w:t>
      </w:r>
    </w:p>
    <w:p w14:paraId="76A6F0C2" w14:textId="0996698A" w:rsidR="00746FD3" w:rsidRDefault="00610A9B" w:rsidP="00746FD3">
      <w:pPr>
        <w:pStyle w:val="Textlistindented-bullet"/>
      </w:pPr>
      <w:r>
        <w:t>H</w:t>
      </w:r>
      <w:r w:rsidR="00746FD3" w:rsidRPr="00205461">
        <w:t xml:space="preserve">ave previously disclosed the same or very similar information to </w:t>
      </w:r>
      <w:r w:rsidR="00746FD3">
        <w:t>MHA</w:t>
      </w:r>
      <w:r w:rsidR="00746FD3" w:rsidRPr="00205461">
        <w:t xml:space="preserve"> or </w:t>
      </w:r>
    </w:p>
    <w:p w14:paraId="7D6F3650" w14:textId="52FA6F58" w:rsidR="00746FD3" w:rsidRDefault="00610A9B" w:rsidP="00746FD3">
      <w:pPr>
        <w:pStyle w:val="Textlistindented-bullet"/>
      </w:pPr>
      <w:r w:rsidRPr="00205461">
        <w:t xml:space="preserve">Believe </w:t>
      </w:r>
      <w:r w:rsidR="00746FD3">
        <w:t xml:space="preserve">it is an extreme circumstance where </w:t>
      </w:r>
      <w:r w:rsidR="00746FD3" w:rsidRPr="00205461">
        <w:t xml:space="preserve">an exceptionally serious failure has occurred in the workplace. </w:t>
      </w:r>
    </w:p>
    <w:p w14:paraId="2E83945F" w14:textId="77777777" w:rsidR="00746FD3" w:rsidRDefault="00746FD3" w:rsidP="00746FD3">
      <w:pPr>
        <w:pStyle w:val="Text1Numbered"/>
      </w:pPr>
      <w:r w:rsidRPr="00205461">
        <w:t xml:space="preserve">If </w:t>
      </w:r>
      <w:r>
        <w:t xml:space="preserve">a </w:t>
      </w:r>
      <w:r w:rsidRPr="00205461">
        <w:t xml:space="preserve">disclosure has </w:t>
      </w:r>
      <w:r>
        <w:t xml:space="preserve">previously </w:t>
      </w:r>
      <w:r w:rsidRPr="00205461">
        <w:t xml:space="preserve">been made internally but </w:t>
      </w:r>
      <w:r>
        <w:t>you</w:t>
      </w:r>
      <w:r w:rsidRPr="00205461">
        <w:t xml:space="preserve"> </w:t>
      </w:r>
      <w:r>
        <w:t>are</w:t>
      </w:r>
      <w:r w:rsidRPr="00205461">
        <w:t xml:space="preserve"> not satisfied that</w:t>
      </w:r>
      <w:r>
        <w:t xml:space="preserve"> it is </w:t>
      </w:r>
      <w:r w:rsidRPr="00205461">
        <w:t xml:space="preserve">being adequately dealt with, </w:t>
      </w:r>
      <w:r>
        <w:t xml:space="preserve">or that it has been dealt with in a timely manner, </w:t>
      </w:r>
      <w:r w:rsidRPr="00205461">
        <w:t xml:space="preserve">then </w:t>
      </w:r>
      <w:r>
        <w:t>you</w:t>
      </w:r>
      <w:r w:rsidRPr="00205461">
        <w:t xml:space="preserve"> should inform the Head of Department/Director, preferably in writing</w:t>
      </w:r>
      <w:r>
        <w:t>,</w:t>
      </w:r>
      <w:r w:rsidRPr="00205461">
        <w:t xml:space="preserve"> that </w:t>
      </w:r>
      <w:r>
        <w:t>you</w:t>
      </w:r>
      <w:r w:rsidRPr="00205461">
        <w:t xml:space="preserve"> intend to make a disclosure to an external body. </w:t>
      </w:r>
    </w:p>
    <w:p w14:paraId="08DFDD5A" w14:textId="77777777" w:rsidR="00746FD3" w:rsidRDefault="00746FD3" w:rsidP="00746FD3">
      <w:pPr>
        <w:pStyle w:val="Text1Numbered"/>
        <w:numPr>
          <w:ilvl w:val="0"/>
          <w:numId w:val="0"/>
        </w:numPr>
        <w:ind w:left="1135"/>
      </w:pPr>
    </w:p>
    <w:p w14:paraId="0F3B7B33" w14:textId="2FB5A4A9" w:rsidR="00746FD3" w:rsidRPr="007B0BC6" w:rsidRDefault="00746FD3" w:rsidP="00746FD3">
      <w:pPr>
        <w:pStyle w:val="Text1Numbered"/>
      </w:pPr>
      <w:r>
        <w:t>U</w:t>
      </w:r>
      <w:r w:rsidRPr="00205461">
        <w:t>nder the provisions of the Public Interest Disclosure Act</w:t>
      </w:r>
      <w:r w:rsidR="003B5752">
        <w:t xml:space="preserve"> 1998</w:t>
      </w:r>
      <w:r w:rsidRPr="00205461">
        <w:t xml:space="preserve">, </w:t>
      </w:r>
      <w:r>
        <w:t>c</w:t>
      </w:r>
      <w:r w:rsidRPr="00205461">
        <w:t xml:space="preserve">olleagues may only </w:t>
      </w:r>
      <w:r>
        <w:t xml:space="preserve">make disclosures to </w:t>
      </w:r>
      <w:r w:rsidRPr="00205461">
        <w:t>one</w:t>
      </w:r>
      <w:r>
        <w:t xml:space="preserve"> </w:t>
      </w:r>
      <w:r w:rsidRPr="00205461">
        <w:t>of the following</w:t>
      </w:r>
      <w:r>
        <w:t>:</w:t>
      </w:r>
    </w:p>
    <w:p w14:paraId="77F1FB29" w14:textId="77777777" w:rsidR="00746FD3" w:rsidRDefault="00746FD3" w:rsidP="00746FD3">
      <w:pPr>
        <w:pStyle w:val="Textlistindented-bullet"/>
      </w:pPr>
      <w:r w:rsidRPr="00205461">
        <w:t>Legal Adviser; or a</w:t>
      </w:r>
    </w:p>
    <w:p w14:paraId="193D5779" w14:textId="77777777" w:rsidR="00746FD3" w:rsidRDefault="00746FD3" w:rsidP="00746FD3">
      <w:pPr>
        <w:pStyle w:val="Textlistindented-bullet"/>
      </w:pPr>
      <w:r w:rsidRPr="00205461">
        <w:t>Minister of the Crown; or</w:t>
      </w:r>
    </w:p>
    <w:p w14:paraId="61516EEF" w14:textId="77777777" w:rsidR="00746FD3" w:rsidRDefault="00746FD3" w:rsidP="00746FD3">
      <w:pPr>
        <w:pStyle w:val="Textlistindented-bullet"/>
      </w:pPr>
      <w:r w:rsidRPr="00205461">
        <w:t xml:space="preserve">Any appropriate </w:t>
      </w:r>
      <w:r>
        <w:t>statutory or r</w:t>
      </w:r>
      <w:r w:rsidRPr="00205461">
        <w:t xml:space="preserve">egulatory body </w:t>
      </w:r>
      <w:r>
        <w:t>(see Appendix 1); or</w:t>
      </w:r>
    </w:p>
    <w:p w14:paraId="0C19A696" w14:textId="77777777" w:rsidR="00746FD3" w:rsidRDefault="00746FD3" w:rsidP="00746FD3">
      <w:pPr>
        <w:pStyle w:val="Textlistindented-bullet"/>
      </w:pPr>
      <w:r w:rsidRPr="0079416A">
        <w:t xml:space="preserve">The Charity Commission </w:t>
      </w:r>
      <w:r>
        <w:t>for m</w:t>
      </w:r>
      <w:r w:rsidRPr="0079416A">
        <w:t>atters relating to the proper administration of charities and funds</w:t>
      </w:r>
      <w:r>
        <w:t>.</w:t>
      </w:r>
    </w:p>
    <w:p w14:paraId="4F188136" w14:textId="77777777" w:rsidR="00746FD3" w:rsidRPr="00772CA5" w:rsidRDefault="00746FD3" w:rsidP="00746FD3">
      <w:pPr>
        <w:pStyle w:val="Text1Numbered"/>
      </w:pPr>
      <w:r>
        <w:t xml:space="preserve">The </w:t>
      </w:r>
      <w:r w:rsidRPr="0079416A">
        <w:t xml:space="preserve">disclosure </w:t>
      </w:r>
      <w:r>
        <w:t>must be believed to be true, made in</w:t>
      </w:r>
      <w:r w:rsidRPr="0079416A">
        <w:t xml:space="preserve"> good faith and not in order to make any personal gain.</w:t>
      </w:r>
    </w:p>
    <w:p w14:paraId="7A21E1B6" w14:textId="77777777" w:rsidR="00746FD3" w:rsidRPr="004C3545" w:rsidRDefault="00746FD3" w:rsidP="00746FD3">
      <w:pPr>
        <w:pStyle w:val="Heading1Numbered"/>
      </w:pPr>
      <w:bookmarkStart w:id="30" w:name="_Toc137559816"/>
      <w:bookmarkStart w:id="31" w:name="_Toc179367028"/>
      <w:r>
        <w:t>Legal Protection</w:t>
      </w:r>
      <w:bookmarkEnd w:id="30"/>
      <w:bookmarkEnd w:id="31"/>
    </w:p>
    <w:p w14:paraId="2F206521" w14:textId="77777777" w:rsidR="00610A9B" w:rsidRDefault="00746FD3" w:rsidP="00746FD3">
      <w:pPr>
        <w:pStyle w:val="Text1Numbered"/>
      </w:pPr>
      <w:r w:rsidRPr="007B0BC6">
        <w:t>Colleagues following the above procedure</w:t>
      </w:r>
      <w:r>
        <w:t>s (for internal and external concerns)</w:t>
      </w:r>
      <w:r w:rsidRPr="007B0BC6">
        <w:t xml:space="preserve"> will be covered by legal protection under the Public Interest Disclosure Act and will be supported by MHA when they have acted in good faith regardless as to whether any subsequent investigation supports or refutes the complaint. This will include protection against any reprisal because they have raised a concern under the policy and any reprisal will be treated as a disciplinary matter which may lead to dismissal. </w:t>
      </w:r>
    </w:p>
    <w:p w14:paraId="56A3D247" w14:textId="77777777" w:rsidR="00610A9B" w:rsidRDefault="00610A9B" w:rsidP="00610A9B">
      <w:pPr>
        <w:pStyle w:val="Text1Numbered"/>
        <w:numPr>
          <w:ilvl w:val="0"/>
          <w:numId w:val="0"/>
        </w:numPr>
        <w:ind w:left="1135"/>
      </w:pPr>
    </w:p>
    <w:p w14:paraId="00DCEEF1" w14:textId="6C8E6E0A" w:rsidR="00746FD3" w:rsidRDefault="00746FD3" w:rsidP="00746FD3">
      <w:pPr>
        <w:pStyle w:val="Text1Numbered"/>
      </w:pPr>
      <w:r w:rsidRPr="007B0BC6">
        <w:t>Failure to follow the above procedure without justification will remove legal protection for colleagues under the Public Interest Disclosure Act and will render the colleague liable to summary dismissal, subject to the gross misconduct terms of the Discipline Policy. The same will apply where a colleague is found to have made a malicious allegation or a disclosure which is not found to be true, and it is clear that the colleague did not believe it to be true at the time when the disclosure was made.</w:t>
      </w:r>
    </w:p>
    <w:p w14:paraId="6440D95D" w14:textId="77777777" w:rsidR="00746FD3" w:rsidRPr="007B0BC6" w:rsidRDefault="00746FD3" w:rsidP="00746FD3">
      <w:pPr>
        <w:pStyle w:val="Text1Numbered"/>
        <w:numPr>
          <w:ilvl w:val="0"/>
          <w:numId w:val="0"/>
        </w:numPr>
        <w:ind w:left="1135"/>
      </w:pPr>
    </w:p>
    <w:p w14:paraId="36C755B7" w14:textId="20C600CD" w:rsidR="00746FD3" w:rsidRPr="002E4B12" w:rsidRDefault="00746FD3" w:rsidP="00746FD3">
      <w:pPr>
        <w:pStyle w:val="Text1Numbered"/>
      </w:pPr>
      <w:r w:rsidRPr="007B0BC6">
        <w:t>In addition, failure by a Manager</w:t>
      </w:r>
      <w:r w:rsidR="00610A9B">
        <w:t>,</w:t>
      </w:r>
      <w:r w:rsidRPr="007B0BC6">
        <w:t xml:space="preserve"> Director or by the Chief Executive to respond to an allegation brought to their attention or submitting the person who has made the disclosure to any detriment as a result of having made the disclosure will also be deemed to be misconduct and will be </w:t>
      </w:r>
      <w:r w:rsidR="00610A9B">
        <w:t>managed in accordance with MHA’s</w:t>
      </w:r>
      <w:r w:rsidRPr="007B0BC6">
        <w:t xml:space="preserve"> </w:t>
      </w:r>
      <w:r w:rsidRPr="00610A9B">
        <w:rPr>
          <w:u w:val="single"/>
        </w:rPr>
        <w:t>Discipline Policy</w:t>
      </w:r>
      <w:r w:rsidRPr="007B0BC6">
        <w:t>.</w:t>
      </w:r>
    </w:p>
    <w:p w14:paraId="18300FDF" w14:textId="77777777" w:rsidR="00746FD3" w:rsidRPr="004C3545" w:rsidRDefault="00746FD3" w:rsidP="00746FD3">
      <w:pPr>
        <w:pStyle w:val="Heading1Numbered"/>
      </w:pPr>
      <w:bookmarkStart w:id="32" w:name="_Toc137559817"/>
      <w:bookmarkStart w:id="33" w:name="_Toc179367029"/>
      <w:r w:rsidRPr="004C3545">
        <w:t xml:space="preserve">Roles </w:t>
      </w:r>
      <w:r>
        <w:t>and</w:t>
      </w:r>
      <w:r w:rsidRPr="004C3545">
        <w:t xml:space="preserve"> Responsibilities</w:t>
      </w:r>
      <w:bookmarkEnd w:id="32"/>
      <w:bookmarkEnd w:id="33"/>
    </w:p>
    <w:tbl>
      <w:tblPr>
        <w:tblStyle w:val="MHATable"/>
        <w:tblW w:w="0" w:type="auto"/>
        <w:tblLook w:val="04A0" w:firstRow="1" w:lastRow="0" w:firstColumn="1" w:lastColumn="0" w:noHBand="0" w:noVBand="1"/>
      </w:tblPr>
      <w:tblGrid>
        <w:gridCol w:w="1980"/>
        <w:gridCol w:w="7036"/>
      </w:tblGrid>
      <w:tr w:rsidR="00746FD3" w:rsidRPr="004C3545" w14:paraId="0E334A03" w14:textId="77777777" w:rsidTr="00746FD3">
        <w:trPr>
          <w:cnfStyle w:val="100000000000" w:firstRow="1" w:lastRow="0" w:firstColumn="0" w:lastColumn="0" w:oddVBand="0" w:evenVBand="0" w:oddHBand="0" w:evenHBand="0" w:firstRowFirstColumn="0" w:firstRowLastColumn="0" w:lastRowFirstColumn="0" w:lastRowLastColumn="0"/>
          <w:tblHeader/>
        </w:trPr>
        <w:tc>
          <w:tcPr>
            <w:tcW w:w="1980" w:type="dxa"/>
          </w:tcPr>
          <w:p w14:paraId="06DD9A68" w14:textId="77777777" w:rsidR="00746FD3" w:rsidRPr="004C3545" w:rsidRDefault="00746FD3" w:rsidP="00135476">
            <w:r w:rsidRPr="004C3545">
              <w:t>Role</w:t>
            </w:r>
          </w:p>
        </w:tc>
        <w:tc>
          <w:tcPr>
            <w:tcW w:w="7036" w:type="dxa"/>
          </w:tcPr>
          <w:p w14:paraId="7E794AB0" w14:textId="77777777" w:rsidR="00746FD3" w:rsidRPr="004C3545" w:rsidRDefault="00746FD3" w:rsidP="00135476">
            <w:r w:rsidRPr="004C3545">
              <w:t>Responsibilities</w:t>
            </w:r>
          </w:p>
        </w:tc>
      </w:tr>
      <w:tr w:rsidR="00746FD3" w:rsidRPr="004C3545" w14:paraId="74FBA36F" w14:textId="77777777" w:rsidTr="00135476">
        <w:tc>
          <w:tcPr>
            <w:tcW w:w="1980" w:type="dxa"/>
          </w:tcPr>
          <w:p w14:paraId="60AB032B" w14:textId="77777777" w:rsidR="00746FD3" w:rsidRPr="001119AC" w:rsidRDefault="00746FD3" w:rsidP="00135476">
            <w:pPr>
              <w:rPr>
                <w:b/>
                <w:bCs/>
              </w:rPr>
            </w:pPr>
            <w:r w:rsidRPr="001119AC">
              <w:rPr>
                <w:rFonts w:cs="Arial"/>
                <w:b/>
                <w:bCs/>
                <w:szCs w:val="22"/>
              </w:rPr>
              <w:t>All Colleagues</w:t>
            </w:r>
          </w:p>
        </w:tc>
        <w:tc>
          <w:tcPr>
            <w:tcW w:w="7036" w:type="dxa"/>
          </w:tcPr>
          <w:p w14:paraId="64BE7D7A" w14:textId="46EA11CD" w:rsidR="003B5752" w:rsidRPr="003B5752" w:rsidRDefault="00746FD3" w:rsidP="00610A9B">
            <w:pPr>
              <w:pStyle w:val="Textlist-bullet"/>
            </w:pPr>
            <w:r w:rsidRPr="00205461">
              <w:t>All those referred to within the Scope of this policy are required to adhere to its terms and conditions.</w:t>
            </w:r>
          </w:p>
          <w:p w14:paraId="71CC1182" w14:textId="3D028218" w:rsidR="00746FD3" w:rsidRDefault="00746FD3" w:rsidP="003B5752">
            <w:pPr>
              <w:pStyle w:val="Textlist-bullet"/>
            </w:pPr>
            <w:r w:rsidRPr="00205461">
              <w:t>Colleagues must understand that this policy is also incorporated into their contract of employment.</w:t>
            </w:r>
          </w:p>
          <w:p w14:paraId="1F33648C" w14:textId="77777777" w:rsidR="003B5752" w:rsidRPr="003B5752" w:rsidRDefault="003B5752" w:rsidP="003B5752">
            <w:pPr>
              <w:pStyle w:val="Textlist-bullet"/>
              <w:numPr>
                <w:ilvl w:val="0"/>
                <w:numId w:val="0"/>
              </w:numPr>
            </w:pPr>
          </w:p>
          <w:p w14:paraId="3CC88DFB" w14:textId="77777777" w:rsidR="00746FD3" w:rsidRPr="004C3545" w:rsidRDefault="00746FD3" w:rsidP="003B5752">
            <w:pPr>
              <w:pStyle w:val="Textlist-bullet"/>
            </w:pPr>
            <w:r>
              <w:t xml:space="preserve">Ensure that where there is a reasonable belief relating to wrongdoing in the workplace, concerns are raised in a timely manner. </w:t>
            </w:r>
          </w:p>
        </w:tc>
      </w:tr>
      <w:tr w:rsidR="00746FD3" w:rsidRPr="004C3545" w14:paraId="737F7977" w14:textId="77777777" w:rsidTr="00135476">
        <w:tc>
          <w:tcPr>
            <w:tcW w:w="1980" w:type="dxa"/>
          </w:tcPr>
          <w:p w14:paraId="74B9BD93" w14:textId="77777777" w:rsidR="00746FD3" w:rsidRPr="001119AC" w:rsidRDefault="00746FD3" w:rsidP="00135476">
            <w:pPr>
              <w:rPr>
                <w:b/>
                <w:bCs/>
              </w:rPr>
            </w:pPr>
            <w:r w:rsidRPr="001119AC">
              <w:rPr>
                <w:rFonts w:cs="Arial"/>
                <w:b/>
                <w:bCs/>
                <w:szCs w:val="22"/>
              </w:rPr>
              <w:t>Line Management</w:t>
            </w:r>
          </w:p>
        </w:tc>
        <w:tc>
          <w:tcPr>
            <w:tcW w:w="7036" w:type="dxa"/>
          </w:tcPr>
          <w:p w14:paraId="5523AFA3" w14:textId="35C21C73" w:rsidR="003B5752" w:rsidRDefault="00746FD3" w:rsidP="00610A9B">
            <w:pPr>
              <w:pStyle w:val="Textlist-bullet"/>
            </w:pPr>
            <w:r w:rsidRPr="00205461">
              <w:t xml:space="preserve">It is the responsibility of any Manager to whom a disclosure is made to </w:t>
            </w:r>
            <w:r>
              <w:t xml:space="preserve">seek to resolve concerns in a timely and effective manner. </w:t>
            </w:r>
          </w:p>
          <w:p w14:paraId="14AAB21B" w14:textId="4C048A71" w:rsidR="00746FD3" w:rsidRPr="004C3545" w:rsidRDefault="003B5752" w:rsidP="003B5752">
            <w:pPr>
              <w:pStyle w:val="Textlist-bullet"/>
            </w:pPr>
            <w:r>
              <w:t>Dependent</w:t>
            </w:r>
            <w:r w:rsidR="00746FD3">
              <w:t xml:space="preserve"> upon the nature of the concern, line managers may need to liaise accordingly with additional relevant colleagues as outlined in table 2. </w:t>
            </w:r>
          </w:p>
        </w:tc>
      </w:tr>
      <w:tr w:rsidR="00746FD3" w:rsidRPr="004C3545" w14:paraId="1D7FBDA4" w14:textId="77777777" w:rsidTr="00135476">
        <w:tc>
          <w:tcPr>
            <w:tcW w:w="1980" w:type="dxa"/>
          </w:tcPr>
          <w:p w14:paraId="7C63CB41" w14:textId="77777777" w:rsidR="00746FD3" w:rsidRPr="001119AC" w:rsidRDefault="00746FD3" w:rsidP="00135476">
            <w:pPr>
              <w:rPr>
                <w:b/>
                <w:bCs/>
              </w:rPr>
            </w:pPr>
            <w:r w:rsidRPr="001119AC">
              <w:rPr>
                <w:rFonts w:cs="Arial"/>
                <w:b/>
                <w:bCs/>
                <w:szCs w:val="22"/>
              </w:rPr>
              <w:t>Senior Management (AM / RD / Head of Service)</w:t>
            </w:r>
          </w:p>
        </w:tc>
        <w:tc>
          <w:tcPr>
            <w:tcW w:w="7036" w:type="dxa"/>
          </w:tcPr>
          <w:p w14:paraId="1B7974BA" w14:textId="77777777" w:rsidR="00746FD3" w:rsidRPr="004C3545" w:rsidRDefault="00746FD3" w:rsidP="003B5752">
            <w:pPr>
              <w:pStyle w:val="Textlist-bullet"/>
            </w:pPr>
            <w:r>
              <w:t>Ensure</w:t>
            </w:r>
            <w:r w:rsidRPr="00205461">
              <w:t xml:space="preserve"> the correct procedure is followed as set out in </w:t>
            </w:r>
            <w:r>
              <w:t>relevant</w:t>
            </w:r>
            <w:r w:rsidRPr="00205461">
              <w:t xml:space="preserve"> clause</w:t>
            </w:r>
            <w:r>
              <w:t>(s)</w:t>
            </w:r>
            <w:r w:rsidRPr="00205461">
              <w:t xml:space="preserve">. </w:t>
            </w:r>
          </w:p>
        </w:tc>
      </w:tr>
      <w:tr w:rsidR="00746FD3" w:rsidRPr="004C3545" w14:paraId="41CCC0AE" w14:textId="77777777" w:rsidTr="00135476">
        <w:tc>
          <w:tcPr>
            <w:tcW w:w="1980" w:type="dxa"/>
          </w:tcPr>
          <w:p w14:paraId="489B0DA6" w14:textId="77777777" w:rsidR="00746FD3" w:rsidRPr="001119AC" w:rsidRDefault="00746FD3" w:rsidP="00135476">
            <w:pPr>
              <w:rPr>
                <w:b/>
                <w:bCs/>
              </w:rPr>
            </w:pPr>
            <w:r w:rsidRPr="001119AC">
              <w:rPr>
                <w:rFonts w:cs="Arial"/>
                <w:b/>
                <w:bCs/>
                <w:szCs w:val="22"/>
              </w:rPr>
              <w:t>Relevant Additional Colleagues (table 2).</w:t>
            </w:r>
          </w:p>
        </w:tc>
        <w:tc>
          <w:tcPr>
            <w:tcW w:w="7036" w:type="dxa"/>
          </w:tcPr>
          <w:p w14:paraId="7F6787AC" w14:textId="77777777" w:rsidR="00746FD3" w:rsidRPr="004C3545" w:rsidRDefault="00746FD3" w:rsidP="003B5752">
            <w:pPr>
              <w:pStyle w:val="Textlist-bullet"/>
            </w:pPr>
            <w:r>
              <w:t>Ensure</w:t>
            </w:r>
            <w:r w:rsidRPr="00205461">
              <w:t xml:space="preserve"> the correct procedure is followed as set out in </w:t>
            </w:r>
            <w:r>
              <w:t>relevant</w:t>
            </w:r>
            <w:r w:rsidRPr="00205461">
              <w:t xml:space="preserve"> clause</w:t>
            </w:r>
            <w:r>
              <w:t>(s)</w:t>
            </w:r>
            <w:r w:rsidRPr="00205461">
              <w:t xml:space="preserve">. </w:t>
            </w:r>
          </w:p>
        </w:tc>
      </w:tr>
      <w:tr w:rsidR="00746FD3" w:rsidRPr="004C3545" w14:paraId="34EA012E" w14:textId="77777777" w:rsidTr="00135476">
        <w:tc>
          <w:tcPr>
            <w:tcW w:w="1980" w:type="dxa"/>
          </w:tcPr>
          <w:p w14:paraId="67089BF7" w14:textId="77777777" w:rsidR="00746FD3" w:rsidRPr="001119AC" w:rsidRDefault="00746FD3" w:rsidP="00135476">
            <w:pPr>
              <w:rPr>
                <w:b/>
                <w:bCs/>
              </w:rPr>
            </w:pPr>
            <w:r w:rsidRPr="001119AC">
              <w:rPr>
                <w:rFonts w:cs="Arial"/>
                <w:b/>
                <w:bCs/>
                <w:szCs w:val="22"/>
              </w:rPr>
              <w:t>HR Team</w:t>
            </w:r>
          </w:p>
        </w:tc>
        <w:tc>
          <w:tcPr>
            <w:tcW w:w="7036" w:type="dxa"/>
          </w:tcPr>
          <w:p w14:paraId="16696A6B" w14:textId="6A35018C" w:rsidR="003B5752" w:rsidRPr="003B5752" w:rsidRDefault="00746FD3" w:rsidP="00610A9B">
            <w:pPr>
              <w:pStyle w:val="Textlist-bullet"/>
            </w:pPr>
            <w:r w:rsidRPr="00205461">
              <w:t xml:space="preserve">We will keep a confidential record of </w:t>
            </w:r>
            <w:r>
              <w:t xml:space="preserve">whistle-blowing </w:t>
            </w:r>
            <w:r w:rsidRPr="00205461">
              <w:t>concern</w:t>
            </w:r>
            <w:r>
              <w:t>s</w:t>
            </w:r>
            <w:r w:rsidRPr="00205461">
              <w:t xml:space="preserve"> on MHA’s Case Management system. This will be held in accordance with relevant data protection legislation.</w:t>
            </w:r>
          </w:p>
          <w:p w14:paraId="6E4A569F" w14:textId="77777777" w:rsidR="00746FD3" w:rsidRPr="004C3545" w:rsidRDefault="00746FD3" w:rsidP="003B5752">
            <w:pPr>
              <w:pStyle w:val="Textlist-bullet"/>
            </w:pPr>
            <w:r w:rsidRPr="00205461">
              <w:t>The HR Team will monitor the daily operation of the policy and if you have any comments or questions, please do not hesitate to let one of the team know.</w:t>
            </w:r>
          </w:p>
        </w:tc>
      </w:tr>
      <w:tr w:rsidR="00746FD3" w:rsidRPr="004C3545" w14:paraId="2ADDC9E6" w14:textId="77777777" w:rsidTr="00135476">
        <w:tc>
          <w:tcPr>
            <w:tcW w:w="1980" w:type="dxa"/>
          </w:tcPr>
          <w:p w14:paraId="103C1F73" w14:textId="77777777" w:rsidR="00746FD3" w:rsidRPr="001119AC" w:rsidRDefault="00746FD3" w:rsidP="00135476">
            <w:pPr>
              <w:rPr>
                <w:b/>
                <w:bCs/>
              </w:rPr>
            </w:pPr>
            <w:r w:rsidRPr="001119AC">
              <w:rPr>
                <w:rFonts w:cs="Arial"/>
                <w:b/>
                <w:bCs/>
                <w:szCs w:val="22"/>
              </w:rPr>
              <w:t>Audit and Risk committee (ARC)</w:t>
            </w:r>
          </w:p>
        </w:tc>
        <w:tc>
          <w:tcPr>
            <w:tcW w:w="7036" w:type="dxa"/>
          </w:tcPr>
          <w:p w14:paraId="6D8F3B2B" w14:textId="77777777" w:rsidR="00746FD3" w:rsidRPr="004C3545" w:rsidRDefault="00746FD3" w:rsidP="003B5752">
            <w:pPr>
              <w:pStyle w:val="Textlist-bullet"/>
            </w:pPr>
            <w:r w:rsidRPr="00205461">
              <w:t>Reports of disclosures made, timeframes and action taken will be reported to the Audit and Risk Committee on a quarterly basis along with themes and areas of concern.</w:t>
            </w:r>
          </w:p>
        </w:tc>
      </w:tr>
      <w:tr w:rsidR="00746FD3" w:rsidRPr="004C3545" w14:paraId="331F0391" w14:textId="77777777" w:rsidTr="00135476">
        <w:tc>
          <w:tcPr>
            <w:tcW w:w="1980" w:type="dxa"/>
          </w:tcPr>
          <w:p w14:paraId="199737FA" w14:textId="77777777" w:rsidR="00746FD3" w:rsidRPr="001119AC" w:rsidRDefault="00746FD3" w:rsidP="00135476">
            <w:pPr>
              <w:rPr>
                <w:b/>
                <w:bCs/>
              </w:rPr>
            </w:pPr>
            <w:r w:rsidRPr="001119AC">
              <w:rPr>
                <w:rFonts w:cs="Arial"/>
                <w:b/>
                <w:bCs/>
                <w:szCs w:val="22"/>
              </w:rPr>
              <w:t>Executive Leadership Team (ELT)</w:t>
            </w:r>
          </w:p>
        </w:tc>
        <w:tc>
          <w:tcPr>
            <w:tcW w:w="7036" w:type="dxa"/>
          </w:tcPr>
          <w:p w14:paraId="594B26DE" w14:textId="77777777" w:rsidR="00746FD3" w:rsidRPr="004C3545" w:rsidRDefault="00746FD3" w:rsidP="003B5752">
            <w:pPr>
              <w:pStyle w:val="Textlist-bullet"/>
            </w:pPr>
            <w:r>
              <w:t>Ensure</w:t>
            </w:r>
            <w:r w:rsidRPr="00205461">
              <w:t xml:space="preserve"> the correct procedure is followed as set out in </w:t>
            </w:r>
            <w:r>
              <w:t>relevant</w:t>
            </w:r>
            <w:r w:rsidRPr="00205461">
              <w:t xml:space="preserve"> clause</w:t>
            </w:r>
            <w:r>
              <w:t>(s)</w:t>
            </w:r>
            <w:r w:rsidRPr="00205461">
              <w:t xml:space="preserve">. </w:t>
            </w:r>
          </w:p>
        </w:tc>
      </w:tr>
      <w:tr w:rsidR="00746FD3" w:rsidRPr="004C3545" w14:paraId="3D61007E" w14:textId="77777777" w:rsidTr="00135476">
        <w:tc>
          <w:tcPr>
            <w:tcW w:w="1980" w:type="dxa"/>
          </w:tcPr>
          <w:p w14:paraId="47D8A140" w14:textId="77777777" w:rsidR="00746FD3" w:rsidRPr="001119AC" w:rsidRDefault="00746FD3" w:rsidP="00135476">
            <w:pPr>
              <w:rPr>
                <w:b/>
                <w:bCs/>
              </w:rPr>
            </w:pPr>
            <w:r w:rsidRPr="001119AC">
              <w:rPr>
                <w:rFonts w:cs="Arial"/>
                <w:b/>
                <w:bCs/>
                <w:szCs w:val="22"/>
              </w:rPr>
              <w:t>Chief Executive Officer (CEO)</w:t>
            </w:r>
          </w:p>
        </w:tc>
        <w:tc>
          <w:tcPr>
            <w:tcW w:w="7036" w:type="dxa"/>
          </w:tcPr>
          <w:p w14:paraId="5CAEEA57" w14:textId="77777777" w:rsidR="00746FD3" w:rsidRPr="004C3545" w:rsidRDefault="00746FD3" w:rsidP="003B5752">
            <w:pPr>
              <w:pStyle w:val="Textlist-bullet"/>
            </w:pPr>
            <w:r>
              <w:t>Ensure</w:t>
            </w:r>
            <w:r w:rsidRPr="00205461">
              <w:t xml:space="preserve"> the correct procedure is followed as set out in </w:t>
            </w:r>
            <w:r>
              <w:t>relevant</w:t>
            </w:r>
            <w:r w:rsidRPr="00205461">
              <w:t xml:space="preserve"> clause</w:t>
            </w:r>
            <w:r>
              <w:t>(s)</w:t>
            </w:r>
            <w:r w:rsidRPr="00205461">
              <w:t xml:space="preserve">. </w:t>
            </w:r>
          </w:p>
        </w:tc>
      </w:tr>
      <w:tr w:rsidR="00746FD3" w:rsidRPr="004C3545" w14:paraId="57E5E006" w14:textId="77777777" w:rsidTr="00135476">
        <w:tc>
          <w:tcPr>
            <w:tcW w:w="1980" w:type="dxa"/>
          </w:tcPr>
          <w:p w14:paraId="4D5CC966" w14:textId="77777777" w:rsidR="00746FD3" w:rsidRPr="001119AC" w:rsidRDefault="00746FD3" w:rsidP="00135476">
            <w:pPr>
              <w:rPr>
                <w:b/>
                <w:bCs/>
              </w:rPr>
            </w:pPr>
            <w:r w:rsidRPr="001119AC">
              <w:rPr>
                <w:rFonts w:cs="Arial"/>
                <w:b/>
                <w:bCs/>
                <w:szCs w:val="22"/>
              </w:rPr>
              <w:t>The Board</w:t>
            </w:r>
          </w:p>
        </w:tc>
        <w:tc>
          <w:tcPr>
            <w:tcW w:w="7036" w:type="dxa"/>
          </w:tcPr>
          <w:p w14:paraId="7BA72FE8" w14:textId="77777777" w:rsidR="00746FD3" w:rsidRPr="00E56D17" w:rsidRDefault="00746FD3" w:rsidP="003B5752">
            <w:pPr>
              <w:pStyle w:val="Textlist-bullet"/>
            </w:pPr>
            <w:r w:rsidRPr="00205461">
              <w:t xml:space="preserve">The Board is responsible for this policy and will review it annually. </w:t>
            </w:r>
          </w:p>
        </w:tc>
      </w:tr>
    </w:tbl>
    <w:p w14:paraId="28D0330D" w14:textId="77777777" w:rsidR="00746FD3" w:rsidRPr="004C3545" w:rsidRDefault="00746FD3" w:rsidP="00746FD3">
      <w:pPr>
        <w:rPr>
          <w:rFonts w:cs="Arial"/>
          <w:spacing w:val="7"/>
        </w:rPr>
      </w:pPr>
    </w:p>
    <w:p w14:paraId="564350A3" w14:textId="77777777" w:rsidR="00746FD3" w:rsidRDefault="00746FD3" w:rsidP="00746FD3">
      <w:pPr>
        <w:pStyle w:val="Heading1Numbered"/>
      </w:pPr>
      <w:bookmarkStart w:id="34" w:name="_Toc137559818"/>
      <w:bookmarkStart w:id="35" w:name="_Toc179367030"/>
      <w:r w:rsidRPr="00B2494E">
        <w:t>Training and Monitoring</w:t>
      </w:r>
      <w:bookmarkEnd w:id="34"/>
      <w:bookmarkEnd w:id="35"/>
    </w:p>
    <w:p w14:paraId="281DEE1F" w14:textId="2B9966D8" w:rsidR="00746FD3" w:rsidRDefault="00746FD3" w:rsidP="00283117">
      <w:pPr>
        <w:pStyle w:val="Text1Numbered"/>
      </w:pPr>
      <w:r>
        <w:t>Compliance is assessed through direct observation, monitoring, and supervision of our colleagues.</w:t>
      </w:r>
    </w:p>
    <w:p w14:paraId="43CB0917" w14:textId="77777777" w:rsidR="00610A9B" w:rsidRDefault="00610A9B" w:rsidP="00610A9B">
      <w:pPr>
        <w:pStyle w:val="Text1Numbered"/>
        <w:numPr>
          <w:ilvl w:val="0"/>
          <w:numId w:val="0"/>
        </w:numPr>
        <w:ind w:left="1135"/>
      </w:pPr>
    </w:p>
    <w:p w14:paraId="33D26BC4" w14:textId="7A78D90E" w:rsidR="00610A9B" w:rsidRPr="002E4B12" w:rsidRDefault="00610A9B" w:rsidP="00610A9B">
      <w:pPr>
        <w:pStyle w:val="Text1Numbered"/>
      </w:pPr>
      <w:r>
        <w:t xml:space="preserve">Concerns received through the whistleblowing process will be monitored during MHA’s governance forums. </w:t>
      </w:r>
    </w:p>
    <w:p w14:paraId="21185734" w14:textId="77777777" w:rsidR="00746FD3" w:rsidRDefault="00746FD3" w:rsidP="00746FD3">
      <w:pPr>
        <w:pStyle w:val="Heading1Numbered"/>
      </w:pPr>
      <w:bookmarkStart w:id="36" w:name="_Toc137559819"/>
      <w:bookmarkStart w:id="37" w:name="_Toc179367031"/>
      <w:r w:rsidRPr="000C7997">
        <w:t>Communication and Dissemination</w:t>
      </w:r>
      <w:bookmarkEnd w:id="36"/>
      <w:bookmarkEnd w:id="37"/>
    </w:p>
    <w:p w14:paraId="3DD625A8" w14:textId="77777777" w:rsidR="00746FD3" w:rsidRDefault="00746FD3" w:rsidP="00746FD3">
      <w:pPr>
        <w:pStyle w:val="Text1Numbered"/>
      </w:pPr>
      <w:r>
        <w:t>This policy is disseminated and implemented within all MHA services through MHA’s channels of communication.</w:t>
      </w:r>
    </w:p>
    <w:p w14:paraId="5B6F679C" w14:textId="77777777" w:rsidR="00746FD3" w:rsidRDefault="00746FD3" w:rsidP="00746FD3">
      <w:pPr>
        <w:pStyle w:val="Text1Numbered"/>
        <w:numPr>
          <w:ilvl w:val="0"/>
          <w:numId w:val="0"/>
        </w:numPr>
      </w:pPr>
    </w:p>
    <w:p w14:paraId="5BE6B3BF" w14:textId="77777777" w:rsidR="00746FD3" w:rsidRDefault="00746FD3" w:rsidP="00746FD3">
      <w:pPr>
        <w:pStyle w:val="Text1Numbered"/>
      </w:pPr>
      <w:r>
        <w:t>Each colleague’s line manager must ensure that all teams are aware of their roles, responsibilities.</w:t>
      </w:r>
    </w:p>
    <w:p w14:paraId="3C8A8BB1" w14:textId="77777777" w:rsidR="00746FD3" w:rsidRDefault="00746FD3" w:rsidP="00746FD3">
      <w:pPr>
        <w:pStyle w:val="Text1Numbered"/>
        <w:numPr>
          <w:ilvl w:val="0"/>
          <w:numId w:val="0"/>
        </w:numPr>
      </w:pPr>
    </w:p>
    <w:p w14:paraId="2A1DCEF5" w14:textId="77777777" w:rsidR="00746FD3" w:rsidRDefault="00746FD3" w:rsidP="00746FD3">
      <w:pPr>
        <w:pStyle w:val="Text1Numbered"/>
      </w:pPr>
      <w:r>
        <w:t>This policy will be available to the people we support and their representatives in alternate formats, as required.</w:t>
      </w:r>
    </w:p>
    <w:p w14:paraId="549955AF" w14:textId="77777777" w:rsidR="00746FD3" w:rsidRDefault="00746FD3" w:rsidP="00746FD3">
      <w:pPr>
        <w:pStyle w:val="Text1Numbered"/>
        <w:numPr>
          <w:ilvl w:val="0"/>
          <w:numId w:val="0"/>
        </w:numPr>
      </w:pPr>
    </w:p>
    <w:p w14:paraId="1978FBC2" w14:textId="77777777" w:rsidR="00746FD3" w:rsidRDefault="00746FD3" w:rsidP="00746FD3">
      <w:pPr>
        <w:pStyle w:val="Text1Numbered"/>
      </w:pPr>
      <w:r>
        <w:t>Any review of this policy will include consultation with our colleagues, review of support planning, incident reports, quality audits and feedback from other agencies.</w:t>
      </w:r>
    </w:p>
    <w:p w14:paraId="515F0B81" w14:textId="77777777" w:rsidR="00746FD3" w:rsidRDefault="00746FD3" w:rsidP="00746FD3">
      <w:pPr>
        <w:pStyle w:val="Text1Numbered"/>
        <w:numPr>
          <w:ilvl w:val="0"/>
          <w:numId w:val="0"/>
        </w:numPr>
      </w:pPr>
    </w:p>
    <w:p w14:paraId="46493F63" w14:textId="77777777" w:rsidR="00746FD3" w:rsidRPr="00386B5D" w:rsidRDefault="00746FD3" w:rsidP="00746FD3">
      <w:pPr>
        <w:pStyle w:val="Text1Numbered"/>
      </w:pPr>
      <w:r>
        <w:t xml:space="preserve">Queries and issues relating to this policy should be referred to the Standards and Policy Team </w:t>
      </w:r>
      <w:hyperlink r:id="rId15" w:history="1">
        <w:r w:rsidRPr="00B2181E">
          <w:rPr>
            <w:rStyle w:val="Hyperlink"/>
          </w:rPr>
          <w:t>policies@mha.org.uk</w:t>
        </w:r>
      </w:hyperlink>
      <w:r>
        <w:rPr>
          <w:rStyle w:val="Hyperlink"/>
        </w:rPr>
        <w:t>.</w:t>
      </w:r>
      <w:r>
        <w:t xml:space="preserve"> </w:t>
      </w:r>
    </w:p>
    <w:p w14:paraId="0311858C" w14:textId="77777777" w:rsidR="00746FD3" w:rsidRPr="001119AC" w:rsidRDefault="00746FD3" w:rsidP="00746FD3">
      <w:pPr>
        <w:pStyle w:val="Heading1Numbered"/>
      </w:pPr>
      <w:bookmarkStart w:id="38" w:name="_Toc137559820"/>
      <w:bookmarkStart w:id="39" w:name="_Toc179367032"/>
      <w:bookmarkStart w:id="40" w:name="_Hlk153875711"/>
      <w:r w:rsidRPr="001119AC">
        <w:t>EDI Impact Assessments</w:t>
      </w:r>
      <w:bookmarkEnd w:id="38"/>
      <w:bookmarkEnd w:id="39"/>
    </w:p>
    <w:p w14:paraId="523CF166" w14:textId="77777777" w:rsidR="00746FD3" w:rsidRPr="001119AC" w:rsidRDefault="00746FD3" w:rsidP="00746FD3">
      <w:pPr>
        <w:pStyle w:val="Text1Numbered"/>
      </w:pPr>
      <w:r w:rsidRPr="001119AC">
        <w:t>An Equality, Diversity, and Impact Assessment (EIA) was completed. The EIA found that the following protected characteristics could be impacted by this policy:</w:t>
      </w:r>
    </w:p>
    <w:p w14:paraId="0705AFFA" w14:textId="77777777" w:rsidR="00746FD3" w:rsidRPr="00610A9B" w:rsidRDefault="00746FD3" w:rsidP="00610A9B">
      <w:pPr>
        <w:pStyle w:val="Textlistindented-bullet"/>
      </w:pPr>
      <w:r w:rsidRPr="00610A9B">
        <w:t>Age</w:t>
      </w:r>
    </w:p>
    <w:p w14:paraId="003CACBE" w14:textId="77777777" w:rsidR="00746FD3" w:rsidRPr="00610A9B" w:rsidRDefault="00746FD3" w:rsidP="00610A9B">
      <w:pPr>
        <w:pStyle w:val="Textlistindented-bullet"/>
      </w:pPr>
      <w:r w:rsidRPr="00610A9B">
        <w:t>Disability</w:t>
      </w:r>
    </w:p>
    <w:p w14:paraId="32BB9ADD" w14:textId="77777777" w:rsidR="00746FD3" w:rsidRPr="00610A9B" w:rsidRDefault="00746FD3" w:rsidP="00610A9B">
      <w:pPr>
        <w:pStyle w:val="Textlistindented-bullet"/>
      </w:pPr>
      <w:r w:rsidRPr="00610A9B">
        <w:t>Race and Ethnicity</w:t>
      </w:r>
    </w:p>
    <w:p w14:paraId="6230DFB5" w14:textId="77777777" w:rsidR="00746FD3" w:rsidRPr="001119AC" w:rsidRDefault="00746FD3" w:rsidP="00746FD3">
      <w:pPr>
        <w:pStyle w:val="Text1Numbered"/>
      </w:pPr>
      <w:r w:rsidRPr="001119AC">
        <w:t>As a result, amendments were made to the policy which are detailed in the EIA.</w:t>
      </w:r>
    </w:p>
    <w:p w14:paraId="08031FAA" w14:textId="77777777" w:rsidR="00746FD3" w:rsidRPr="001119AC" w:rsidRDefault="00746FD3" w:rsidP="00746FD3">
      <w:pPr>
        <w:pStyle w:val="Text1Numbered"/>
        <w:numPr>
          <w:ilvl w:val="0"/>
          <w:numId w:val="0"/>
        </w:numPr>
        <w:ind w:left="1135"/>
      </w:pPr>
    </w:p>
    <w:p w14:paraId="7AE2685D" w14:textId="77777777" w:rsidR="00746FD3" w:rsidRPr="001119AC" w:rsidRDefault="00746FD3" w:rsidP="00746FD3">
      <w:pPr>
        <w:pStyle w:val="Text1Numbered"/>
      </w:pPr>
      <w:r w:rsidRPr="001119AC">
        <w:t>Further reasonable adjustments to our policies, practices, and procedures, where recommended by Occupational Health and / or Access to Work will be made if necessary.</w:t>
      </w:r>
    </w:p>
    <w:p w14:paraId="5ACAAD0C" w14:textId="77777777" w:rsidR="00746FD3" w:rsidRPr="001119AC" w:rsidRDefault="00746FD3" w:rsidP="00746FD3">
      <w:pPr>
        <w:pStyle w:val="Text1Numbered"/>
        <w:numPr>
          <w:ilvl w:val="0"/>
          <w:numId w:val="0"/>
        </w:numPr>
      </w:pPr>
    </w:p>
    <w:p w14:paraId="2C5D898A" w14:textId="77777777" w:rsidR="00746FD3" w:rsidRPr="00B34E69" w:rsidRDefault="00746FD3" w:rsidP="00746FD3">
      <w:pPr>
        <w:pStyle w:val="Text1Numbered"/>
        <w:rPr>
          <w:rStyle w:val="Hyperlink"/>
          <w:color w:val="auto"/>
        </w:rPr>
      </w:pPr>
      <w:r w:rsidRPr="001119AC">
        <w:rPr>
          <w:rStyle w:val="Hyperlink"/>
          <w:color w:val="auto"/>
        </w:rPr>
        <w:t xml:space="preserve">For access to the EIA, contact </w:t>
      </w:r>
      <w:hyperlink r:id="rId16" w:history="1">
        <w:r w:rsidRPr="001119AC">
          <w:rPr>
            <w:rStyle w:val="Hyperlink"/>
          </w:rPr>
          <w:t>policies@mha.org.uk</w:t>
        </w:r>
      </w:hyperlink>
    </w:p>
    <w:p w14:paraId="20B1EA9C" w14:textId="77777777" w:rsidR="00B34E69" w:rsidRPr="001119AC" w:rsidRDefault="00B34E69" w:rsidP="00B34E69">
      <w:pPr>
        <w:pStyle w:val="Text1Numbered"/>
        <w:numPr>
          <w:ilvl w:val="0"/>
          <w:numId w:val="0"/>
        </w:numPr>
      </w:pPr>
    </w:p>
    <w:bookmarkEnd w:id="40"/>
    <w:p w14:paraId="45B7C054" w14:textId="601427D3" w:rsidR="00283117" w:rsidRDefault="00746FD3" w:rsidP="00B117F5">
      <w:pPr>
        <w:pStyle w:val="Text1Numbered"/>
      </w:pPr>
      <w:r w:rsidRPr="008C7AB9">
        <w:t xml:space="preserve">For further information and support around reasonable adjustments, please contact a member of the HR Team at </w:t>
      </w:r>
      <w:hyperlink r:id="rId17" w:history="1">
        <w:r w:rsidRPr="00A30648">
          <w:rPr>
            <w:rStyle w:val="Hyperlink"/>
          </w:rPr>
          <w:t>hr@mha.org.uk</w:t>
        </w:r>
      </w:hyperlink>
    </w:p>
    <w:p w14:paraId="6372E7FA" w14:textId="2538AE92" w:rsidR="000C7997" w:rsidRDefault="000C7997" w:rsidP="00D558F5">
      <w:pPr>
        <w:pStyle w:val="Heading1Numbered"/>
      </w:pPr>
      <w:bookmarkStart w:id="41" w:name="_Toc179367033"/>
      <w:r w:rsidRPr="00B2494E">
        <w:t>Resources</w:t>
      </w:r>
      <w:bookmarkEnd w:id="41"/>
      <w:r w:rsidRPr="00B2494E">
        <w:t xml:space="preserve"> </w:t>
      </w:r>
    </w:p>
    <w:p w14:paraId="4A3A3EE2" w14:textId="77777777" w:rsidR="00711D55" w:rsidRPr="00746FD3" w:rsidRDefault="00711D55" w:rsidP="00711D55">
      <w:pPr>
        <w:pStyle w:val="Text1Numbered"/>
        <w:rPr>
          <w:b/>
          <w:bCs/>
        </w:rPr>
      </w:pPr>
      <w:r w:rsidRPr="00746FD3">
        <w:rPr>
          <w:b/>
          <w:bCs/>
        </w:rPr>
        <w:t xml:space="preserve">MHA policy documents, </w:t>
      </w:r>
      <w:r w:rsidR="006819E0" w:rsidRPr="00746FD3">
        <w:rPr>
          <w:b/>
          <w:bCs/>
        </w:rPr>
        <w:t>procedures,</w:t>
      </w:r>
      <w:r w:rsidRPr="00746FD3">
        <w:rPr>
          <w:b/>
          <w:bCs/>
        </w:rPr>
        <w:t xml:space="preserve"> and guidance</w:t>
      </w:r>
      <w:r w:rsidR="006819E0" w:rsidRPr="00746FD3">
        <w:rPr>
          <w:b/>
          <w:bCs/>
        </w:rPr>
        <w:t>:</w:t>
      </w:r>
    </w:p>
    <w:p w14:paraId="6810AFB1" w14:textId="7D11D43A" w:rsidR="00746FD3" w:rsidRPr="008E2FC6" w:rsidRDefault="00746FD3" w:rsidP="00CC158C">
      <w:pPr>
        <w:pStyle w:val="Textlistindented-bullet"/>
      </w:pPr>
      <w:r w:rsidRPr="008E2FC6">
        <w:t>Whistleblowing Poster</w:t>
      </w:r>
    </w:p>
    <w:p w14:paraId="64047EEB" w14:textId="1E2E1FF0" w:rsidR="00746FD3" w:rsidRPr="006715FD" w:rsidRDefault="00746FD3" w:rsidP="00746FD3">
      <w:pPr>
        <w:pStyle w:val="Textlistindented-bullet"/>
        <w:rPr>
          <w:rStyle w:val="Hyperlink"/>
        </w:rPr>
      </w:pPr>
      <w:r w:rsidRPr="008E2FC6">
        <w:t>Safeguarding Adults Policy</w:t>
      </w:r>
    </w:p>
    <w:p w14:paraId="1B85F782" w14:textId="41A696ED" w:rsidR="00746FD3" w:rsidRDefault="00CC158C" w:rsidP="00746FD3">
      <w:pPr>
        <w:pStyle w:val="Textlistindented-bullet"/>
      </w:pPr>
      <w:r w:rsidRPr="008E2FC6">
        <w:t>Resolution</w:t>
      </w:r>
      <w:r w:rsidR="00746FD3" w:rsidRPr="008E2FC6">
        <w:t xml:space="preserve"> Policy</w:t>
      </w:r>
    </w:p>
    <w:p w14:paraId="7D74EC8C" w14:textId="15D2FCCD" w:rsidR="00746FD3" w:rsidRDefault="00746FD3" w:rsidP="00746FD3">
      <w:pPr>
        <w:pStyle w:val="Textlistindented-bullet"/>
      </w:pPr>
      <w:r w:rsidRPr="008E2FC6">
        <w:t>Bullying and Harassment</w:t>
      </w:r>
    </w:p>
    <w:p w14:paraId="09A3AB27" w14:textId="5A4A2BE2" w:rsidR="00746FD3" w:rsidRDefault="00746FD3" w:rsidP="00746FD3">
      <w:pPr>
        <w:pStyle w:val="Textlistindented-bullet"/>
      </w:pPr>
      <w:r w:rsidRPr="008E2FC6">
        <w:t>Complaints Policy &amp; Procedure</w:t>
      </w:r>
    </w:p>
    <w:p w14:paraId="66E9A70C" w14:textId="268D3EDF" w:rsidR="00746FD3" w:rsidRDefault="00746FD3" w:rsidP="00746FD3">
      <w:pPr>
        <w:pStyle w:val="Textlistindented-bullet"/>
      </w:pPr>
      <w:r w:rsidRPr="008E2FC6">
        <w:t>Code of Conduct</w:t>
      </w:r>
      <w:r w:rsidR="00CC158C" w:rsidRPr="008E2FC6">
        <w:t xml:space="preserve"> and Professional Behaviour</w:t>
      </w:r>
      <w:r w:rsidRPr="008E2FC6">
        <w:t xml:space="preserve"> Policy</w:t>
      </w:r>
    </w:p>
    <w:p w14:paraId="2CBA53D3" w14:textId="215EFCD1" w:rsidR="00746FD3" w:rsidRDefault="00746FD3" w:rsidP="00746FD3">
      <w:pPr>
        <w:pStyle w:val="Textlistindented-bullet"/>
      </w:pPr>
      <w:r w:rsidRPr="008E2FC6">
        <w:t>Discipline Policy</w:t>
      </w:r>
    </w:p>
    <w:p w14:paraId="378B2E82" w14:textId="5D0470BB" w:rsidR="006819E0" w:rsidRDefault="00746FD3" w:rsidP="00746FD3">
      <w:pPr>
        <w:pStyle w:val="Textlistindented-bullet"/>
      </w:pPr>
      <w:r w:rsidRPr="008E2FC6">
        <w:t>On-Call and Call-out Policy</w:t>
      </w:r>
      <w:hyperlink r:id="rId18" w:history="1"/>
    </w:p>
    <w:p w14:paraId="7183F2DC" w14:textId="77777777" w:rsidR="00711D55" w:rsidRPr="00746FD3" w:rsidRDefault="00711D55" w:rsidP="00711D55">
      <w:pPr>
        <w:pStyle w:val="Text1Numbered"/>
        <w:rPr>
          <w:b/>
          <w:bCs/>
        </w:rPr>
      </w:pPr>
      <w:r w:rsidRPr="00746FD3">
        <w:rPr>
          <w:b/>
          <w:bCs/>
        </w:rPr>
        <w:t xml:space="preserve">External Resources </w:t>
      </w:r>
    </w:p>
    <w:p w14:paraId="792AC021" w14:textId="518AD919" w:rsidR="00DC56B3" w:rsidRDefault="00746FD3" w:rsidP="00610A9B">
      <w:pPr>
        <w:pStyle w:val="Textlistindented-bullet"/>
      </w:pPr>
      <w:hyperlink r:id="rId19" w:history="1">
        <w:r w:rsidRPr="00746FD3">
          <w:rPr>
            <w:rStyle w:val="Hyperlink"/>
          </w:rPr>
          <w:t>Protect Charity</w:t>
        </w:r>
      </w:hyperlink>
    </w:p>
    <w:p w14:paraId="6878305E" w14:textId="36AA11D4" w:rsidR="00DF67AA" w:rsidRDefault="009A0ED4" w:rsidP="00746FD3">
      <w:pPr>
        <w:pStyle w:val="Heading1Numbered"/>
      </w:pPr>
      <w:bookmarkStart w:id="42" w:name="_Toc179367034"/>
      <w:r w:rsidRPr="00DC7F16">
        <w:t>Version Control</w:t>
      </w:r>
      <w:bookmarkEnd w:id="42"/>
    </w:p>
    <w:tbl>
      <w:tblPr>
        <w:tblStyle w:val="MHATable"/>
        <w:tblW w:w="9776" w:type="dxa"/>
        <w:tblLook w:val="04A0" w:firstRow="1" w:lastRow="0" w:firstColumn="1" w:lastColumn="0" w:noHBand="0" w:noVBand="1"/>
      </w:tblPr>
      <w:tblGrid>
        <w:gridCol w:w="1106"/>
        <w:gridCol w:w="1413"/>
        <w:gridCol w:w="3740"/>
        <w:gridCol w:w="2332"/>
        <w:gridCol w:w="1185"/>
      </w:tblGrid>
      <w:tr w:rsidR="002D47FD" w:rsidRPr="005E08A1" w14:paraId="298A9DD6" w14:textId="77777777" w:rsidTr="00746FD3">
        <w:trPr>
          <w:cnfStyle w:val="100000000000" w:firstRow="1" w:lastRow="0" w:firstColumn="0" w:lastColumn="0" w:oddVBand="0" w:evenVBand="0" w:oddHBand="0" w:evenHBand="0" w:firstRowFirstColumn="0" w:firstRowLastColumn="0" w:lastRowFirstColumn="0" w:lastRowLastColumn="0"/>
          <w:trHeight w:val="830"/>
          <w:tblHeader/>
        </w:trPr>
        <w:tc>
          <w:tcPr>
            <w:tcW w:w="1137" w:type="dxa"/>
          </w:tcPr>
          <w:p w14:paraId="65E46D2C" w14:textId="77777777" w:rsidR="00F30A5F" w:rsidRPr="005E08A1" w:rsidRDefault="00F30A5F" w:rsidP="002D47FD">
            <w:r w:rsidRPr="005E08A1">
              <w:t>Version</w:t>
            </w:r>
          </w:p>
        </w:tc>
        <w:tc>
          <w:tcPr>
            <w:tcW w:w="1735" w:type="dxa"/>
          </w:tcPr>
          <w:p w14:paraId="073D27D3" w14:textId="77777777" w:rsidR="00F30A5F" w:rsidRPr="005E08A1" w:rsidRDefault="00F30A5F" w:rsidP="002D47FD">
            <w:r w:rsidRPr="005E08A1">
              <w:t>Version Date</w:t>
            </w:r>
          </w:p>
        </w:tc>
        <w:tc>
          <w:tcPr>
            <w:tcW w:w="3740" w:type="dxa"/>
          </w:tcPr>
          <w:p w14:paraId="502D8046" w14:textId="77777777" w:rsidR="00F30A5F" w:rsidRPr="005E08A1" w:rsidRDefault="00F30A5F" w:rsidP="002D47FD">
            <w:r w:rsidRPr="005E08A1">
              <w:t xml:space="preserve">Revision Description / Summary of Changes </w:t>
            </w:r>
          </w:p>
        </w:tc>
        <w:tc>
          <w:tcPr>
            <w:tcW w:w="1466" w:type="dxa"/>
          </w:tcPr>
          <w:p w14:paraId="7C9EE73A" w14:textId="77777777" w:rsidR="00F30A5F" w:rsidRPr="005E08A1" w:rsidRDefault="00F30A5F" w:rsidP="002D47FD">
            <w:r w:rsidRPr="005E08A1">
              <w:t>Author</w:t>
            </w:r>
            <w:r w:rsidR="00F040DA">
              <w:t xml:space="preserve"> and Review Panel</w:t>
            </w:r>
          </w:p>
        </w:tc>
        <w:tc>
          <w:tcPr>
            <w:tcW w:w="1698" w:type="dxa"/>
          </w:tcPr>
          <w:p w14:paraId="77198830" w14:textId="77777777" w:rsidR="00F30A5F" w:rsidRPr="005E08A1" w:rsidRDefault="00F30A5F" w:rsidP="002D47FD">
            <w:r w:rsidRPr="005E08A1">
              <w:t>Next Review Date</w:t>
            </w:r>
          </w:p>
        </w:tc>
      </w:tr>
      <w:tr w:rsidR="00746FD3" w:rsidRPr="004C3545" w14:paraId="653DB62A" w14:textId="77777777" w:rsidTr="00746FD3">
        <w:trPr>
          <w:trHeight w:val="407"/>
        </w:trPr>
        <w:tc>
          <w:tcPr>
            <w:tcW w:w="1137" w:type="dxa"/>
          </w:tcPr>
          <w:p w14:paraId="45D5F315" w14:textId="357AD05A" w:rsidR="00746FD3" w:rsidRDefault="00746FD3" w:rsidP="00746FD3">
            <w:r>
              <w:t>7</w:t>
            </w:r>
          </w:p>
        </w:tc>
        <w:tc>
          <w:tcPr>
            <w:tcW w:w="1735" w:type="dxa"/>
          </w:tcPr>
          <w:p w14:paraId="3BDB4C63" w14:textId="2CA6814F" w:rsidR="00746FD3" w:rsidRPr="004C3545" w:rsidRDefault="00746FD3" w:rsidP="00746FD3">
            <w:r>
              <w:t>June 2023</w:t>
            </w:r>
          </w:p>
        </w:tc>
        <w:tc>
          <w:tcPr>
            <w:tcW w:w="3740" w:type="dxa"/>
          </w:tcPr>
          <w:p w14:paraId="0D3FF301" w14:textId="77777777" w:rsidR="00746FD3" w:rsidRDefault="00746FD3" w:rsidP="00746FD3">
            <w:pPr>
              <w:pStyle w:val="Textlist-bullet"/>
            </w:pPr>
            <w:r>
              <w:t xml:space="preserve">New </w:t>
            </w:r>
            <w:r w:rsidRPr="00F42A5B">
              <w:t>Independent Advice and Support</w:t>
            </w:r>
            <w:r>
              <w:t xml:space="preserve"> integrated.</w:t>
            </w:r>
          </w:p>
          <w:p w14:paraId="695A13A6" w14:textId="77777777" w:rsidR="00746FD3" w:rsidRDefault="00746FD3" w:rsidP="00746FD3">
            <w:pPr>
              <w:pStyle w:val="Textlist-bullet"/>
            </w:pPr>
            <w:r>
              <w:t xml:space="preserve">Inclusion of dedicated whistleblowing inbox </w:t>
            </w:r>
            <w:hyperlink r:id="rId20" w:history="1">
              <w:r w:rsidRPr="00EF1B5F">
                <w:rPr>
                  <w:rStyle w:val="Hyperlink"/>
                </w:rPr>
                <w:t>whistleblowing@mha.org.uk</w:t>
              </w:r>
            </w:hyperlink>
          </w:p>
          <w:p w14:paraId="3FB0C08A" w14:textId="77777777" w:rsidR="00746FD3" w:rsidRDefault="00746FD3" w:rsidP="00746FD3">
            <w:pPr>
              <w:pStyle w:val="Textlist-bullet"/>
            </w:pPr>
            <w:r>
              <w:t>Clarity on reporting process and responsibilities.</w:t>
            </w:r>
          </w:p>
          <w:p w14:paraId="670E510C" w14:textId="7AD743EC" w:rsidR="00746FD3" w:rsidRPr="004C3545" w:rsidRDefault="00746FD3" w:rsidP="00746FD3">
            <w:pPr>
              <w:pStyle w:val="Textlist-bullet"/>
            </w:pPr>
            <w:r>
              <w:t>Inclusion of escalation process for raised concerns.</w:t>
            </w:r>
          </w:p>
        </w:tc>
        <w:tc>
          <w:tcPr>
            <w:tcW w:w="1466" w:type="dxa"/>
          </w:tcPr>
          <w:p w14:paraId="4A358B2A" w14:textId="2C925929" w:rsidR="00746FD3" w:rsidRDefault="00746FD3" w:rsidP="00746FD3">
            <w:pPr>
              <w:pStyle w:val="Textlist-bullet"/>
            </w:pPr>
            <w:r>
              <w:t>Director of People and Communication</w:t>
            </w:r>
          </w:p>
          <w:p w14:paraId="0868C03F" w14:textId="35A3E1BE" w:rsidR="00746FD3" w:rsidRPr="00746FD3" w:rsidRDefault="00746FD3" w:rsidP="00746FD3">
            <w:pPr>
              <w:pStyle w:val="Textlist-bullet"/>
              <w:rPr>
                <w:u w:val="single"/>
              </w:rPr>
            </w:pPr>
            <w:r>
              <w:t xml:space="preserve">Head of People </w:t>
            </w:r>
          </w:p>
          <w:p w14:paraId="0E5594D2" w14:textId="11DE08B9" w:rsidR="00746FD3" w:rsidRPr="00F040DA" w:rsidRDefault="00746FD3" w:rsidP="00746FD3">
            <w:pPr>
              <w:pStyle w:val="Textlist-bullet"/>
              <w:rPr>
                <w:u w:val="single"/>
              </w:rPr>
            </w:pPr>
            <w:r>
              <w:t xml:space="preserve">Standards and Policy Manager </w:t>
            </w:r>
          </w:p>
        </w:tc>
        <w:tc>
          <w:tcPr>
            <w:tcW w:w="1698" w:type="dxa"/>
          </w:tcPr>
          <w:p w14:paraId="043AF7B6" w14:textId="506E29B6" w:rsidR="00746FD3" w:rsidRPr="004C3545" w:rsidRDefault="00746FD3" w:rsidP="00746FD3">
            <w:r>
              <w:t>June 2025</w:t>
            </w:r>
          </w:p>
        </w:tc>
      </w:tr>
      <w:tr w:rsidR="00746FD3" w:rsidRPr="004C3545" w14:paraId="3D40EE55" w14:textId="77777777" w:rsidTr="00746FD3">
        <w:trPr>
          <w:trHeight w:val="422"/>
        </w:trPr>
        <w:tc>
          <w:tcPr>
            <w:tcW w:w="1137" w:type="dxa"/>
          </w:tcPr>
          <w:p w14:paraId="0B825A2E" w14:textId="4397DA79" w:rsidR="00746FD3" w:rsidRPr="004C3545" w:rsidRDefault="00746FD3" w:rsidP="00746FD3">
            <w:r>
              <w:t>8</w:t>
            </w:r>
          </w:p>
        </w:tc>
        <w:tc>
          <w:tcPr>
            <w:tcW w:w="1735" w:type="dxa"/>
          </w:tcPr>
          <w:p w14:paraId="22CA3FEC" w14:textId="42801DC0" w:rsidR="00746FD3" w:rsidRPr="004C3545" w:rsidRDefault="00746FD3" w:rsidP="00746FD3">
            <w:r>
              <w:t>December 2023</w:t>
            </w:r>
          </w:p>
        </w:tc>
        <w:tc>
          <w:tcPr>
            <w:tcW w:w="3740" w:type="dxa"/>
          </w:tcPr>
          <w:p w14:paraId="440316D4" w14:textId="2F55B41D" w:rsidR="00746FD3" w:rsidRPr="004C3545" w:rsidRDefault="00746FD3" w:rsidP="00746FD3">
            <w:pPr>
              <w:pStyle w:val="Textlist-bullet"/>
            </w:pPr>
            <w:r>
              <w:t>Addition of Equality Impact Assessment (EIA) outcomes.</w:t>
            </w:r>
          </w:p>
        </w:tc>
        <w:tc>
          <w:tcPr>
            <w:tcW w:w="1466" w:type="dxa"/>
          </w:tcPr>
          <w:p w14:paraId="7CB68494" w14:textId="77777777" w:rsidR="00746FD3" w:rsidRDefault="00746FD3" w:rsidP="00746FD3">
            <w:pPr>
              <w:pStyle w:val="Textlist-bullet"/>
            </w:pPr>
            <w:r>
              <w:t>Equality, Diversity, and Inclusion Manager</w:t>
            </w:r>
          </w:p>
          <w:p w14:paraId="5639F5CD" w14:textId="77777777" w:rsidR="00746FD3" w:rsidRDefault="00746FD3" w:rsidP="00746FD3">
            <w:pPr>
              <w:pStyle w:val="Textlist-bullet"/>
            </w:pPr>
            <w:r>
              <w:t>Head of People</w:t>
            </w:r>
          </w:p>
          <w:p w14:paraId="458F918A" w14:textId="3177A677" w:rsidR="00746FD3" w:rsidRPr="004C3545" w:rsidRDefault="00746FD3" w:rsidP="00746FD3">
            <w:pPr>
              <w:pStyle w:val="Textlist-bullet"/>
            </w:pPr>
            <w:r>
              <w:t>Standards and Policy Manager</w:t>
            </w:r>
          </w:p>
        </w:tc>
        <w:tc>
          <w:tcPr>
            <w:tcW w:w="1698" w:type="dxa"/>
          </w:tcPr>
          <w:p w14:paraId="2FCF42C3" w14:textId="517A0066" w:rsidR="00746FD3" w:rsidRPr="004C3545" w:rsidRDefault="00746FD3" w:rsidP="00746FD3">
            <w:r>
              <w:t>June 2025</w:t>
            </w:r>
          </w:p>
        </w:tc>
      </w:tr>
      <w:tr w:rsidR="00746FD3" w:rsidRPr="004C3545" w14:paraId="080CA6B0" w14:textId="77777777" w:rsidTr="00746FD3">
        <w:trPr>
          <w:trHeight w:val="407"/>
        </w:trPr>
        <w:tc>
          <w:tcPr>
            <w:tcW w:w="1137" w:type="dxa"/>
          </w:tcPr>
          <w:p w14:paraId="7F041542" w14:textId="33A51C44" w:rsidR="00746FD3" w:rsidRPr="004C3545" w:rsidRDefault="00746FD3" w:rsidP="00746FD3">
            <w:r>
              <w:t>9</w:t>
            </w:r>
          </w:p>
        </w:tc>
        <w:tc>
          <w:tcPr>
            <w:tcW w:w="1735" w:type="dxa"/>
          </w:tcPr>
          <w:p w14:paraId="5AB071C5" w14:textId="1529085B" w:rsidR="00746FD3" w:rsidRPr="004C3545" w:rsidRDefault="00746FD3" w:rsidP="00746FD3">
            <w:r>
              <w:t>January 2024</w:t>
            </w:r>
          </w:p>
        </w:tc>
        <w:tc>
          <w:tcPr>
            <w:tcW w:w="3740" w:type="dxa"/>
          </w:tcPr>
          <w:p w14:paraId="3E0988E1" w14:textId="05EB8E49" w:rsidR="00746FD3" w:rsidRPr="004C3545" w:rsidRDefault="00746FD3" w:rsidP="00746FD3">
            <w:pPr>
              <w:pStyle w:val="Textlist-bullet"/>
            </w:pPr>
            <w:r>
              <w:t>Reference to ‘Inland Revenue’ updated to HMRC.</w:t>
            </w:r>
          </w:p>
        </w:tc>
        <w:tc>
          <w:tcPr>
            <w:tcW w:w="1466" w:type="dxa"/>
          </w:tcPr>
          <w:p w14:paraId="0ED4F250" w14:textId="49C58759" w:rsidR="00746FD3" w:rsidRPr="004C3545" w:rsidRDefault="00746FD3" w:rsidP="00746FD3">
            <w:pPr>
              <w:pStyle w:val="Textlist-bullet"/>
            </w:pPr>
            <w:r>
              <w:t>Standards and Policy Manager</w:t>
            </w:r>
          </w:p>
        </w:tc>
        <w:tc>
          <w:tcPr>
            <w:tcW w:w="1698" w:type="dxa"/>
          </w:tcPr>
          <w:p w14:paraId="1A60A0FC" w14:textId="0A329490" w:rsidR="00746FD3" w:rsidRPr="004C3545" w:rsidRDefault="00746FD3" w:rsidP="00746FD3">
            <w:r>
              <w:t>June 2025</w:t>
            </w:r>
          </w:p>
        </w:tc>
      </w:tr>
      <w:tr w:rsidR="00746FD3" w:rsidRPr="004C3545" w14:paraId="69D1881C" w14:textId="77777777" w:rsidTr="00746FD3">
        <w:trPr>
          <w:trHeight w:val="407"/>
        </w:trPr>
        <w:tc>
          <w:tcPr>
            <w:tcW w:w="1137" w:type="dxa"/>
          </w:tcPr>
          <w:p w14:paraId="686357D2" w14:textId="302C53A2" w:rsidR="00746FD3" w:rsidRPr="004C3545" w:rsidRDefault="00746FD3" w:rsidP="00746FD3">
            <w:r>
              <w:t>10</w:t>
            </w:r>
          </w:p>
        </w:tc>
        <w:tc>
          <w:tcPr>
            <w:tcW w:w="1735" w:type="dxa"/>
          </w:tcPr>
          <w:p w14:paraId="462D01BC" w14:textId="233501AC" w:rsidR="00746FD3" w:rsidRPr="004C3545" w:rsidRDefault="00746FD3" w:rsidP="00746FD3">
            <w:r>
              <w:t>June 2024</w:t>
            </w:r>
          </w:p>
        </w:tc>
        <w:tc>
          <w:tcPr>
            <w:tcW w:w="3740" w:type="dxa"/>
          </w:tcPr>
          <w:p w14:paraId="47A85918" w14:textId="50D21251" w:rsidR="00746FD3" w:rsidRPr="004C3545" w:rsidRDefault="00746FD3" w:rsidP="00746FD3">
            <w:pPr>
              <w:pStyle w:val="Textlist-bullet"/>
            </w:pPr>
            <w:r>
              <w:t>Appendix 1 Statutory and Regulatory contacts updated.</w:t>
            </w:r>
          </w:p>
        </w:tc>
        <w:tc>
          <w:tcPr>
            <w:tcW w:w="1466" w:type="dxa"/>
          </w:tcPr>
          <w:p w14:paraId="206ED8B8" w14:textId="1D59147A" w:rsidR="00746FD3" w:rsidRPr="004C3545" w:rsidRDefault="00746FD3" w:rsidP="00746FD3">
            <w:pPr>
              <w:pStyle w:val="Textlist-bullet"/>
            </w:pPr>
            <w:r>
              <w:t>Standards and Policy Manager (EB)</w:t>
            </w:r>
          </w:p>
        </w:tc>
        <w:tc>
          <w:tcPr>
            <w:tcW w:w="1698" w:type="dxa"/>
          </w:tcPr>
          <w:p w14:paraId="577CCD01" w14:textId="09779E1A" w:rsidR="00746FD3" w:rsidRPr="004C3545" w:rsidRDefault="00746FD3" w:rsidP="00746FD3">
            <w:r>
              <w:t>June 2025</w:t>
            </w:r>
          </w:p>
        </w:tc>
      </w:tr>
      <w:tr w:rsidR="00CC158C" w:rsidRPr="004C3545" w14:paraId="646FEA59" w14:textId="77777777" w:rsidTr="00746FD3">
        <w:trPr>
          <w:trHeight w:val="407"/>
        </w:trPr>
        <w:tc>
          <w:tcPr>
            <w:tcW w:w="1137" w:type="dxa"/>
          </w:tcPr>
          <w:p w14:paraId="2F2BE077" w14:textId="6AFB1543" w:rsidR="00CC158C" w:rsidRDefault="00CC158C" w:rsidP="00746FD3">
            <w:r>
              <w:t>11</w:t>
            </w:r>
          </w:p>
        </w:tc>
        <w:tc>
          <w:tcPr>
            <w:tcW w:w="1735" w:type="dxa"/>
          </w:tcPr>
          <w:p w14:paraId="414F0960" w14:textId="0EB825CA" w:rsidR="00CC158C" w:rsidRDefault="00CC158C" w:rsidP="00746FD3">
            <w:r>
              <w:t>October 2024</w:t>
            </w:r>
          </w:p>
        </w:tc>
        <w:tc>
          <w:tcPr>
            <w:tcW w:w="3740" w:type="dxa"/>
          </w:tcPr>
          <w:p w14:paraId="6FD9EC5B" w14:textId="77777777" w:rsidR="00CC158C" w:rsidRDefault="00CC158C" w:rsidP="00746FD3">
            <w:pPr>
              <w:pStyle w:val="Textlist-bullet"/>
            </w:pPr>
            <w:r>
              <w:t>Updated reference to Resolution Policy from Grievance Policy</w:t>
            </w:r>
          </w:p>
          <w:p w14:paraId="1027810B" w14:textId="3FFDF781" w:rsidR="00CC158C" w:rsidRDefault="00CC158C" w:rsidP="00746FD3">
            <w:pPr>
              <w:pStyle w:val="Textlist-bullet"/>
            </w:pPr>
            <w:r>
              <w:t xml:space="preserve">Removed </w:t>
            </w:r>
            <w:r w:rsidR="002960E6">
              <w:t>P</w:t>
            </w:r>
            <w:r>
              <w:t>olicy codes</w:t>
            </w:r>
            <w:r w:rsidR="00A864B8">
              <w:t>, updated</w:t>
            </w:r>
            <w:r w:rsidR="0036747B">
              <w:t xml:space="preserve"> branding</w:t>
            </w:r>
          </w:p>
        </w:tc>
        <w:tc>
          <w:tcPr>
            <w:tcW w:w="1466" w:type="dxa"/>
          </w:tcPr>
          <w:p w14:paraId="568E3C51" w14:textId="1400C8CB" w:rsidR="00CC158C" w:rsidRDefault="00CC158C" w:rsidP="00746FD3">
            <w:pPr>
              <w:pStyle w:val="Textlist-bullet"/>
            </w:pPr>
            <w:r>
              <w:t>Standards and Policy Manager</w:t>
            </w:r>
          </w:p>
        </w:tc>
        <w:tc>
          <w:tcPr>
            <w:tcW w:w="1698" w:type="dxa"/>
          </w:tcPr>
          <w:p w14:paraId="29ACC78B" w14:textId="57279F5F" w:rsidR="00CC158C" w:rsidRDefault="00CC158C" w:rsidP="00746FD3">
            <w:r>
              <w:t>June 2025</w:t>
            </w:r>
          </w:p>
        </w:tc>
      </w:tr>
    </w:tbl>
    <w:p w14:paraId="189637BC" w14:textId="77777777" w:rsidR="00877890" w:rsidRDefault="00877890" w:rsidP="006819E0">
      <w:pPr>
        <w:pStyle w:val="Text"/>
      </w:pPr>
    </w:p>
    <w:p w14:paraId="470D9498" w14:textId="77777777" w:rsidR="00877890" w:rsidRDefault="00877890" w:rsidP="00877890">
      <w:pPr>
        <w:pStyle w:val="Heading1Numbered"/>
      </w:pPr>
      <w:bookmarkStart w:id="43" w:name="_Toc179367035"/>
      <w:r w:rsidRPr="000C7997">
        <w:t>Appendices</w:t>
      </w:r>
      <w:bookmarkEnd w:id="43"/>
    </w:p>
    <w:p w14:paraId="6F0A770A" w14:textId="77777777" w:rsidR="00877890" w:rsidRPr="00746FD3" w:rsidRDefault="00877890" w:rsidP="00877890">
      <w:pPr>
        <w:pStyle w:val="Textlistindented-bullet"/>
      </w:pPr>
      <w:r>
        <w:t xml:space="preserve">Appendix 1 - </w:t>
      </w:r>
      <w:bookmarkStart w:id="44" w:name="_Toc112769281"/>
      <w:bookmarkStart w:id="45" w:name="_Toc123632098"/>
      <w:r w:rsidRPr="00746FD3">
        <w:t>Appropriate statutory or regulatory bodies</w:t>
      </w:r>
    </w:p>
    <w:p w14:paraId="7F85A314" w14:textId="77777777" w:rsidR="00877890" w:rsidRDefault="00877890" w:rsidP="00877890">
      <w:pPr>
        <w:pStyle w:val="Heading2Numbered"/>
      </w:pPr>
      <w:bookmarkStart w:id="46" w:name="_Toc179367036"/>
      <w:r w:rsidRPr="00CF7537">
        <w:t xml:space="preserve">Appendix 1: </w:t>
      </w:r>
      <w:bookmarkEnd w:id="44"/>
      <w:bookmarkEnd w:id="45"/>
      <w:r w:rsidRPr="00746FD3">
        <w:t>Appropriate statutory or regulatory bodies</w:t>
      </w:r>
      <w:bookmarkEnd w:id="46"/>
    </w:p>
    <w:p w14:paraId="44CE3E8F" w14:textId="77777777" w:rsidR="00877890" w:rsidRPr="00CF7537" w:rsidRDefault="00877890" w:rsidP="00877890">
      <w:pPr>
        <w:pStyle w:val="Text2Numbered"/>
      </w:pPr>
      <w:r>
        <w:t>Statutory regulators and other regulatory bodies to whom a whistleblowing disclosure may be made.</w:t>
      </w: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6946"/>
      </w:tblGrid>
      <w:tr w:rsidR="00877890" w:rsidRPr="00B028EE" w14:paraId="20224BBC" w14:textId="77777777" w:rsidTr="002C2F64">
        <w:trPr>
          <w:tblHeader/>
          <w:jc w:val="center"/>
        </w:trPr>
        <w:tc>
          <w:tcPr>
            <w:tcW w:w="2547" w:type="dxa"/>
            <w:shd w:val="clear" w:color="auto" w:fill="217593" w:themeFill="accent1"/>
            <w:vAlign w:val="center"/>
          </w:tcPr>
          <w:p w14:paraId="3742DD60" w14:textId="77777777" w:rsidR="00877890" w:rsidRPr="00B028EE" w:rsidRDefault="00877890" w:rsidP="002C2F64">
            <w:pPr>
              <w:rPr>
                <w:b/>
                <w:bCs/>
                <w:color w:val="FFFFFF" w:themeColor="background1"/>
              </w:rPr>
            </w:pPr>
            <w:r>
              <w:rPr>
                <w:b/>
                <w:bCs/>
                <w:color w:val="FFFFFF" w:themeColor="background1"/>
              </w:rPr>
              <w:t>Regulator (A-Z)</w:t>
            </w:r>
          </w:p>
        </w:tc>
        <w:tc>
          <w:tcPr>
            <w:tcW w:w="6946" w:type="dxa"/>
            <w:shd w:val="clear" w:color="auto" w:fill="217593" w:themeFill="accent1"/>
            <w:vAlign w:val="center"/>
          </w:tcPr>
          <w:p w14:paraId="1B337528" w14:textId="77777777" w:rsidR="00877890" w:rsidRPr="00B028EE" w:rsidRDefault="00877890" w:rsidP="002C2F64">
            <w:pPr>
              <w:rPr>
                <w:b/>
                <w:bCs/>
                <w:color w:val="FFFFFF" w:themeColor="background1"/>
              </w:rPr>
            </w:pPr>
            <w:r>
              <w:rPr>
                <w:b/>
                <w:bCs/>
                <w:color w:val="FFFFFF" w:themeColor="background1"/>
              </w:rPr>
              <w:t>Descriptions of matters</w:t>
            </w:r>
          </w:p>
        </w:tc>
      </w:tr>
      <w:tr w:rsidR="00877890" w:rsidRPr="00D71E41" w14:paraId="11B72D8E" w14:textId="77777777" w:rsidTr="002C2F64">
        <w:trPr>
          <w:jc w:val="center"/>
        </w:trPr>
        <w:tc>
          <w:tcPr>
            <w:tcW w:w="2547" w:type="dxa"/>
            <w:vAlign w:val="center"/>
          </w:tcPr>
          <w:p w14:paraId="5EC03AB8" w14:textId="77777777" w:rsidR="00877890" w:rsidRPr="00D71E41" w:rsidRDefault="00877890" w:rsidP="002C2F64">
            <w:hyperlink r:id="rId21" w:history="1">
              <w:r w:rsidRPr="00746FD3">
                <w:rPr>
                  <w:rStyle w:val="Hyperlink"/>
                </w:rPr>
                <w:t>Auditor General for Wales</w:t>
              </w:r>
            </w:hyperlink>
          </w:p>
        </w:tc>
        <w:tc>
          <w:tcPr>
            <w:tcW w:w="6946" w:type="dxa"/>
            <w:vAlign w:val="center"/>
          </w:tcPr>
          <w:p w14:paraId="0F99935E" w14:textId="77777777" w:rsidR="00877890" w:rsidRPr="00D71E41" w:rsidRDefault="00877890" w:rsidP="002C2F64">
            <w:r w:rsidRPr="00D71E41">
              <w:t>The proper conduct of public business, value for money, fraud, and corruption in relation to the provision of public services.</w:t>
            </w:r>
          </w:p>
        </w:tc>
      </w:tr>
      <w:tr w:rsidR="00877890" w:rsidRPr="00D71E41" w14:paraId="59655669" w14:textId="77777777" w:rsidTr="002C2F64">
        <w:trPr>
          <w:jc w:val="center"/>
        </w:trPr>
        <w:tc>
          <w:tcPr>
            <w:tcW w:w="2547" w:type="dxa"/>
            <w:vAlign w:val="center"/>
          </w:tcPr>
          <w:p w14:paraId="3B5B611A" w14:textId="77777777" w:rsidR="00877890" w:rsidRPr="00D71E41" w:rsidRDefault="00877890" w:rsidP="002C2F64">
            <w:hyperlink r:id="rId22" w:history="1">
              <w:r w:rsidRPr="00746FD3">
                <w:rPr>
                  <w:rStyle w:val="Hyperlink"/>
                </w:rPr>
                <w:t>Care Inspectorate Wales (CIW)</w:t>
              </w:r>
            </w:hyperlink>
          </w:p>
        </w:tc>
        <w:tc>
          <w:tcPr>
            <w:tcW w:w="6946" w:type="dxa"/>
            <w:vAlign w:val="center"/>
          </w:tcPr>
          <w:p w14:paraId="3BA8E4FB" w14:textId="77777777" w:rsidR="00877890" w:rsidRPr="00D71E41" w:rsidRDefault="00877890" w:rsidP="002C2F64">
            <w:r w:rsidRPr="00D71E41">
              <w:t>Social and Care services in Wales</w:t>
            </w:r>
          </w:p>
        </w:tc>
      </w:tr>
      <w:tr w:rsidR="00877890" w:rsidRPr="00D71E41" w14:paraId="4B06018A" w14:textId="77777777" w:rsidTr="002C2F64">
        <w:trPr>
          <w:jc w:val="center"/>
        </w:trPr>
        <w:tc>
          <w:tcPr>
            <w:tcW w:w="2547" w:type="dxa"/>
            <w:vAlign w:val="center"/>
          </w:tcPr>
          <w:p w14:paraId="1FB0E332" w14:textId="77777777" w:rsidR="00877890" w:rsidRPr="00D71E41" w:rsidRDefault="00877890" w:rsidP="002C2F64">
            <w:hyperlink r:id="rId23" w:history="1">
              <w:r w:rsidRPr="00746FD3">
                <w:rPr>
                  <w:rStyle w:val="Hyperlink"/>
                </w:rPr>
                <w:t>Care Quality Commission (CQC)</w:t>
              </w:r>
            </w:hyperlink>
          </w:p>
        </w:tc>
        <w:tc>
          <w:tcPr>
            <w:tcW w:w="6946" w:type="dxa"/>
            <w:vAlign w:val="center"/>
          </w:tcPr>
          <w:p w14:paraId="6008C1F7" w14:textId="77777777" w:rsidR="00877890" w:rsidRPr="00D71E41" w:rsidRDefault="00877890" w:rsidP="002C2F64">
            <w:r w:rsidRPr="00D71E41">
              <w:t>Social Care Services in England</w:t>
            </w:r>
          </w:p>
        </w:tc>
      </w:tr>
      <w:tr w:rsidR="00877890" w:rsidRPr="00D71E41" w14:paraId="0A1C5350" w14:textId="77777777" w:rsidTr="002C2F64">
        <w:trPr>
          <w:jc w:val="center"/>
        </w:trPr>
        <w:tc>
          <w:tcPr>
            <w:tcW w:w="2547" w:type="dxa"/>
            <w:vAlign w:val="center"/>
          </w:tcPr>
          <w:p w14:paraId="4075D8AF" w14:textId="77777777" w:rsidR="00877890" w:rsidRPr="00D71E41" w:rsidRDefault="00877890" w:rsidP="002C2F64">
            <w:hyperlink r:id="rId24" w:history="1">
              <w:r w:rsidRPr="00746FD3">
                <w:rPr>
                  <w:rStyle w:val="Hyperlink"/>
                </w:rPr>
                <w:t>Charity Commission for England and Wales</w:t>
              </w:r>
            </w:hyperlink>
          </w:p>
        </w:tc>
        <w:tc>
          <w:tcPr>
            <w:tcW w:w="6946" w:type="dxa"/>
            <w:vAlign w:val="center"/>
          </w:tcPr>
          <w:p w14:paraId="04068B58" w14:textId="77777777" w:rsidR="00877890" w:rsidRPr="00D71E41" w:rsidRDefault="00877890" w:rsidP="002C2F64">
            <w:r w:rsidRPr="00D71E41">
              <w:t>The proper administration of charities and of funds given or held for charitable purposes.</w:t>
            </w:r>
          </w:p>
        </w:tc>
      </w:tr>
      <w:tr w:rsidR="00877890" w:rsidRPr="00D71E41" w14:paraId="1762EEF2" w14:textId="77777777" w:rsidTr="002C2F64">
        <w:trPr>
          <w:jc w:val="center"/>
        </w:trPr>
        <w:tc>
          <w:tcPr>
            <w:tcW w:w="2547" w:type="dxa"/>
            <w:vAlign w:val="center"/>
          </w:tcPr>
          <w:p w14:paraId="7BB4DB35" w14:textId="77777777" w:rsidR="00877890" w:rsidRPr="00D71E41" w:rsidRDefault="00877890" w:rsidP="002C2F64">
            <w:hyperlink r:id="rId25" w:anchor=":~:text=The%20Comptroller%20and%20Auditor%20General,Gareth%20Davies%2C%20leads%20the%20NAO." w:history="1">
              <w:r w:rsidRPr="00746FD3">
                <w:rPr>
                  <w:rStyle w:val="Hyperlink"/>
                </w:rPr>
                <w:t>Controller and Auditor General of the National Audit Office</w:t>
              </w:r>
            </w:hyperlink>
          </w:p>
        </w:tc>
        <w:tc>
          <w:tcPr>
            <w:tcW w:w="6946" w:type="dxa"/>
            <w:vAlign w:val="center"/>
          </w:tcPr>
          <w:p w14:paraId="644A7477" w14:textId="77777777" w:rsidR="00877890" w:rsidRPr="00D71E41" w:rsidRDefault="00877890" w:rsidP="002C2F64">
            <w:r w:rsidRPr="00D71E41">
              <w:t>The proper conduct of public business, value for money, fraud, and corruption in relation to the provision of centrally funded public services.</w:t>
            </w:r>
          </w:p>
        </w:tc>
      </w:tr>
      <w:tr w:rsidR="00877890" w:rsidRPr="00D71E41" w14:paraId="1ABBF662" w14:textId="77777777" w:rsidTr="002C2F64">
        <w:trPr>
          <w:jc w:val="center"/>
        </w:trPr>
        <w:tc>
          <w:tcPr>
            <w:tcW w:w="2547" w:type="dxa"/>
            <w:vAlign w:val="center"/>
          </w:tcPr>
          <w:p w14:paraId="49757B1A" w14:textId="77777777" w:rsidR="00877890" w:rsidRPr="00D71E41" w:rsidRDefault="00877890" w:rsidP="002C2F64">
            <w:hyperlink r:id="rId26" w:history="1">
              <w:r w:rsidRPr="00746FD3">
                <w:rPr>
                  <w:rStyle w:val="Hyperlink"/>
                </w:rPr>
                <w:t>Information Commissioner's Office</w:t>
              </w:r>
            </w:hyperlink>
          </w:p>
        </w:tc>
        <w:tc>
          <w:tcPr>
            <w:tcW w:w="6946" w:type="dxa"/>
            <w:vAlign w:val="center"/>
          </w:tcPr>
          <w:p w14:paraId="3B006F55" w14:textId="77777777" w:rsidR="00877890" w:rsidRPr="00D71E41" w:rsidRDefault="00877890" w:rsidP="002C2F64">
            <w:r w:rsidRPr="00D71E41">
              <w:t>Compliance with the requirements of legislation relating to data protection regulations</w:t>
            </w:r>
            <w:r>
              <w:t>.</w:t>
            </w:r>
          </w:p>
        </w:tc>
      </w:tr>
      <w:tr w:rsidR="00877890" w:rsidRPr="00D71E41" w14:paraId="1A797E77" w14:textId="77777777" w:rsidTr="002C2F64">
        <w:trPr>
          <w:jc w:val="center"/>
        </w:trPr>
        <w:tc>
          <w:tcPr>
            <w:tcW w:w="2547" w:type="dxa"/>
            <w:vAlign w:val="center"/>
          </w:tcPr>
          <w:p w14:paraId="37E7D3A9" w14:textId="77777777" w:rsidR="00877890" w:rsidRPr="00D71E41" w:rsidRDefault="00877890" w:rsidP="002C2F64">
            <w:hyperlink r:id="rId27" w:history="1">
              <w:r w:rsidRPr="00746FD3">
                <w:rPr>
                  <w:rStyle w:val="Hyperlink"/>
                </w:rPr>
                <w:t>Older People’s Commission Wales</w:t>
              </w:r>
            </w:hyperlink>
          </w:p>
        </w:tc>
        <w:tc>
          <w:tcPr>
            <w:tcW w:w="6946" w:type="dxa"/>
            <w:vAlign w:val="center"/>
          </w:tcPr>
          <w:p w14:paraId="53AFCDDD" w14:textId="77777777" w:rsidR="00877890" w:rsidRPr="00D71E41" w:rsidRDefault="00877890" w:rsidP="002C2F64">
            <w:r>
              <w:t>Matters relating to the rights and wellbeing of older people in Wales</w:t>
            </w:r>
          </w:p>
        </w:tc>
      </w:tr>
      <w:tr w:rsidR="00877890" w:rsidRPr="00D71E41" w14:paraId="435D3551" w14:textId="77777777" w:rsidTr="002C2F64">
        <w:trPr>
          <w:jc w:val="center"/>
        </w:trPr>
        <w:tc>
          <w:tcPr>
            <w:tcW w:w="2547" w:type="dxa"/>
            <w:vAlign w:val="center"/>
          </w:tcPr>
          <w:p w14:paraId="41F55347" w14:textId="77777777" w:rsidR="00877890" w:rsidRPr="00D71E41" w:rsidRDefault="00877890" w:rsidP="002C2F64">
            <w:hyperlink r:id="rId28" w:history="1">
              <w:r w:rsidRPr="00746FD3">
                <w:rPr>
                  <w:rStyle w:val="Hyperlink"/>
                </w:rPr>
                <w:t>Director of Serious Fraud Office</w:t>
              </w:r>
            </w:hyperlink>
          </w:p>
        </w:tc>
        <w:tc>
          <w:tcPr>
            <w:tcW w:w="6946" w:type="dxa"/>
            <w:vAlign w:val="center"/>
          </w:tcPr>
          <w:p w14:paraId="7B889F89" w14:textId="77777777" w:rsidR="00877890" w:rsidRPr="00D71E41" w:rsidRDefault="00877890" w:rsidP="002C2F64">
            <w:r w:rsidRPr="00D71E41">
              <w:t>Serious or complex Fraud</w:t>
            </w:r>
          </w:p>
        </w:tc>
      </w:tr>
      <w:tr w:rsidR="00877890" w:rsidRPr="00D71E41" w14:paraId="243383A6" w14:textId="77777777" w:rsidTr="002C2F64">
        <w:trPr>
          <w:jc w:val="center"/>
        </w:trPr>
        <w:tc>
          <w:tcPr>
            <w:tcW w:w="2547" w:type="dxa"/>
            <w:vAlign w:val="center"/>
          </w:tcPr>
          <w:p w14:paraId="69D349A7" w14:textId="77777777" w:rsidR="00877890" w:rsidRPr="00D71E41" w:rsidRDefault="00877890" w:rsidP="002C2F64">
            <w:hyperlink r:id="rId29" w:history="1">
              <w:r w:rsidRPr="00746FD3">
                <w:rPr>
                  <w:rStyle w:val="Hyperlink"/>
                </w:rPr>
                <w:t>Environment Agency</w:t>
              </w:r>
            </w:hyperlink>
          </w:p>
        </w:tc>
        <w:tc>
          <w:tcPr>
            <w:tcW w:w="6946" w:type="dxa"/>
            <w:vAlign w:val="center"/>
          </w:tcPr>
          <w:p w14:paraId="69BD74B7" w14:textId="77777777" w:rsidR="00877890" w:rsidRPr="00D71E41" w:rsidRDefault="00877890" w:rsidP="002C2F64">
            <w:r w:rsidRPr="00D71E41">
              <w:t>Acts or omissions which have an actual or potential effect on the environment or the management or regulation of the environment, including those relating to pollution, abstraction of water, flooding, the flow in rivers, inland fisheries and migratory salmon or trout.</w:t>
            </w:r>
          </w:p>
        </w:tc>
      </w:tr>
      <w:tr w:rsidR="00877890" w:rsidRPr="00D71E41" w14:paraId="0A9643BE" w14:textId="77777777" w:rsidTr="002C2F64">
        <w:trPr>
          <w:jc w:val="center"/>
        </w:trPr>
        <w:tc>
          <w:tcPr>
            <w:tcW w:w="2547" w:type="dxa"/>
            <w:vAlign w:val="center"/>
          </w:tcPr>
          <w:p w14:paraId="674E31BF" w14:textId="77777777" w:rsidR="00877890" w:rsidRPr="00D71E41" w:rsidRDefault="00877890" w:rsidP="002C2F64">
            <w:hyperlink r:id="rId30" w:history="1">
              <w:r w:rsidRPr="00746FD3">
                <w:rPr>
                  <w:rStyle w:val="Hyperlink"/>
                </w:rPr>
                <w:t>Financial Conduct Authority (FCA)</w:t>
              </w:r>
            </w:hyperlink>
          </w:p>
        </w:tc>
        <w:tc>
          <w:tcPr>
            <w:tcW w:w="6946" w:type="dxa"/>
            <w:vAlign w:val="center"/>
          </w:tcPr>
          <w:p w14:paraId="3DD7604D" w14:textId="77777777" w:rsidR="00877890" w:rsidRPr="00D71E41" w:rsidRDefault="00877890" w:rsidP="002C2F64">
            <w:r w:rsidRPr="00D71E41">
              <w:t>The carrying on of investment business or of insurance business; the operation of banks, deposit-taking businesses, and wholesale money marketing regimes; the functioning of other financial regulators; money laundering, financial crime, and other serious financial misconduct, in connection with activities regulated by the Financial Services Authority.</w:t>
            </w:r>
          </w:p>
        </w:tc>
      </w:tr>
      <w:tr w:rsidR="00877890" w:rsidRPr="00D71E41" w:rsidDel="00581645" w14:paraId="113ABE77" w14:textId="77777777" w:rsidTr="002C2F64">
        <w:trPr>
          <w:jc w:val="center"/>
        </w:trPr>
        <w:tc>
          <w:tcPr>
            <w:tcW w:w="2547" w:type="dxa"/>
          </w:tcPr>
          <w:p w14:paraId="41B1745D" w14:textId="77777777" w:rsidR="00877890" w:rsidRPr="00746FD3" w:rsidRDefault="00877890" w:rsidP="002C2F64">
            <w:pPr>
              <w:rPr>
                <w:sz w:val="16"/>
                <w:szCs w:val="16"/>
              </w:rPr>
            </w:pPr>
            <w:hyperlink r:id="rId31" w:history="1">
              <w:r w:rsidRPr="00746FD3">
                <w:rPr>
                  <w:rStyle w:val="Hyperlink"/>
                </w:rPr>
                <w:t>Fundraising Regulator</w:t>
              </w:r>
            </w:hyperlink>
          </w:p>
        </w:tc>
        <w:tc>
          <w:tcPr>
            <w:tcW w:w="6946" w:type="dxa"/>
          </w:tcPr>
          <w:p w14:paraId="4FC9F14C" w14:textId="77777777" w:rsidR="00877890" w:rsidRPr="00746FD3" w:rsidRDefault="00877890" w:rsidP="002C2F64">
            <w:r w:rsidRPr="00746FD3">
              <w:t>For concerns relating to fundraising, people may complain directly to the Fundraising Regulator.</w:t>
            </w:r>
          </w:p>
        </w:tc>
      </w:tr>
      <w:tr w:rsidR="00877890" w:rsidRPr="00D71E41" w:rsidDel="00581645" w14:paraId="4B93E767" w14:textId="77777777" w:rsidTr="002C2F64">
        <w:trPr>
          <w:jc w:val="center"/>
        </w:trPr>
        <w:tc>
          <w:tcPr>
            <w:tcW w:w="2547" w:type="dxa"/>
            <w:vAlign w:val="center"/>
          </w:tcPr>
          <w:p w14:paraId="15A98425" w14:textId="77777777" w:rsidR="00877890" w:rsidRPr="00D71E41" w:rsidDel="00581645" w:rsidRDefault="00877890" w:rsidP="002C2F64">
            <w:r>
              <w:rPr>
                <w:sz w:val="16"/>
                <w:szCs w:val="16"/>
              </w:rPr>
              <w:br w:type="page"/>
            </w:r>
            <w:hyperlink r:id="rId32" w:history="1">
              <w:r w:rsidRPr="00746FD3">
                <w:rPr>
                  <w:rStyle w:val="Hyperlink"/>
                </w:rPr>
                <w:t>Health and Care Professions Council</w:t>
              </w:r>
            </w:hyperlink>
          </w:p>
        </w:tc>
        <w:tc>
          <w:tcPr>
            <w:tcW w:w="6946" w:type="dxa"/>
            <w:vAlign w:val="center"/>
          </w:tcPr>
          <w:p w14:paraId="233F39AA" w14:textId="77777777" w:rsidR="00877890" w:rsidRPr="00D71E41" w:rsidDel="00581645" w:rsidRDefault="00877890" w:rsidP="002C2F64">
            <w:r w:rsidRPr="00D71E41">
              <w:t>About social care workers in England and Wales</w:t>
            </w:r>
          </w:p>
        </w:tc>
      </w:tr>
      <w:tr w:rsidR="00877890" w:rsidRPr="00D71E41" w14:paraId="03D524C4" w14:textId="77777777" w:rsidTr="002C2F64">
        <w:trPr>
          <w:jc w:val="center"/>
        </w:trPr>
        <w:tc>
          <w:tcPr>
            <w:tcW w:w="2547" w:type="dxa"/>
            <w:vAlign w:val="center"/>
          </w:tcPr>
          <w:p w14:paraId="0421408D" w14:textId="77777777" w:rsidR="00877890" w:rsidRPr="00D71E41" w:rsidRDefault="00877890" w:rsidP="002C2F64">
            <w:hyperlink r:id="rId33" w:history="1">
              <w:r w:rsidRPr="00746FD3">
                <w:rPr>
                  <w:rStyle w:val="Hyperlink"/>
                </w:rPr>
                <w:t>Health and Safety Executive</w:t>
              </w:r>
            </w:hyperlink>
          </w:p>
        </w:tc>
        <w:tc>
          <w:tcPr>
            <w:tcW w:w="6946" w:type="dxa"/>
            <w:vAlign w:val="center"/>
          </w:tcPr>
          <w:p w14:paraId="0AB60471" w14:textId="77777777" w:rsidR="00877890" w:rsidRPr="00D71E41" w:rsidRDefault="00877890" w:rsidP="002C2F64">
            <w:r w:rsidRPr="00D71E41">
              <w:t>Matters which may affect the health or safety of any individual at work; matters, which may affect the health or safety of any member of the public, arising out of or in connection which the activities of persons at work.</w:t>
            </w:r>
          </w:p>
        </w:tc>
      </w:tr>
      <w:tr w:rsidR="00877890" w:rsidRPr="00D71E41" w14:paraId="3AD8AAC3" w14:textId="77777777" w:rsidTr="002C2F64">
        <w:trPr>
          <w:jc w:val="center"/>
        </w:trPr>
        <w:tc>
          <w:tcPr>
            <w:tcW w:w="2547" w:type="dxa"/>
            <w:vAlign w:val="center"/>
          </w:tcPr>
          <w:p w14:paraId="22F03225" w14:textId="77777777" w:rsidR="00877890" w:rsidRPr="00D71E41" w:rsidRDefault="00877890" w:rsidP="002C2F64">
            <w:hyperlink r:id="rId34" w:history="1">
              <w:r w:rsidRPr="00746FD3">
                <w:rPr>
                  <w:rStyle w:val="Hyperlink"/>
                </w:rPr>
                <w:t>HMRC</w:t>
              </w:r>
            </w:hyperlink>
          </w:p>
        </w:tc>
        <w:tc>
          <w:tcPr>
            <w:tcW w:w="6946" w:type="dxa"/>
            <w:vAlign w:val="center"/>
          </w:tcPr>
          <w:p w14:paraId="73C07F18" w14:textId="77777777" w:rsidR="00877890" w:rsidRPr="00D71E41" w:rsidRDefault="00877890" w:rsidP="002C2F64">
            <w:r w:rsidRPr="00D71E41">
              <w:t>About administration of UK taxes; national insurance and tax credits.</w:t>
            </w:r>
          </w:p>
        </w:tc>
      </w:tr>
      <w:tr w:rsidR="00877890" w:rsidRPr="00D71E41" w14:paraId="2C065C8F" w14:textId="77777777" w:rsidTr="002C2F64">
        <w:trPr>
          <w:jc w:val="center"/>
        </w:trPr>
        <w:tc>
          <w:tcPr>
            <w:tcW w:w="2547" w:type="dxa"/>
            <w:vAlign w:val="center"/>
          </w:tcPr>
          <w:p w14:paraId="251BDC2C" w14:textId="77777777" w:rsidR="00877890" w:rsidRPr="00D71E41" w:rsidRDefault="00877890" w:rsidP="002C2F64">
            <w:hyperlink r:id="rId35" w:history="1">
              <w:r w:rsidRPr="00746FD3">
                <w:rPr>
                  <w:rStyle w:val="Hyperlink"/>
                </w:rPr>
                <w:t>Homes and Communities Agency (HCA)</w:t>
              </w:r>
            </w:hyperlink>
          </w:p>
        </w:tc>
        <w:tc>
          <w:tcPr>
            <w:tcW w:w="6946" w:type="dxa"/>
            <w:vAlign w:val="center"/>
          </w:tcPr>
          <w:p w14:paraId="38DA5BF3" w14:textId="77777777" w:rsidR="00877890" w:rsidRPr="00D71E41" w:rsidRDefault="00877890" w:rsidP="002C2F64">
            <w:r w:rsidRPr="00D71E41">
              <w:t xml:space="preserve">Regulator of Social Housing </w:t>
            </w:r>
          </w:p>
        </w:tc>
      </w:tr>
      <w:tr w:rsidR="00877890" w:rsidRPr="00D71E41" w14:paraId="2C85C4BC" w14:textId="77777777" w:rsidTr="002C2F64">
        <w:trPr>
          <w:jc w:val="center"/>
        </w:trPr>
        <w:tc>
          <w:tcPr>
            <w:tcW w:w="2547" w:type="dxa"/>
          </w:tcPr>
          <w:p w14:paraId="0B19A747" w14:textId="77777777" w:rsidR="00877890" w:rsidRPr="00746FD3" w:rsidRDefault="00877890" w:rsidP="002C2F64">
            <w:hyperlink r:id="rId36" w:history="1">
              <w:r w:rsidRPr="00746FD3">
                <w:rPr>
                  <w:rStyle w:val="Hyperlink"/>
                </w:rPr>
                <w:t>Housing Ombudsman Service</w:t>
              </w:r>
            </w:hyperlink>
          </w:p>
        </w:tc>
        <w:tc>
          <w:tcPr>
            <w:tcW w:w="6946" w:type="dxa"/>
          </w:tcPr>
          <w:p w14:paraId="723313A6" w14:textId="77777777" w:rsidR="00877890" w:rsidRPr="00D71E41" w:rsidRDefault="00877890" w:rsidP="002C2F64">
            <w:r w:rsidRPr="00746FD3">
              <w:t xml:space="preserve">Property related concerns in England and Wales, the </w:t>
            </w:r>
            <w:bookmarkStart w:id="47" w:name="_Hlk168045809"/>
            <w:r w:rsidRPr="00746FD3">
              <w:t xml:space="preserve">Housing Ombudsman Service </w:t>
            </w:r>
            <w:bookmarkEnd w:id="47"/>
            <w:r w:rsidRPr="00746FD3">
              <w:t>(residents of Methodist Homes Housing Association).</w:t>
            </w:r>
          </w:p>
        </w:tc>
      </w:tr>
      <w:tr w:rsidR="00877890" w:rsidRPr="00D71E41" w14:paraId="2352ED6C" w14:textId="77777777" w:rsidTr="002C2F64">
        <w:trPr>
          <w:jc w:val="center"/>
        </w:trPr>
        <w:tc>
          <w:tcPr>
            <w:tcW w:w="2547" w:type="dxa"/>
          </w:tcPr>
          <w:p w14:paraId="22D93CD6" w14:textId="77777777" w:rsidR="00877890" w:rsidRPr="00746FD3" w:rsidRDefault="00877890" w:rsidP="002C2F64">
            <w:hyperlink r:id="rId37" w:history="1">
              <w:r w:rsidRPr="00746FD3">
                <w:rPr>
                  <w:rStyle w:val="Hyperlink"/>
                </w:rPr>
                <w:t>Independent Dispute Resolution Scheme</w:t>
              </w:r>
            </w:hyperlink>
          </w:p>
        </w:tc>
        <w:tc>
          <w:tcPr>
            <w:tcW w:w="6946" w:type="dxa"/>
          </w:tcPr>
          <w:p w14:paraId="02FF9DBC" w14:textId="77777777" w:rsidR="00877890" w:rsidRPr="00746FD3" w:rsidRDefault="00877890" w:rsidP="002C2F64">
            <w:r w:rsidRPr="00746FD3">
              <w:t>Concerns about construction defects may be referred to the Consumer Code (for Home Builders) Independent Dispute Resolution Scheme.</w:t>
            </w:r>
          </w:p>
        </w:tc>
      </w:tr>
      <w:tr w:rsidR="00877890" w:rsidRPr="00D71E41" w14:paraId="37D127A9" w14:textId="77777777" w:rsidTr="002C2F64">
        <w:trPr>
          <w:jc w:val="center"/>
        </w:trPr>
        <w:tc>
          <w:tcPr>
            <w:tcW w:w="2547" w:type="dxa"/>
            <w:vAlign w:val="center"/>
          </w:tcPr>
          <w:p w14:paraId="3F6AFD96" w14:textId="77777777" w:rsidR="00877890" w:rsidRPr="00D71E41" w:rsidRDefault="00877890" w:rsidP="002C2F64">
            <w:hyperlink r:id="rId38" w:history="1">
              <w:r w:rsidRPr="00746FD3">
                <w:rPr>
                  <w:rStyle w:val="Hyperlink"/>
                </w:rPr>
                <w:t xml:space="preserve">Local authorities </w:t>
              </w:r>
            </w:hyperlink>
          </w:p>
        </w:tc>
        <w:tc>
          <w:tcPr>
            <w:tcW w:w="6946" w:type="dxa"/>
            <w:vAlign w:val="center"/>
          </w:tcPr>
          <w:p w14:paraId="068F3A90" w14:textId="77777777" w:rsidR="00877890" w:rsidRDefault="00877890" w:rsidP="002C2F64">
            <w:r w:rsidRPr="00D71E41">
              <w:t>Matters which may affect the health or safety of any individual at work; matters, which may affect the health or safety of any member of the public, arising out of or in connection with the activities of persons at work.</w:t>
            </w:r>
          </w:p>
          <w:p w14:paraId="3FC65C56" w14:textId="77777777" w:rsidR="00877890" w:rsidRPr="00D71E41" w:rsidRDefault="00877890" w:rsidP="002C2F64">
            <w:r w:rsidRPr="00D71E41">
              <w:t>Compliance with the requirements of consumer protection legislation.</w:t>
            </w:r>
          </w:p>
        </w:tc>
      </w:tr>
      <w:tr w:rsidR="00877890" w:rsidRPr="00D71E41" w14:paraId="00D40FA7" w14:textId="77777777" w:rsidTr="002C2F64">
        <w:trPr>
          <w:jc w:val="center"/>
        </w:trPr>
        <w:tc>
          <w:tcPr>
            <w:tcW w:w="2547" w:type="dxa"/>
            <w:vAlign w:val="center"/>
          </w:tcPr>
          <w:p w14:paraId="6DEB3EC1" w14:textId="77777777" w:rsidR="00877890" w:rsidRPr="00D71E41" w:rsidRDefault="00877890" w:rsidP="002C2F64">
            <w:hyperlink r:id="rId39" w:history="1">
              <w:r w:rsidRPr="00746FD3">
                <w:rPr>
                  <w:rStyle w:val="Hyperlink"/>
                </w:rPr>
                <w:t>Secretary of State for Trade and Industry</w:t>
              </w:r>
            </w:hyperlink>
          </w:p>
        </w:tc>
        <w:tc>
          <w:tcPr>
            <w:tcW w:w="6946" w:type="dxa"/>
            <w:vAlign w:val="center"/>
          </w:tcPr>
          <w:p w14:paraId="74D37370" w14:textId="77777777" w:rsidR="00877890" w:rsidRPr="00D71E41" w:rsidRDefault="00877890" w:rsidP="002C2F64">
            <w:r w:rsidRPr="00D71E41">
              <w:t xml:space="preserve">Fraud, and other misconduct, in relation to companies, investment business, insurance business, or multi-level marketing schemes (and similar trading schemes); insider dealing. </w:t>
            </w:r>
          </w:p>
          <w:p w14:paraId="6F007D4E" w14:textId="77777777" w:rsidR="00877890" w:rsidRPr="00D71E41" w:rsidRDefault="00877890" w:rsidP="002C2F64">
            <w:r w:rsidRPr="00D71E41">
              <w:t>Consumer safety.</w:t>
            </w:r>
          </w:p>
        </w:tc>
      </w:tr>
      <w:tr w:rsidR="00877890" w:rsidRPr="00D71E41" w14:paraId="4DF0A5E2" w14:textId="77777777" w:rsidTr="002C2F64">
        <w:trPr>
          <w:jc w:val="center"/>
        </w:trPr>
        <w:tc>
          <w:tcPr>
            <w:tcW w:w="2547" w:type="dxa"/>
            <w:vAlign w:val="center"/>
          </w:tcPr>
          <w:p w14:paraId="626925F3" w14:textId="77777777" w:rsidR="00877890" w:rsidRPr="00D71E41" w:rsidRDefault="00877890" w:rsidP="002C2F64">
            <w:hyperlink r:id="rId40" w:history="1">
              <w:r w:rsidRPr="00746FD3">
                <w:rPr>
                  <w:rStyle w:val="Hyperlink"/>
                </w:rPr>
                <w:t>The Care Council for Wales</w:t>
              </w:r>
            </w:hyperlink>
          </w:p>
        </w:tc>
        <w:tc>
          <w:tcPr>
            <w:tcW w:w="6946" w:type="dxa"/>
            <w:vAlign w:val="center"/>
          </w:tcPr>
          <w:p w14:paraId="76E1C287" w14:textId="77777777" w:rsidR="00877890" w:rsidRPr="00D71E41" w:rsidRDefault="00877890" w:rsidP="002C2F64">
            <w:r w:rsidRPr="00D71E41">
              <w:t>About social care workers in Wales</w:t>
            </w:r>
          </w:p>
        </w:tc>
      </w:tr>
      <w:tr w:rsidR="00877890" w:rsidRPr="00D71E41" w14:paraId="78D7980B" w14:textId="77777777" w:rsidTr="002C2F64">
        <w:trPr>
          <w:jc w:val="center"/>
        </w:trPr>
        <w:tc>
          <w:tcPr>
            <w:tcW w:w="2547" w:type="dxa"/>
            <w:vAlign w:val="center"/>
          </w:tcPr>
          <w:p w14:paraId="2418BE39" w14:textId="77777777" w:rsidR="00877890" w:rsidRPr="00D71E41" w:rsidRDefault="00877890" w:rsidP="002C2F64">
            <w:hyperlink r:id="rId41" w:history="1">
              <w:r w:rsidRPr="00746FD3">
                <w:rPr>
                  <w:rStyle w:val="Hyperlink"/>
                </w:rPr>
                <w:t>The Nurse and Midwifery Council</w:t>
              </w:r>
            </w:hyperlink>
          </w:p>
        </w:tc>
        <w:tc>
          <w:tcPr>
            <w:tcW w:w="6946" w:type="dxa"/>
            <w:vAlign w:val="center"/>
          </w:tcPr>
          <w:p w14:paraId="6446527E" w14:textId="77777777" w:rsidR="00877890" w:rsidRPr="00D71E41" w:rsidRDefault="00877890" w:rsidP="002C2F64">
            <w:r w:rsidRPr="00D71E41">
              <w:t>Professional regulatory body for Registered Nurses</w:t>
            </w:r>
          </w:p>
        </w:tc>
      </w:tr>
      <w:tr w:rsidR="00877890" w:rsidRPr="00D71E41" w14:paraId="3A81918D" w14:textId="77777777" w:rsidTr="002C2F64">
        <w:trPr>
          <w:jc w:val="center"/>
        </w:trPr>
        <w:tc>
          <w:tcPr>
            <w:tcW w:w="2547" w:type="dxa"/>
            <w:vAlign w:val="center"/>
          </w:tcPr>
          <w:p w14:paraId="01F0C9E6" w14:textId="77777777" w:rsidR="00877890" w:rsidRPr="00D71E41" w:rsidRDefault="00877890" w:rsidP="002C2F64">
            <w:hyperlink r:id="rId42" w:history="1">
              <w:r w:rsidRPr="00746FD3">
                <w:rPr>
                  <w:rStyle w:val="Hyperlink"/>
                </w:rPr>
                <w:t>The Pensions Regulator</w:t>
              </w:r>
            </w:hyperlink>
          </w:p>
        </w:tc>
        <w:tc>
          <w:tcPr>
            <w:tcW w:w="6946" w:type="dxa"/>
            <w:vAlign w:val="center"/>
          </w:tcPr>
          <w:p w14:paraId="0D7E1F40" w14:textId="77777777" w:rsidR="00877890" w:rsidRPr="00D71E41" w:rsidRDefault="00877890" w:rsidP="002C2F64">
            <w:r w:rsidRPr="00D71E41">
              <w:t>Matters relating to occupational pensions schemes and other private pension arrangements.</w:t>
            </w:r>
          </w:p>
        </w:tc>
      </w:tr>
      <w:tr w:rsidR="00877890" w:rsidRPr="00D71E41" w:rsidDel="00581645" w14:paraId="20614703" w14:textId="77777777" w:rsidTr="002C2F64">
        <w:trPr>
          <w:trHeight w:val="70"/>
          <w:jc w:val="center"/>
        </w:trPr>
        <w:tc>
          <w:tcPr>
            <w:tcW w:w="2547" w:type="dxa"/>
          </w:tcPr>
          <w:p w14:paraId="17B99AA7" w14:textId="77777777" w:rsidR="00877890" w:rsidRPr="00746FD3" w:rsidRDefault="00877890" w:rsidP="002C2F64">
            <w:hyperlink r:id="rId43" w:history="1">
              <w:r w:rsidRPr="00746FD3">
                <w:rPr>
                  <w:rStyle w:val="Hyperlink"/>
                </w:rPr>
                <w:t>The Property Ombudsman</w:t>
              </w:r>
            </w:hyperlink>
          </w:p>
        </w:tc>
        <w:tc>
          <w:tcPr>
            <w:tcW w:w="6946" w:type="dxa"/>
          </w:tcPr>
          <w:p w14:paraId="466EB6A2" w14:textId="77777777" w:rsidR="00877890" w:rsidRPr="00746FD3" w:rsidRDefault="00877890" w:rsidP="002C2F64">
            <w:r w:rsidRPr="00746FD3">
              <w:t>Property related concerns in England and Wales, The Property Ombudsman (residents of Methodist Homes).</w:t>
            </w:r>
          </w:p>
        </w:tc>
      </w:tr>
      <w:tr w:rsidR="00877890" w:rsidRPr="00D71E41" w:rsidDel="00581645" w14:paraId="57078390" w14:textId="77777777" w:rsidTr="002C2F64">
        <w:trPr>
          <w:trHeight w:val="70"/>
          <w:jc w:val="center"/>
        </w:trPr>
        <w:tc>
          <w:tcPr>
            <w:tcW w:w="2547" w:type="dxa"/>
            <w:vAlign w:val="center"/>
          </w:tcPr>
          <w:p w14:paraId="4EEDEF9E" w14:textId="77777777" w:rsidR="00877890" w:rsidRPr="00D71E41" w:rsidDel="00581645" w:rsidRDefault="00877890" w:rsidP="002C2F64">
            <w:hyperlink r:id="rId44" w:history="1">
              <w:r w:rsidRPr="00746FD3">
                <w:rPr>
                  <w:rStyle w:val="Hyperlink"/>
                </w:rPr>
                <w:t>Welsh Ministers</w:t>
              </w:r>
            </w:hyperlink>
          </w:p>
        </w:tc>
        <w:tc>
          <w:tcPr>
            <w:tcW w:w="6946" w:type="dxa"/>
            <w:vAlign w:val="center"/>
          </w:tcPr>
          <w:p w14:paraId="190E5CB6" w14:textId="77777777" w:rsidR="00877890" w:rsidRPr="00D71E41" w:rsidDel="00581645" w:rsidRDefault="00877890" w:rsidP="002C2F64">
            <w:r w:rsidRPr="00D71E41">
              <w:t>About the provision of health care by and for the Welsh NHS bodies</w:t>
            </w:r>
          </w:p>
        </w:tc>
      </w:tr>
    </w:tbl>
    <w:p w14:paraId="564F1629" w14:textId="77777777" w:rsidR="00877890" w:rsidRDefault="00877890" w:rsidP="00877890">
      <w:pPr>
        <w:pStyle w:val="Text"/>
      </w:pPr>
    </w:p>
    <w:p w14:paraId="64B9CD80" w14:textId="77777777" w:rsidR="00877890" w:rsidRPr="004C3545" w:rsidRDefault="00877890" w:rsidP="006819E0">
      <w:pPr>
        <w:pStyle w:val="Text"/>
      </w:pPr>
    </w:p>
    <w:sectPr w:rsidR="00877890" w:rsidRPr="004C3545" w:rsidSect="00FD6BD4">
      <w:headerReference w:type="default" r:id="rId45"/>
      <w:footerReference w:type="default" r:id="rId46"/>
      <w:footerReference w:type="first" r:id="rId47"/>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E0FE6F" w14:textId="77777777" w:rsidR="006B3CD7" w:rsidRDefault="006B3CD7" w:rsidP="001876E7">
      <w:pPr>
        <w:spacing w:line="240" w:lineRule="auto"/>
      </w:pPr>
      <w:r>
        <w:separator/>
      </w:r>
    </w:p>
  </w:endnote>
  <w:endnote w:type="continuationSeparator" w:id="0">
    <w:p w14:paraId="5FA00610" w14:textId="77777777" w:rsidR="006B3CD7" w:rsidRDefault="006B3CD7"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47CCC6C5" w14:textId="77777777" w:rsidR="00764B4C" w:rsidRPr="00764B4C" w:rsidRDefault="00764B4C" w:rsidP="00966903">
            <w:pPr>
              <w:pStyle w:val="FooterText"/>
              <w:jc w:val="center"/>
              <w:rPr>
                <w:rFonts w:cs="Arial"/>
                <w:spacing w:val="7"/>
              </w:rPr>
            </w:pPr>
          </w:p>
          <w:p w14:paraId="15F2611D" w14:textId="3FFE87FD" w:rsidR="003865D9" w:rsidRDefault="00746FD3" w:rsidP="00454821">
            <w:pPr>
              <w:pStyle w:val="FooterText"/>
              <w:tabs>
                <w:tab w:val="right" w:pos="9498"/>
              </w:tabs>
              <w:jc w:val="left"/>
            </w:pPr>
            <w:r w:rsidRPr="00746FD3">
              <w:t>Whistleblowing Policy and Procedure</w:t>
            </w:r>
            <w:r w:rsidR="00454821">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6D268" w14:textId="41251585" w:rsidR="003E14CE" w:rsidRDefault="003E14CE">
    <w:pPr>
      <w:pStyle w:val="Footer"/>
    </w:pPr>
    <w:r w:rsidRPr="00746FD3">
      <w:t>Whistleblowing Policy and Procedure</w:t>
    </w:r>
    <w:r>
      <w:tab/>
    </w:r>
    <w:r>
      <w:tab/>
    </w:r>
    <w:r w:rsidRPr="00070650">
      <w:t xml:space="preserve">Page </w:t>
    </w:r>
    <w:r w:rsidRPr="00070650">
      <w:fldChar w:fldCharType="begin"/>
    </w:r>
    <w:r w:rsidRPr="00070650">
      <w:instrText>PAGE</w:instrText>
    </w:r>
    <w:r w:rsidRPr="00070650">
      <w:fldChar w:fldCharType="separate"/>
    </w:r>
    <w:r>
      <w:t>2</w:t>
    </w:r>
    <w:r w:rsidRPr="00070650">
      <w:fldChar w:fldCharType="end"/>
    </w:r>
    <w:r w:rsidRPr="00070650">
      <w:t xml:space="preserve"> of </w:t>
    </w:r>
    <w:r w:rsidRPr="00070650">
      <w:fldChar w:fldCharType="begin"/>
    </w:r>
    <w:r w:rsidRPr="00070650">
      <w:instrText>NUMPAGES</w:instrText>
    </w:r>
    <w:r w:rsidRPr="00070650">
      <w:fldChar w:fldCharType="separate"/>
    </w:r>
    <w:r>
      <w:t>18</w:t>
    </w:r>
    <w:r w:rsidRPr="0007065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EBA589" w14:textId="77777777" w:rsidR="006B3CD7" w:rsidRDefault="006B3CD7" w:rsidP="001876E7">
      <w:pPr>
        <w:spacing w:line="240" w:lineRule="auto"/>
      </w:pPr>
      <w:r>
        <w:separator/>
      </w:r>
    </w:p>
  </w:footnote>
  <w:footnote w:type="continuationSeparator" w:id="0">
    <w:p w14:paraId="7796A449" w14:textId="77777777" w:rsidR="006B3CD7" w:rsidRDefault="006B3CD7"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81744B" w14:textId="77777777"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208063F6" wp14:editId="78879AA6">
          <wp:simplePos x="0" y="0"/>
          <wp:positionH relativeFrom="column">
            <wp:posOffset>0</wp:posOffset>
          </wp:positionH>
          <wp:positionV relativeFrom="page">
            <wp:posOffset>168275</wp:posOffset>
          </wp:positionV>
          <wp:extent cx="1076325" cy="7239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3844F608"/>
    <w:lvl w:ilvl="0">
      <w:start w:val="1"/>
      <w:numFmt w:val="decimal"/>
      <w:lvlText w:val="%1."/>
      <w:lvlJc w:val="left"/>
      <w:pPr>
        <w:tabs>
          <w:tab w:val="num" w:pos="1209"/>
        </w:tabs>
        <w:ind w:left="1209" w:hanging="360"/>
      </w:pPr>
    </w:lvl>
  </w:abstractNum>
  <w:abstractNum w:abstractNumId="1" w15:restartNumberingAfterBreak="0">
    <w:nsid w:val="008059AC"/>
    <w:multiLevelType w:val="hybridMultilevel"/>
    <w:tmpl w:val="FC28521C"/>
    <w:lvl w:ilvl="0" w:tplc="D8B2B848">
      <w:start w:val="1"/>
      <w:numFmt w:val="bullet"/>
      <w:lvlText w:val=""/>
      <w:lvlJc w:val="left"/>
      <w:pPr>
        <w:ind w:left="1571" w:hanging="360"/>
      </w:pPr>
      <w:rPr>
        <w:rFonts w:ascii="Symbol" w:hAnsi="Symbol" w:hint="default"/>
        <w:color w:val="217593" w:themeColor="accent1"/>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022E4CCD"/>
    <w:multiLevelType w:val="hybridMultilevel"/>
    <w:tmpl w:val="6E58A568"/>
    <w:lvl w:ilvl="0" w:tplc="D9423A10">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815D78"/>
    <w:multiLevelType w:val="multilevel"/>
    <w:tmpl w:val="C590CAA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5" w15:restartNumberingAfterBreak="0">
    <w:nsid w:val="1A612D5E"/>
    <w:multiLevelType w:val="multilevel"/>
    <w:tmpl w:val="E99CC094"/>
    <w:lvl w:ilvl="0">
      <w:start w:val="1"/>
      <w:numFmt w:val="decimal"/>
      <w:pStyle w:val="Heading1Numbered"/>
      <w:lvlText w:val="%1"/>
      <w:lvlJc w:val="left"/>
      <w:pPr>
        <w:ind w:left="432" w:hanging="432"/>
      </w:pPr>
    </w:lvl>
    <w:lvl w:ilvl="1">
      <w:start w:val="1"/>
      <w:numFmt w:val="decimal"/>
      <w:pStyle w:val="Text1Numbered"/>
      <w:lvlText w:val="%1.%2"/>
      <w:lvlJc w:val="left"/>
      <w:pPr>
        <w:ind w:left="576" w:hanging="576"/>
      </w:pPr>
      <w:rPr>
        <w:b w:val="0"/>
        <w:bCs w:val="0"/>
      </w:rPr>
    </w:lvl>
    <w:lvl w:ilvl="2">
      <w:start w:val="1"/>
      <w:numFmt w:val="decimal"/>
      <w:pStyle w:val="Text2Numbered"/>
      <w:lvlText w:val="%1.%2.%3"/>
      <w:lvlJc w:val="left"/>
      <w:pPr>
        <w:ind w:left="720" w:hanging="720"/>
      </w:p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375654E"/>
    <w:multiLevelType w:val="hybridMultilevel"/>
    <w:tmpl w:val="06ECD010"/>
    <w:lvl w:ilvl="0" w:tplc="AAECB2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7" w15:restartNumberingAfterBreak="0">
    <w:nsid w:val="29CB17E9"/>
    <w:multiLevelType w:val="multilevel"/>
    <w:tmpl w:val="614C2CA8"/>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4107B78"/>
    <w:multiLevelType w:val="hybridMultilevel"/>
    <w:tmpl w:val="F56E2BEC"/>
    <w:lvl w:ilvl="0" w:tplc="5CDE159A">
      <w:start w:val="1"/>
      <w:numFmt w:val="lowerLetter"/>
      <w:pStyle w:val="Textlistindented-letters"/>
      <w:lvlText w:val="%1)"/>
      <w:lvlJc w:val="left"/>
      <w:pPr>
        <w:ind w:left="1559" w:hanging="425"/>
      </w:pPr>
      <w:rPr>
        <w:rFonts w:ascii="Arial" w:hAnsi="Arial" w:hint="default"/>
        <w:b w:val="0"/>
        <w:i w:val="0"/>
        <w:w w:val="100"/>
        <w:kern w:val="0"/>
        <w:sz w:val="24"/>
        <w:szCs w:val="22"/>
        <w14:cntxtAlts w14:val="0"/>
      </w:rPr>
    </w:lvl>
    <w:lvl w:ilvl="1" w:tplc="08090019" w:tentative="1">
      <w:start w:val="1"/>
      <w:numFmt w:val="lowerLetter"/>
      <w:lvlText w:val="%2."/>
      <w:lvlJc w:val="left"/>
      <w:pPr>
        <w:ind w:left="3000" w:hanging="360"/>
      </w:pPr>
    </w:lvl>
    <w:lvl w:ilvl="2" w:tplc="0809001B" w:tentative="1">
      <w:start w:val="1"/>
      <w:numFmt w:val="lowerRoman"/>
      <w:lvlText w:val="%3."/>
      <w:lvlJc w:val="right"/>
      <w:pPr>
        <w:ind w:left="3720" w:hanging="180"/>
      </w:pPr>
    </w:lvl>
    <w:lvl w:ilvl="3" w:tplc="0809000F" w:tentative="1">
      <w:start w:val="1"/>
      <w:numFmt w:val="decimal"/>
      <w:lvlText w:val="%4."/>
      <w:lvlJc w:val="left"/>
      <w:pPr>
        <w:ind w:left="4440" w:hanging="360"/>
      </w:pPr>
    </w:lvl>
    <w:lvl w:ilvl="4" w:tplc="08090019" w:tentative="1">
      <w:start w:val="1"/>
      <w:numFmt w:val="lowerLetter"/>
      <w:lvlText w:val="%5."/>
      <w:lvlJc w:val="left"/>
      <w:pPr>
        <w:ind w:left="5160" w:hanging="360"/>
      </w:pPr>
    </w:lvl>
    <w:lvl w:ilvl="5" w:tplc="0809001B" w:tentative="1">
      <w:start w:val="1"/>
      <w:numFmt w:val="lowerRoman"/>
      <w:lvlText w:val="%6."/>
      <w:lvlJc w:val="right"/>
      <w:pPr>
        <w:ind w:left="5880" w:hanging="180"/>
      </w:pPr>
    </w:lvl>
    <w:lvl w:ilvl="6" w:tplc="0809000F" w:tentative="1">
      <w:start w:val="1"/>
      <w:numFmt w:val="decimal"/>
      <w:lvlText w:val="%7."/>
      <w:lvlJc w:val="left"/>
      <w:pPr>
        <w:ind w:left="6600" w:hanging="360"/>
      </w:pPr>
    </w:lvl>
    <w:lvl w:ilvl="7" w:tplc="08090019" w:tentative="1">
      <w:start w:val="1"/>
      <w:numFmt w:val="lowerLetter"/>
      <w:lvlText w:val="%8."/>
      <w:lvlJc w:val="left"/>
      <w:pPr>
        <w:ind w:left="7320" w:hanging="360"/>
      </w:pPr>
    </w:lvl>
    <w:lvl w:ilvl="8" w:tplc="0809001B" w:tentative="1">
      <w:start w:val="1"/>
      <w:numFmt w:val="lowerRoman"/>
      <w:lvlText w:val="%9."/>
      <w:lvlJc w:val="right"/>
      <w:pPr>
        <w:ind w:left="8040" w:hanging="180"/>
      </w:pPr>
    </w:lvl>
  </w:abstractNum>
  <w:abstractNum w:abstractNumId="9" w15:restartNumberingAfterBreak="0">
    <w:nsid w:val="446521DF"/>
    <w:multiLevelType w:val="hybridMultilevel"/>
    <w:tmpl w:val="90E2941C"/>
    <w:lvl w:ilvl="0" w:tplc="6EB49168">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6EB49168">
      <w:numFmt w:val="bullet"/>
      <w:lvlText w:val="-"/>
      <w:lvlJc w:val="left"/>
      <w:pPr>
        <w:ind w:left="2160" w:hanging="360"/>
      </w:pPr>
      <w:rPr>
        <w:rFonts w:ascii="Arial" w:eastAsiaTheme="minorHAnsi" w:hAnsi="Arial" w:cs="Aria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E530C5"/>
    <w:multiLevelType w:val="multilevel"/>
    <w:tmpl w:val="78D28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A987E00"/>
    <w:multiLevelType w:val="hybridMultilevel"/>
    <w:tmpl w:val="164A8C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4" w15:restartNumberingAfterBreak="0">
    <w:nsid w:val="515C0494"/>
    <w:multiLevelType w:val="multilevel"/>
    <w:tmpl w:val="348E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48D4B71"/>
    <w:multiLevelType w:val="hybridMultilevel"/>
    <w:tmpl w:val="927C26D4"/>
    <w:lvl w:ilvl="0" w:tplc="F27E4B5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33F15FE"/>
    <w:multiLevelType w:val="hybridMultilevel"/>
    <w:tmpl w:val="05362E32"/>
    <w:lvl w:ilvl="0" w:tplc="AAAE80A6">
      <w:start w:val="1"/>
      <w:numFmt w:val="lowerLetter"/>
      <w:pStyle w:val="Textlist-letters"/>
      <w:lvlText w:val="%1)"/>
      <w:lvlJc w:val="left"/>
      <w:pPr>
        <w:ind w:left="425" w:hanging="42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9643A2A"/>
    <w:multiLevelType w:val="multilevel"/>
    <w:tmpl w:val="E8803588"/>
    <w:lvl w:ilvl="0">
      <w:start w:val="1"/>
      <w:numFmt w:val="decimal"/>
      <w:lvlText w:val="%1"/>
      <w:lvlJc w:val="left"/>
      <w:pPr>
        <w:ind w:left="432" w:hanging="432"/>
      </w:pPr>
    </w:lvl>
    <w:lvl w:ilvl="1">
      <w:start w:val="1"/>
      <w:numFmt w:val="lowerLetter"/>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49141532">
    <w:abstractNumId w:val="4"/>
  </w:num>
  <w:num w:numId="2" w16cid:durableId="314769889">
    <w:abstractNumId w:val="6"/>
  </w:num>
  <w:num w:numId="3" w16cid:durableId="223486558">
    <w:abstractNumId w:val="2"/>
  </w:num>
  <w:num w:numId="4" w16cid:durableId="893782273">
    <w:abstractNumId w:val="3"/>
  </w:num>
  <w:num w:numId="5" w16cid:durableId="1146821655">
    <w:abstractNumId w:val="1"/>
  </w:num>
  <w:num w:numId="6" w16cid:durableId="569312116">
    <w:abstractNumId w:val="15"/>
  </w:num>
  <w:num w:numId="7" w16cid:durableId="139810974">
    <w:abstractNumId w:val="4"/>
  </w:num>
  <w:num w:numId="8" w16cid:durableId="478111977">
    <w:abstractNumId w:val="13"/>
  </w:num>
  <w:num w:numId="9" w16cid:durableId="672680783">
    <w:abstractNumId w:val="12"/>
  </w:num>
  <w:num w:numId="10" w16cid:durableId="582229400">
    <w:abstractNumId w:val="17"/>
  </w:num>
  <w:num w:numId="11" w16cid:durableId="1068845125">
    <w:abstractNumId w:val="14"/>
  </w:num>
  <w:num w:numId="12" w16cid:durableId="1213227646">
    <w:abstractNumId w:val="4"/>
  </w:num>
  <w:num w:numId="13" w16cid:durableId="910894283">
    <w:abstractNumId w:val="4"/>
  </w:num>
  <w:num w:numId="14" w16cid:durableId="1110927560">
    <w:abstractNumId w:val="4"/>
  </w:num>
  <w:num w:numId="15" w16cid:durableId="384065012">
    <w:abstractNumId w:val="4"/>
  </w:num>
  <w:num w:numId="16" w16cid:durableId="293875349">
    <w:abstractNumId w:val="4"/>
  </w:num>
  <w:num w:numId="17" w16cid:durableId="1423381906">
    <w:abstractNumId w:val="4"/>
  </w:num>
  <w:num w:numId="18" w16cid:durableId="1009872689">
    <w:abstractNumId w:val="4"/>
  </w:num>
  <w:num w:numId="19" w16cid:durableId="950354165">
    <w:abstractNumId w:val="10"/>
  </w:num>
  <w:num w:numId="20" w16cid:durableId="1927031610">
    <w:abstractNumId w:val="5"/>
  </w:num>
  <w:num w:numId="21" w16cid:durableId="149368801">
    <w:abstractNumId w:val="7"/>
  </w:num>
  <w:num w:numId="22" w16cid:durableId="537015620">
    <w:abstractNumId w:val="18"/>
  </w:num>
  <w:num w:numId="23" w16cid:durableId="673651929">
    <w:abstractNumId w:val="16"/>
  </w:num>
  <w:num w:numId="24" w16cid:durableId="1700010823">
    <w:abstractNumId w:val="0"/>
  </w:num>
  <w:num w:numId="25" w16cid:durableId="929629248">
    <w:abstractNumId w:val="16"/>
    <w:lvlOverride w:ilvl="0">
      <w:startOverride w:val="1"/>
    </w:lvlOverride>
  </w:num>
  <w:num w:numId="26" w16cid:durableId="593829245">
    <w:abstractNumId w:val="16"/>
    <w:lvlOverride w:ilvl="0">
      <w:startOverride w:val="1"/>
    </w:lvlOverride>
  </w:num>
  <w:num w:numId="27" w16cid:durableId="1815176486">
    <w:abstractNumId w:val="8"/>
  </w:num>
  <w:num w:numId="28" w16cid:durableId="1266885018">
    <w:abstractNumId w:val="8"/>
    <w:lvlOverride w:ilvl="0">
      <w:startOverride w:val="1"/>
    </w:lvlOverride>
  </w:num>
  <w:num w:numId="29" w16cid:durableId="304703359">
    <w:abstractNumId w:val="8"/>
    <w:lvlOverride w:ilvl="0">
      <w:startOverride w:val="1"/>
    </w:lvlOverride>
  </w:num>
  <w:num w:numId="30" w16cid:durableId="1528910899">
    <w:abstractNumId w:val="5"/>
    <w:lvlOverride w:ilvl="0">
      <w:startOverride w:val="1"/>
    </w:lvlOverride>
  </w:num>
  <w:num w:numId="31" w16cid:durableId="1937709432">
    <w:abstractNumId w:val="8"/>
  </w:num>
  <w:num w:numId="32" w16cid:durableId="894201551">
    <w:abstractNumId w:val="8"/>
    <w:lvlOverride w:ilvl="0">
      <w:startOverride w:val="1"/>
    </w:lvlOverride>
  </w:num>
  <w:num w:numId="33" w16cid:durableId="747389173">
    <w:abstractNumId w:val="8"/>
    <w:lvlOverride w:ilvl="0">
      <w:startOverride w:val="1"/>
    </w:lvlOverride>
  </w:num>
  <w:num w:numId="34" w16cid:durableId="3364629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33661081">
    <w:abstractNumId w:val="11"/>
  </w:num>
  <w:num w:numId="36" w16cid:durableId="211236054">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SortMethod w:val="00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FD3"/>
    <w:rsid w:val="000038CD"/>
    <w:rsid w:val="00010148"/>
    <w:rsid w:val="00011E5A"/>
    <w:rsid w:val="0002533A"/>
    <w:rsid w:val="00043D49"/>
    <w:rsid w:val="000553E0"/>
    <w:rsid w:val="000646E5"/>
    <w:rsid w:val="00070650"/>
    <w:rsid w:val="000771AD"/>
    <w:rsid w:val="000C7997"/>
    <w:rsid w:val="000D41D5"/>
    <w:rsid w:val="000F25D4"/>
    <w:rsid w:val="000F64C5"/>
    <w:rsid w:val="001248CF"/>
    <w:rsid w:val="001251F7"/>
    <w:rsid w:val="001310BB"/>
    <w:rsid w:val="0013340B"/>
    <w:rsid w:val="00147C3B"/>
    <w:rsid w:val="001876E7"/>
    <w:rsid w:val="00194A22"/>
    <w:rsid w:val="001B5C40"/>
    <w:rsid w:val="001C32B3"/>
    <w:rsid w:val="001E4229"/>
    <w:rsid w:val="00247801"/>
    <w:rsid w:val="00247E69"/>
    <w:rsid w:val="002543A7"/>
    <w:rsid w:val="00261059"/>
    <w:rsid w:val="00263D11"/>
    <w:rsid w:val="00265378"/>
    <w:rsid w:val="00273C90"/>
    <w:rsid w:val="00276188"/>
    <w:rsid w:val="00276732"/>
    <w:rsid w:val="00283117"/>
    <w:rsid w:val="0029465D"/>
    <w:rsid w:val="002960E6"/>
    <w:rsid w:val="002A538B"/>
    <w:rsid w:val="002B5CDA"/>
    <w:rsid w:val="002B6F0E"/>
    <w:rsid w:val="002C0EC0"/>
    <w:rsid w:val="002D47FD"/>
    <w:rsid w:val="00302641"/>
    <w:rsid w:val="003178F7"/>
    <w:rsid w:val="00322ED2"/>
    <w:rsid w:val="003256F1"/>
    <w:rsid w:val="003266FD"/>
    <w:rsid w:val="00345825"/>
    <w:rsid w:val="003510EE"/>
    <w:rsid w:val="00365642"/>
    <w:rsid w:val="0036747B"/>
    <w:rsid w:val="0038435B"/>
    <w:rsid w:val="003865D9"/>
    <w:rsid w:val="00386B5D"/>
    <w:rsid w:val="0038720A"/>
    <w:rsid w:val="003B2431"/>
    <w:rsid w:val="003B5752"/>
    <w:rsid w:val="003C04D5"/>
    <w:rsid w:val="003C3C73"/>
    <w:rsid w:val="003C59CC"/>
    <w:rsid w:val="003E14CE"/>
    <w:rsid w:val="003F52EA"/>
    <w:rsid w:val="00424676"/>
    <w:rsid w:val="0042795E"/>
    <w:rsid w:val="0043268D"/>
    <w:rsid w:val="004428C9"/>
    <w:rsid w:val="00451A46"/>
    <w:rsid w:val="00454821"/>
    <w:rsid w:val="0045562B"/>
    <w:rsid w:val="00471203"/>
    <w:rsid w:val="004726A7"/>
    <w:rsid w:val="00480B30"/>
    <w:rsid w:val="004924CF"/>
    <w:rsid w:val="00496E11"/>
    <w:rsid w:val="004A48AB"/>
    <w:rsid w:val="004A5F05"/>
    <w:rsid w:val="004B36CD"/>
    <w:rsid w:val="004B5EAB"/>
    <w:rsid w:val="004C3545"/>
    <w:rsid w:val="004D310D"/>
    <w:rsid w:val="00507AF2"/>
    <w:rsid w:val="00512916"/>
    <w:rsid w:val="0051530E"/>
    <w:rsid w:val="0052519E"/>
    <w:rsid w:val="005518A9"/>
    <w:rsid w:val="005711B3"/>
    <w:rsid w:val="00572560"/>
    <w:rsid w:val="0059266A"/>
    <w:rsid w:val="00596E48"/>
    <w:rsid w:val="005A508B"/>
    <w:rsid w:val="005D0374"/>
    <w:rsid w:val="005D62C0"/>
    <w:rsid w:val="005E08A1"/>
    <w:rsid w:val="005E3A1B"/>
    <w:rsid w:val="00601ADB"/>
    <w:rsid w:val="00610A9B"/>
    <w:rsid w:val="00610B2B"/>
    <w:rsid w:val="0063081A"/>
    <w:rsid w:val="0063326C"/>
    <w:rsid w:val="006423BB"/>
    <w:rsid w:val="0066591C"/>
    <w:rsid w:val="00667C4A"/>
    <w:rsid w:val="006751FC"/>
    <w:rsid w:val="006819E0"/>
    <w:rsid w:val="006B0609"/>
    <w:rsid w:val="006B3CD7"/>
    <w:rsid w:val="006B4F33"/>
    <w:rsid w:val="00710ED6"/>
    <w:rsid w:val="00711D55"/>
    <w:rsid w:val="00717A8D"/>
    <w:rsid w:val="00723627"/>
    <w:rsid w:val="007256EF"/>
    <w:rsid w:val="00730CA5"/>
    <w:rsid w:val="00744A83"/>
    <w:rsid w:val="00746FD3"/>
    <w:rsid w:val="007539BA"/>
    <w:rsid w:val="00756176"/>
    <w:rsid w:val="00764B4C"/>
    <w:rsid w:val="00776701"/>
    <w:rsid w:val="0078642D"/>
    <w:rsid w:val="0079374B"/>
    <w:rsid w:val="007B2919"/>
    <w:rsid w:val="007C2DAF"/>
    <w:rsid w:val="007E1123"/>
    <w:rsid w:val="0081228C"/>
    <w:rsid w:val="00831235"/>
    <w:rsid w:val="00832C4B"/>
    <w:rsid w:val="0084471B"/>
    <w:rsid w:val="00847753"/>
    <w:rsid w:val="00861EB0"/>
    <w:rsid w:val="0087097E"/>
    <w:rsid w:val="00877890"/>
    <w:rsid w:val="00883A9E"/>
    <w:rsid w:val="008874B0"/>
    <w:rsid w:val="00893D07"/>
    <w:rsid w:val="008A7363"/>
    <w:rsid w:val="008B0A37"/>
    <w:rsid w:val="008B1D97"/>
    <w:rsid w:val="008D1B9A"/>
    <w:rsid w:val="008D3C32"/>
    <w:rsid w:val="008D6213"/>
    <w:rsid w:val="008D791B"/>
    <w:rsid w:val="008E2FC6"/>
    <w:rsid w:val="008E7FF1"/>
    <w:rsid w:val="008F09EB"/>
    <w:rsid w:val="008F41A1"/>
    <w:rsid w:val="00903AA2"/>
    <w:rsid w:val="009050C4"/>
    <w:rsid w:val="00914FC1"/>
    <w:rsid w:val="00921168"/>
    <w:rsid w:val="00922DB3"/>
    <w:rsid w:val="00947D46"/>
    <w:rsid w:val="009655E2"/>
    <w:rsid w:val="00966903"/>
    <w:rsid w:val="00973E48"/>
    <w:rsid w:val="009A0ED4"/>
    <w:rsid w:val="009E3487"/>
    <w:rsid w:val="00A17E0E"/>
    <w:rsid w:val="00A24DA1"/>
    <w:rsid w:val="00A34D37"/>
    <w:rsid w:val="00A36714"/>
    <w:rsid w:val="00A43329"/>
    <w:rsid w:val="00A471F9"/>
    <w:rsid w:val="00A52F66"/>
    <w:rsid w:val="00A61E40"/>
    <w:rsid w:val="00A864B8"/>
    <w:rsid w:val="00A92CD7"/>
    <w:rsid w:val="00AA0D99"/>
    <w:rsid w:val="00AB2FBF"/>
    <w:rsid w:val="00AB4446"/>
    <w:rsid w:val="00AB4A71"/>
    <w:rsid w:val="00AD5FD5"/>
    <w:rsid w:val="00AE5E04"/>
    <w:rsid w:val="00AF1001"/>
    <w:rsid w:val="00AF2CAB"/>
    <w:rsid w:val="00B117F5"/>
    <w:rsid w:val="00B148E6"/>
    <w:rsid w:val="00B148FF"/>
    <w:rsid w:val="00B22399"/>
    <w:rsid w:val="00B2494E"/>
    <w:rsid w:val="00B275B1"/>
    <w:rsid w:val="00B34E69"/>
    <w:rsid w:val="00B46F84"/>
    <w:rsid w:val="00B56F75"/>
    <w:rsid w:val="00B64692"/>
    <w:rsid w:val="00B8132B"/>
    <w:rsid w:val="00BA22C2"/>
    <w:rsid w:val="00C108E0"/>
    <w:rsid w:val="00C114D1"/>
    <w:rsid w:val="00C143CB"/>
    <w:rsid w:val="00C20301"/>
    <w:rsid w:val="00C26C7B"/>
    <w:rsid w:val="00C41ACB"/>
    <w:rsid w:val="00C44824"/>
    <w:rsid w:val="00C757A5"/>
    <w:rsid w:val="00C81C94"/>
    <w:rsid w:val="00C93C14"/>
    <w:rsid w:val="00CA02FD"/>
    <w:rsid w:val="00CA71E5"/>
    <w:rsid w:val="00CB43C5"/>
    <w:rsid w:val="00CB6415"/>
    <w:rsid w:val="00CC158C"/>
    <w:rsid w:val="00CD5DBF"/>
    <w:rsid w:val="00CF6C46"/>
    <w:rsid w:val="00CF7537"/>
    <w:rsid w:val="00D10E87"/>
    <w:rsid w:val="00D232C1"/>
    <w:rsid w:val="00D4040D"/>
    <w:rsid w:val="00D558F5"/>
    <w:rsid w:val="00D77D91"/>
    <w:rsid w:val="00DB2058"/>
    <w:rsid w:val="00DB24AA"/>
    <w:rsid w:val="00DC56B3"/>
    <w:rsid w:val="00DC7F16"/>
    <w:rsid w:val="00DF1483"/>
    <w:rsid w:val="00DF67AA"/>
    <w:rsid w:val="00E04B72"/>
    <w:rsid w:val="00E06E01"/>
    <w:rsid w:val="00E3506D"/>
    <w:rsid w:val="00E365D6"/>
    <w:rsid w:val="00E40653"/>
    <w:rsid w:val="00E561CE"/>
    <w:rsid w:val="00E755AD"/>
    <w:rsid w:val="00E75D27"/>
    <w:rsid w:val="00E86F23"/>
    <w:rsid w:val="00E87F15"/>
    <w:rsid w:val="00E92B40"/>
    <w:rsid w:val="00E94C2F"/>
    <w:rsid w:val="00EB4016"/>
    <w:rsid w:val="00EC4F61"/>
    <w:rsid w:val="00ED047B"/>
    <w:rsid w:val="00ED7DB5"/>
    <w:rsid w:val="00EE7121"/>
    <w:rsid w:val="00EF3699"/>
    <w:rsid w:val="00EF60A6"/>
    <w:rsid w:val="00F040DA"/>
    <w:rsid w:val="00F22D39"/>
    <w:rsid w:val="00F30A5F"/>
    <w:rsid w:val="00F9138C"/>
    <w:rsid w:val="00F91DD0"/>
    <w:rsid w:val="00FA1162"/>
    <w:rsid w:val="00FB5C56"/>
    <w:rsid w:val="00FC5C29"/>
    <w:rsid w:val="00FD6BD4"/>
    <w:rsid w:val="00FD7F1E"/>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EC8BA"/>
  <w15:chartTrackingRefBased/>
  <w15:docId w15:val="{CDB32819-4E3A-4668-A9C5-6D90C1647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0038CD"/>
    <w:pPr>
      <w:spacing w:line="360" w:lineRule="auto"/>
    </w:pPr>
    <w:rPr>
      <w:rFonts w:ascii="Arial" w:hAnsi="Arial"/>
    </w:rPr>
  </w:style>
  <w:style w:type="paragraph" w:styleId="Heading1">
    <w:name w:val="heading 1"/>
    <w:basedOn w:val="Heading2"/>
    <w:next w:val="Heading2"/>
    <w:link w:val="Heading1Char"/>
    <w:autoRedefine/>
    <w:uiPriority w:val="6"/>
    <w:semiHidden/>
    <w:qFormat/>
    <w:rsid w:val="00DF67AA"/>
    <w:pPr>
      <w:numPr>
        <w:numId w:val="10"/>
      </w:numPr>
      <w:ind w:left="567" w:hanging="567"/>
      <w:outlineLvl w:val="0"/>
    </w:pPr>
    <w:rPr>
      <w:sz w:val="28"/>
    </w:rPr>
  </w:style>
  <w:style w:type="paragraph" w:styleId="Heading2">
    <w:name w:val="heading 2"/>
    <w:basedOn w:val="ListParagraph"/>
    <w:next w:val="Normal"/>
    <w:link w:val="Heading2Char"/>
    <w:autoRedefine/>
    <w:uiPriority w:val="6"/>
    <w:semiHidden/>
    <w:qFormat/>
    <w:rsid w:val="00764B4C"/>
    <w:pPr>
      <w:numPr>
        <w:numId w:val="8"/>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BBBAE"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semiHidden/>
    <w:rsid w:val="00265378"/>
    <w:rPr>
      <w:rFonts w:ascii="Arial" w:hAnsi="Arial" w:cs="Arial"/>
      <w:b/>
      <w:bCs/>
      <w:spacing w:val="7"/>
      <w:sz w:val="28"/>
    </w:rPr>
  </w:style>
  <w:style w:type="character" w:customStyle="1" w:styleId="Heading2Char">
    <w:name w:val="Heading 2 Char"/>
    <w:basedOn w:val="DefaultParagraphFont"/>
    <w:link w:val="Heading2"/>
    <w:uiPriority w:val="6"/>
    <w:semiHidden/>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BBBAE"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5DB9DA" w:themeColor="accent1" w:themeTint="99"/>
        <w:left w:val="single" w:sz="4" w:space="0" w:color="5DB9DA" w:themeColor="accent1" w:themeTint="99"/>
        <w:bottom w:val="single" w:sz="4" w:space="0" w:color="5DB9DA" w:themeColor="accent1" w:themeTint="99"/>
        <w:right w:val="single" w:sz="4" w:space="0" w:color="5DB9DA" w:themeColor="accent1" w:themeTint="99"/>
        <w:insideH w:val="single" w:sz="4" w:space="0" w:color="5DB9DA" w:themeColor="accent1" w:themeTint="99"/>
        <w:insideV w:val="single" w:sz="4" w:space="0" w:color="5DB9DA" w:themeColor="accent1" w:themeTint="99"/>
      </w:tblBorders>
    </w:tblPr>
    <w:tblStylePr w:type="firstRow">
      <w:rPr>
        <w:b/>
        <w:bCs/>
        <w:color w:val="FFFFFF" w:themeColor="background1"/>
      </w:rPr>
      <w:tblPr/>
      <w:trPr>
        <w:tblHeader/>
      </w:trPr>
      <w:tcPr>
        <w:tcBorders>
          <w:top w:val="single" w:sz="4" w:space="0" w:color="217593" w:themeColor="accent1"/>
          <w:left w:val="single" w:sz="4" w:space="0" w:color="217593" w:themeColor="accent1"/>
          <w:bottom w:val="single" w:sz="4" w:space="0" w:color="217593" w:themeColor="accent1"/>
          <w:right w:val="single" w:sz="4" w:space="0" w:color="217593" w:themeColor="accent1"/>
          <w:insideH w:val="nil"/>
          <w:insideV w:val="nil"/>
        </w:tcBorders>
        <w:shd w:val="clear" w:color="auto" w:fill="217593" w:themeFill="accent1"/>
      </w:tcPr>
    </w:tblStylePr>
    <w:tblStylePr w:type="lastRow">
      <w:rPr>
        <w:b/>
        <w:bCs/>
      </w:rPr>
      <w:tblPr/>
      <w:tcPr>
        <w:tcBorders>
          <w:top w:val="double" w:sz="4" w:space="0" w:color="217593"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qFormat/>
    <w:rsid w:val="002D47FD"/>
    <w:pPr>
      <w:numPr>
        <w:numId w:val="20"/>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21"/>
      </w:numPr>
      <w:ind w:left="1559" w:hanging="425"/>
    </w:pPr>
  </w:style>
  <w:style w:type="table" w:styleId="GridTable1Light-Accent2">
    <w:name w:val="Grid Table 1 Light Accent 2"/>
    <w:basedOn w:val="TableNormal"/>
    <w:uiPriority w:val="46"/>
    <w:rsid w:val="005E3A1B"/>
    <w:pPr>
      <w:spacing w:line="240" w:lineRule="auto"/>
    </w:pPr>
    <w:tblPr>
      <w:tblStyleRowBandSize w:val="1"/>
      <w:tblStyleColBandSize w:val="1"/>
      <w:tblBorders>
        <w:top w:val="single" w:sz="4" w:space="0" w:color="FF87CE" w:themeColor="accent2" w:themeTint="66"/>
        <w:left w:val="single" w:sz="4" w:space="0" w:color="FF87CE" w:themeColor="accent2" w:themeTint="66"/>
        <w:bottom w:val="single" w:sz="4" w:space="0" w:color="FF87CE" w:themeColor="accent2" w:themeTint="66"/>
        <w:right w:val="single" w:sz="4" w:space="0" w:color="FF87CE" w:themeColor="accent2" w:themeTint="66"/>
        <w:insideH w:val="single" w:sz="4" w:space="0" w:color="FF87CE" w:themeColor="accent2" w:themeTint="66"/>
        <w:insideV w:val="single" w:sz="4" w:space="0" w:color="FF87CE" w:themeColor="accent2" w:themeTint="66"/>
      </w:tblBorders>
    </w:tblPr>
    <w:tblStylePr w:type="firstRow">
      <w:rPr>
        <w:b/>
        <w:bCs/>
      </w:rPr>
      <w:tblPr/>
      <w:tcPr>
        <w:tcBorders>
          <w:bottom w:val="single" w:sz="12" w:space="0" w:color="FF4CB6" w:themeColor="accent2" w:themeTint="99"/>
        </w:tcBorders>
      </w:tcPr>
    </w:tblStylePr>
    <w:tblStylePr w:type="lastRow">
      <w:rPr>
        <w:b/>
        <w:bCs/>
      </w:rPr>
      <w:tblPr/>
      <w:tcPr>
        <w:tcBorders>
          <w:top w:val="double" w:sz="2" w:space="0" w:color="FF4CB6" w:themeColor="accent2"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uiPriority w:val="39"/>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18576D"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iPriority w:val="99"/>
    <w:semiHidden/>
    <w:unhideWhenUsed/>
    <w:rsid w:val="004726A7"/>
    <w:rPr>
      <w:sz w:val="16"/>
      <w:szCs w:val="16"/>
    </w:rPr>
  </w:style>
  <w:style w:type="paragraph" w:styleId="CommentText">
    <w:name w:val="annotation text"/>
    <w:basedOn w:val="Normal"/>
    <w:link w:val="CommentTextChar"/>
    <w:uiPriority w:val="99"/>
    <w:semiHidden/>
    <w:rsid w:val="004726A7"/>
    <w:pPr>
      <w:spacing w:line="240" w:lineRule="auto"/>
    </w:pPr>
    <w:rPr>
      <w:sz w:val="20"/>
      <w:szCs w:val="20"/>
    </w:rPr>
  </w:style>
  <w:style w:type="character" w:customStyle="1" w:styleId="CommentTextChar">
    <w:name w:val="Comment Text Char"/>
    <w:basedOn w:val="DefaultParagraphFont"/>
    <w:link w:val="CommentText"/>
    <w:uiPriority w:val="99"/>
    <w:semiHidden/>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9"/>
      </w:numPr>
      <w:spacing w:after="240"/>
      <w:ind w:left="357" w:hanging="357"/>
    </w:pPr>
    <w:rPr>
      <w:rFonts w:cs="Arial"/>
      <w:spacing w:val="7"/>
    </w:rPr>
  </w:style>
  <w:style w:type="paragraph" w:customStyle="1" w:styleId="Textlist-letters">
    <w:name w:val="Text list - letters"/>
    <w:basedOn w:val="ListParagraph"/>
    <w:qFormat/>
    <w:rsid w:val="002D47FD"/>
    <w:pPr>
      <w:numPr>
        <w:numId w:val="23"/>
      </w:numPr>
      <w:spacing w:after="240"/>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6D6CE" w:themeColor="accent3" w:themeTint="99"/>
        <w:left w:val="single" w:sz="4" w:space="0" w:color="A6D6CE" w:themeColor="accent3" w:themeTint="99"/>
        <w:bottom w:val="single" w:sz="4" w:space="0" w:color="A6D6CE" w:themeColor="accent3" w:themeTint="99"/>
        <w:right w:val="single" w:sz="4" w:space="0" w:color="A6D6CE" w:themeColor="accent3" w:themeTint="99"/>
        <w:insideH w:val="single" w:sz="4" w:space="0" w:color="A6D6CE" w:themeColor="accent3" w:themeTint="99"/>
        <w:insideV w:val="single" w:sz="4" w:space="0" w:color="A6D6CE" w:themeColor="accent3" w:themeTint="99"/>
      </w:tblBorders>
    </w:tblPr>
    <w:tblStylePr w:type="firstRow">
      <w:rPr>
        <w:b/>
        <w:bCs/>
        <w:color w:val="FFFFFF" w:themeColor="background1"/>
      </w:rPr>
      <w:tblPr/>
      <w:tcPr>
        <w:tcBorders>
          <w:top w:val="single" w:sz="4" w:space="0" w:color="6BBBAE" w:themeColor="accent3"/>
          <w:left w:val="single" w:sz="4" w:space="0" w:color="6BBBAE" w:themeColor="accent3"/>
          <w:bottom w:val="single" w:sz="4" w:space="0" w:color="6BBBAE" w:themeColor="accent3"/>
          <w:right w:val="single" w:sz="4" w:space="0" w:color="6BBBAE" w:themeColor="accent3"/>
          <w:insideH w:val="nil"/>
          <w:insideV w:val="nil"/>
        </w:tcBorders>
        <w:shd w:val="clear" w:color="auto" w:fill="6BBBAE" w:themeFill="accent3"/>
      </w:tcPr>
    </w:tblStylePr>
    <w:tblStylePr w:type="lastRow">
      <w:rPr>
        <w:b/>
        <w:bCs/>
      </w:rPr>
      <w:tblPr/>
      <w:tcPr>
        <w:tcBorders>
          <w:top w:val="double" w:sz="4" w:space="0" w:color="6BBBAE" w:themeColor="accent3"/>
        </w:tcBorders>
      </w:tcPr>
    </w:tblStylePr>
    <w:tblStylePr w:type="firstCol">
      <w:rPr>
        <w:b/>
        <w:bCs/>
      </w:rPr>
    </w:tblStylePr>
    <w:tblStylePr w:type="lastCol">
      <w:rPr>
        <w:b/>
        <w:bCs/>
      </w:rPr>
    </w:tblStylePr>
    <w:tblStylePr w:type="band1Vert">
      <w:tblPr/>
      <w:tcPr>
        <w:shd w:val="clear" w:color="auto" w:fill="E1F1EE" w:themeFill="accent3" w:themeFillTint="33"/>
      </w:tcPr>
    </w:tblStylePr>
    <w:tblStylePr w:type="band1Horz">
      <w:tblPr/>
      <w:tcPr>
        <w:shd w:val="clear" w:color="auto" w:fill="E1F1EE" w:themeFill="accent3" w:themeFillTint="33"/>
      </w:tcPr>
    </w:tblStylePr>
  </w:style>
  <w:style w:type="table" w:customStyle="1" w:styleId="MHATable">
    <w:name w:val="MHA Table"/>
    <w:basedOn w:val="TableNormal"/>
    <w:uiPriority w:val="99"/>
    <w:rsid w:val="005E3A1B"/>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217593"/>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paragraph" w:customStyle="1" w:styleId="Textlistindented-letters">
    <w:name w:val="Text list indented - letters"/>
    <w:basedOn w:val="ListParagraph"/>
    <w:qFormat/>
    <w:rsid w:val="000038CD"/>
    <w:pPr>
      <w:numPr>
        <w:numId w:val="31"/>
      </w:numPr>
      <w:spacing w:after="240"/>
    </w:pPr>
  </w:style>
  <w:style w:type="table" w:styleId="GridTable5Dark-Accent1">
    <w:name w:val="Grid Table 5 Dark Accent 1"/>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7F3" w:themeFill="accent1" w:themeFillTint="33"/>
    </w:tcPr>
    <w:tblStylePr w:type="firstRow">
      <w:rPr>
        <w:b/>
        <w:bCs/>
        <w:color w:val="FFFFFF" w:themeColor="background1"/>
      </w:rPr>
      <w:tblPr/>
      <w:tcPr>
        <w:shd w:val="clear" w:color="auto" w:fill="217593"/>
      </w:tcPr>
    </w:tblStylePr>
    <w:tblStylePr w:type="lastRow">
      <w:rPr>
        <w:b/>
        <w:bCs/>
        <w:color w:val="FFFFFF" w:themeColor="background1"/>
      </w:rPr>
      <w:tblPr/>
      <w:tcPr>
        <w:shd w:val="clear" w:color="auto" w:fill="217593"/>
      </w:tcPr>
    </w:tblStylePr>
    <w:tblStylePr w:type="firstCol">
      <w:rPr>
        <w:b/>
        <w:bCs/>
        <w:color w:val="FFFFFF" w:themeColor="background1"/>
      </w:rPr>
      <w:tblPr/>
      <w:tcPr>
        <w:shd w:val="clear" w:color="auto" w:fill="217593"/>
      </w:tcPr>
    </w:tblStylePr>
    <w:tblStylePr w:type="lastCol">
      <w:rPr>
        <w:b/>
        <w:bCs/>
        <w:color w:val="FFFFFF" w:themeColor="background1"/>
      </w:rPr>
      <w:tblPr/>
      <w:tcPr>
        <w:shd w:val="clear" w:color="auto" w:fill="217593"/>
      </w:tcPr>
    </w:tblStylePr>
    <w:tblStylePr w:type="band1Vert">
      <w:tblPr/>
      <w:tcPr>
        <w:shd w:val="clear" w:color="auto" w:fill="93D0E6" w:themeFill="accent1" w:themeFillTint="66"/>
      </w:tcPr>
    </w:tblStylePr>
    <w:tblStylePr w:type="band1Horz">
      <w:tblPr/>
      <w:tcPr>
        <w:shd w:val="clear" w:color="auto" w:fill="93D0E6" w:themeFill="accent1" w:themeFillTint="66"/>
      </w:tcPr>
    </w:tblStylePr>
  </w:style>
  <w:style w:type="table" w:styleId="GridTable5Dark-Accent3">
    <w:name w:val="Grid Table 5 Dark Accent 3"/>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1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BBBA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BBBA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BBBA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BBBAE" w:themeFill="accent3"/>
      </w:tcPr>
    </w:tblStylePr>
    <w:tblStylePr w:type="band1Vert">
      <w:tblPr/>
      <w:tcPr>
        <w:shd w:val="clear" w:color="auto" w:fill="C3E3DE" w:themeFill="accent3" w:themeFillTint="66"/>
      </w:tcPr>
    </w:tblStylePr>
    <w:tblStylePr w:type="band1Horz">
      <w:tblPr/>
      <w:tcPr>
        <w:shd w:val="clear" w:color="auto" w:fill="C3E3DE" w:themeFill="accent3" w:themeFillTint="66"/>
      </w:tcPr>
    </w:tblStylePr>
  </w:style>
  <w:style w:type="table" w:customStyle="1" w:styleId="TableGrid1">
    <w:name w:val="Table Grid1"/>
    <w:basedOn w:val="TableNormal"/>
    <w:next w:val="TableGrid"/>
    <w:uiPriority w:val="39"/>
    <w:rsid w:val="00746FD3"/>
    <w:pPr>
      <w:spacing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10A9B"/>
    <w:rPr>
      <w:color w:val="00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whistleblowing@mha.org.uk" TargetMode="External"/><Relationship Id="rId18" Type="http://schemas.openxmlformats.org/officeDocument/2006/relationships/hyperlink" Target="https://intranet.mha.org.uk/Interact/Pages/Content/Document.aspx?id=14872&amp;utm_source=interact&amp;utm_medium=quick_search&amp;utm_term=hr9.5a" TargetMode="External"/><Relationship Id="rId26" Type="http://schemas.openxmlformats.org/officeDocument/2006/relationships/hyperlink" Target="https://ico.org.uk/" TargetMode="External"/><Relationship Id="rId39" Type="http://schemas.openxmlformats.org/officeDocument/2006/relationships/hyperlink" Target="https://www.gov.uk/government/ministers/secretary-of-state-for-international-trade" TargetMode="External"/><Relationship Id="rId21" Type="http://schemas.openxmlformats.org/officeDocument/2006/relationships/hyperlink" Target="https://www.audit.wales/about-us/auditor-general-wales" TargetMode="External"/><Relationship Id="rId34" Type="http://schemas.openxmlformats.org/officeDocument/2006/relationships/hyperlink" Target="https://www.gov.uk/government/organisations/hm-revenue-customs" TargetMode="External"/><Relationship Id="rId42" Type="http://schemas.openxmlformats.org/officeDocument/2006/relationships/hyperlink" Target="https://www.thepensionsregulator.gov.uk/" TargetMode="External"/><Relationship Id="rId47" Type="http://schemas.openxmlformats.org/officeDocument/2006/relationships/footer" Target="footer2.xml"/><Relationship Id="rId50" Type="http://schemas.openxmlformats.org/officeDocument/2006/relationships/customXml" Target="../customXml/item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policies@mha.org.uk" TargetMode="External"/><Relationship Id="rId29" Type="http://schemas.openxmlformats.org/officeDocument/2006/relationships/hyperlink" Target="https://www.gov.uk/government/organisations/environment-agency" TargetMode="External"/><Relationship Id="rId11" Type="http://schemas.openxmlformats.org/officeDocument/2006/relationships/hyperlink" Target="mailto:whistle@protect-advice.org.uk" TargetMode="External"/><Relationship Id="rId24" Type="http://schemas.openxmlformats.org/officeDocument/2006/relationships/hyperlink" Target="https://www.gov.uk/government/organisations/charity-commission" TargetMode="External"/><Relationship Id="rId32" Type="http://schemas.openxmlformats.org/officeDocument/2006/relationships/hyperlink" Target="https://www.hcpc-uk.org/" TargetMode="External"/><Relationship Id="rId37" Type="http://schemas.openxmlformats.org/officeDocument/2006/relationships/hyperlink" Target="https://consumercode.co.uk/home-builders/how-are-complaints-dealt-with/how-does-the-independent-dispute-resolution-scheme-work/" TargetMode="External"/><Relationship Id="rId40" Type="http://schemas.openxmlformats.org/officeDocument/2006/relationships/hyperlink" Target="https://socialcare.wales/"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policies@mha.org.uk" TargetMode="External"/><Relationship Id="rId23" Type="http://schemas.openxmlformats.org/officeDocument/2006/relationships/hyperlink" Target="https://www.cqc.org.uk/" TargetMode="External"/><Relationship Id="rId28" Type="http://schemas.openxmlformats.org/officeDocument/2006/relationships/hyperlink" Target="https://www.sfo.gov.uk/about-us/" TargetMode="External"/><Relationship Id="rId36" Type="http://schemas.openxmlformats.org/officeDocument/2006/relationships/hyperlink" Target="https://www.housing-ombudsman.org.uk/" TargetMode="External"/><Relationship Id="rId49" Type="http://schemas.openxmlformats.org/officeDocument/2006/relationships/theme" Target="theme/theme1.xml"/><Relationship Id="rId10" Type="http://schemas.openxmlformats.org/officeDocument/2006/relationships/hyperlink" Target="mailto:whistleblowing@mha.org.uk" TargetMode="External"/><Relationship Id="rId19" Type="http://schemas.openxmlformats.org/officeDocument/2006/relationships/hyperlink" Target="https://protect-advice.org.uk/" TargetMode="External"/><Relationship Id="rId31" Type="http://schemas.openxmlformats.org/officeDocument/2006/relationships/hyperlink" Target="https://www.fundraisingregulator.org.uk/" TargetMode="External"/><Relationship Id="rId44" Type="http://schemas.openxmlformats.org/officeDocument/2006/relationships/hyperlink" Target="https://www.gov.wales/cabinet-secretaries-and-ministers" TargetMode="External"/><Relationship Id="rId52"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s://intranet.mha.org.uk/Interact/Pages/Content/Document.aspx?id=14872&amp;utm_source=interact&amp;utm_medium=quick_search&amp;utm_term=hr9.5a" TargetMode="External"/><Relationship Id="rId14" Type="http://schemas.openxmlformats.org/officeDocument/2006/relationships/hyperlink" Target="mailto:whistleblowing@mha.org.uk" TargetMode="External"/><Relationship Id="rId22" Type="http://schemas.openxmlformats.org/officeDocument/2006/relationships/hyperlink" Target="https://www.careinspectorate.wales/" TargetMode="External"/><Relationship Id="rId27" Type="http://schemas.openxmlformats.org/officeDocument/2006/relationships/hyperlink" Target="https://olderpeople.wales/" TargetMode="External"/><Relationship Id="rId30" Type="http://schemas.openxmlformats.org/officeDocument/2006/relationships/hyperlink" Target="https://www.fca.org.uk/" TargetMode="External"/><Relationship Id="rId35" Type="http://schemas.openxmlformats.org/officeDocument/2006/relationships/hyperlink" Target="https://www.gov.uk/government/organisations/homes-and-communities-agency" TargetMode="External"/><Relationship Id="rId43" Type="http://schemas.openxmlformats.org/officeDocument/2006/relationships/hyperlink" Target="https://www.tpos.co.uk/" TargetMode="External"/><Relationship Id="rId48"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customXml" Target="../customXml/item3.xml"/><Relationship Id="rId3" Type="http://schemas.openxmlformats.org/officeDocument/2006/relationships/styles" Target="styles.xml"/><Relationship Id="rId12" Type="http://schemas.openxmlformats.org/officeDocument/2006/relationships/hyperlink" Target="mailto:Whistleblowing@mha.org.uk" TargetMode="External"/><Relationship Id="rId17" Type="http://schemas.openxmlformats.org/officeDocument/2006/relationships/hyperlink" Target="mailto:hr@mha.org.uk" TargetMode="External"/><Relationship Id="rId25" Type="http://schemas.openxmlformats.org/officeDocument/2006/relationships/hyperlink" Target="https://www.nao.org.uk/about-us/" TargetMode="External"/><Relationship Id="rId33" Type="http://schemas.openxmlformats.org/officeDocument/2006/relationships/hyperlink" Target="https://www.hse.gov.uk/" TargetMode="External"/><Relationship Id="rId38" Type="http://schemas.openxmlformats.org/officeDocument/2006/relationships/hyperlink" Target="https://www.gov.uk/find-local-council" TargetMode="External"/><Relationship Id="rId46" Type="http://schemas.openxmlformats.org/officeDocument/2006/relationships/footer" Target="footer1.xml"/><Relationship Id="rId20" Type="http://schemas.openxmlformats.org/officeDocument/2006/relationships/hyperlink" Target="mailto:whistleblowing@mha.org.uk" TargetMode="External"/><Relationship Id="rId41" Type="http://schemas.openxmlformats.org/officeDocument/2006/relationships/hyperlink" Target="https://www.nmc.org.uk/"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217593"/>
      </a:accent1>
      <a:accent2>
        <a:srgbClr val="D4007F"/>
      </a:accent2>
      <a:accent3>
        <a:srgbClr val="6BBBAE"/>
      </a:accent3>
      <a:accent4>
        <a:srgbClr val="9BC769"/>
      </a:accent4>
      <a:accent5>
        <a:srgbClr val="FBBB2D"/>
      </a:accent5>
      <a:accent6>
        <a:srgbClr val="7E64A9"/>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775158CD68F4478BDB0D21BBCA1F9F" ma:contentTypeVersion="11" ma:contentTypeDescription="Create a new document." ma:contentTypeScope="" ma:versionID="12ebbaaf68536d81e82830a1f1c4e39a">
  <xsd:schema xmlns:xsd="http://www.w3.org/2001/XMLSchema" xmlns:xs="http://www.w3.org/2001/XMLSchema" xmlns:p="http://schemas.microsoft.com/office/2006/metadata/properties" xmlns:ns2="1a67aad1-5399-4b65-a50a-06f38c7c7bdb" xmlns:ns3="adf8f2a3-bd98-4281-b1be-bc644b57b058" targetNamespace="http://schemas.microsoft.com/office/2006/metadata/properties" ma:root="true" ma:fieldsID="fed36566bad2ce0dcac0d713eedacee9" ns2:_="" ns3:_="">
    <xsd:import namespace="1a67aad1-5399-4b65-a50a-06f38c7c7bdb"/>
    <xsd:import namespace="adf8f2a3-bd98-4281-b1be-bc644b57b0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7aad1-5399-4b65-a50a-06f38c7c7b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cf11136-f281-40ed-abe3-053b0bca1e5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f8f2a3-bd98-4281-b1be-bc644b57b05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ad1d4fc-0c23-471d-820d-a28c23002a4c}" ma:internalName="TaxCatchAll" ma:showField="CatchAllData" ma:web="adf8f2a3-bd98-4281-b1be-bc644b57b0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a67aad1-5399-4b65-a50a-06f38c7c7bdb">
      <Terms xmlns="http://schemas.microsoft.com/office/infopath/2007/PartnerControls"/>
    </lcf76f155ced4ddcb4097134ff3c332f>
    <TaxCatchAll xmlns="adf8f2a3-bd98-4281-b1be-bc644b57b058" xsi:nil="true"/>
  </documentManagement>
</p:properties>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customXml/itemProps2.xml><?xml version="1.0" encoding="utf-8"?>
<ds:datastoreItem xmlns:ds="http://schemas.openxmlformats.org/officeDocument/2006/customXml" ds:itemID="{7DF2F9BC-676E-4CCB-A7F2-1427BFC3E887}"/>
</file>

<file path=customXml/itemProps3.xml><?xml version="1.0" encoding="utf-8"?>
<ds:datastoreItem xmlns:ds="http://schemas.openxmlformats.org/officeDocument/2006/customXml" ds:itemID="{EDEB3873-3555-4527-A3DB-7A4753313C61}"/>
</file>

<file path=customXml/itemProps4.xml><?xml version="1.0" encoding="utf-8"?>
<ds:datastoreItem xmlns:ds="http://schemas.openxmlformats.org/officeDocument/2006/customXml" ds:itemID="{3728D050-B557-4E51-8EE6-AC51E9D24007}"/>
</file>

<file path=docProps/app.xml><?xml version="1.0" encoding="utf-8"?>
<Properties xmlns="http://schemas.openxmlformats.org/officeDocument/2006/extended-properties" xmlns:vt="http://schemas.openxmlformats.org/officeDocument/2006/docPropsVTypes">
  <Template>Normal</Template>
  <TotalTime>4</TotalTime>
  <Pages>1</Pages>
  <Words>4147</Words>
  <Characters>23644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Beach</dc:creator>
  <cp:keywords/>
  <dc:description/>
  <cp:lastModifiedBy>Michelle Heath</cp:lastModifiedBy>
  <cp:revision>3</cp:revision>
  <cp:lastPrinted>2023-02-15T14:18:00Z</cp:lastPrinted>
  <dcterms:created xsi:type="dcterms:W3CDTF">2024-10-13T14:30:00Z</dcterms:created>
  <dcterms:modified xsi:type="dcterms:W3CDTF">2024-10-15T08:31:00Z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0x01010063775158CD68F4478BDB0D21BBCA1F9F</vt:lpwstr>
  </property>
</Properties>
</file>