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8181D" w14:textId="77777777" w:rsidR="00DF67AA" w:rsidRDefault="00DF67AA" w:rsidP="00903AA2">
      <w:pPr>
        <w:rPr>
          <w:spacing w:val="10"/>
        </w:rPr>
      </w:pPr>
    </w:p>
    <w:p w14:paraId="55E1DDB6" w14:textId="77777777" w:rsidR="00DF67AA" w:rsidRDefault="00DF67AA" w:rsidP="00903AA2">
      <w:pPr>
        <w:rPr>
          <w:spacing w:val="10"/>
        </w:rPr>
      </w:pPr>
    </w:p>
    <w:p w14:paraId="55038368" w14:textId="77777777" w:rsidR="00FA1162" w:rsidRDefault="00FA1162" w:rsidP="00903AA2">
      <w:pPr>
        <w:rPr>
          <w:spacing w:val="10"/>
        </w:rPr>
      </w:pPr>
    </w:p>
    <w:p w14:paraId="02D50307" w14:textId="77777777" w:rsidR="00DF67AA" w:rsidRDefault="00306ED7" w:rsidP="00FA1162">
      <w:pPr>
        <w:rPr>
          <w:spacing w:val="10"/>
        </w:rPr>
      </w:pPr>
      <w:r w:rsidRPr="0063326C">
        <w:rPr>
          <w:noProof/>
          <w:spacing w:val="10"/>
        </w:rPr>
        <mc:AlternateContent>
          <mc:Choice Requires="wps">
            <w:drawing>
              <wp:inline distT="0" distB="0" distL="0" distR="0" wp14:anchorId="09DFAE22" wp14:editId="63063B6C">
                <wp:extent cx="6058894" cy="1932167"/>
                <wp:effectExtent l="0" t="0" r="18415"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27D3495" w14:textId="029BE77B" w:rsidR="00306ED7" w:rsidRPr="00847753" w:rsidRDefault="00155F25" w:rsidP="00306ED7">
                            <w:pPr>
                              <w:pStyle w:val="PolicyTitle"/>
                            </w:pPr>
                            <w:r>
                              <w:t>Business Continuity and Emergency Planning</w:t>
                            </w:r>
                            <w:r w:rsidR="00306ED7">
                              <w:t xml:space="preserve"> Policy and Procedure</w:t>
                            </w:r>
                          </w:p>
                          <w:p w14:paraId="78572CCA" w14:textId="244550D0" w:rsidR="00306ED7" w:rsidRPr="00847753" w:rsidRDefault="007A7447" w:rsidP="00306ED7">
                            <w:pPr>
                              <w:pStyle w:val="PolicyCode"/>
                            </w:pPr>
                            <w:r>
                              <w:t>HS310 Health and Safety</w:t>
                            </w:r>
                            <w:r w:rsidR="00306ED7">
                              <w:t xml:space="preserve"> Policies</w:t>
                            </w:r>
                          </w:p>
                          <w:p w14:paraId="435E3A78" w14:textId="00BD3F4B" w:rsidR="00306ED7" w:rsidRPr="00847753" w:rsidRDefault="00705ABB" w:rsidP="00306ED7">
                            <w:pPr>
                              <w:pStyle w:val="PolicyDate"/>
                            </w:pPr>
                            <w:r>
                              <w:t>October</w:t>
                            </w:r>
                            <w:r w:rsidR="007A7447">
                              <w:t xml:space="preserve"> 2024</w:t>
                            </w:r>
                          </w:p>
                        </w:txbxContent>
                      </wps:txbx>
                      <wps:bodyPr rot="0" vert="horz" wrap="square" lIns="91440" tIns="45720" rIns="91440" bIns="45720" anchor="t" anchorCtr="0">
                        <a:spAutoFit/>
                      </wps:bodyPr>
                    </wps:wsp>
                  </a:graphicData>
                </a:graphic>
              </wp:inline>
            </w:drawing>
          </mc:Choice>
          <mc:Fallback>
            <w:pict>
              <v:shapetype w14:anchorId="09DFAE22"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627D3495" w14:textId="029BE77B" w:rsidR="00306ED7" w:rsidRPr="00847753" w:rsidRDefault="00155F25" w:rsidP="00306ED7">
                      <w:pPr>
                        <w:pStyle w:val="PolicyTitle"/>
                      </w:pPr>
                      <w:r>
                        <w:t>Business Continuity and Emergency Planning</w:t>
                      </w:r>
                      <w:r w:rsidR="00306ED7">
                        <w:t xml:space="preserve"> Policy and Procedure</w:t>
                      </w:r>
                    </w:p>
                    <w:p w14:paraId="78572CCA" w14:textId="244550D0" w:rsidR="00306ED7" w:rsidRPr="00847753" w:rsidRDefault="007A7447" w:rsidP="00306ED7">
                      <w:pPr>
                        <w:pStyle w:val="PolicyCode"/>
                      </w:pPr>
                      <w:r>
                        <w:t>HS310 Health and Safety</w:t>
                      </w:r>
                      <w:r w:rsidR="00306ED7">
                        <w:t xml:space="preserve"> Policies</w:t>
                      </w:r>
                    </w:p>
                    <w:p w14:paraId="435E3A78" w14:textId="00BD3F4B" w:rsidR="00306ED7" w:rsidRPr="00847753" w:rsidRDefault="00705ABB" w:rsidP="00306ED7">
                      <w:pPr>
                        <w:pStyle w:val="PolicyDate"/>
                      </w:pPr>
                      <w:r>
                        <w:t>October</w:t>
                      </w:r>
                      <w:r w:rsidR="007A7447">
                        <w:t xml:space="preserve"> 2024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4AB8753D" wp14:editId="217689A4">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0E1D9A4" w14:textId="77777777" w:rsidR="00DF67AA" w:rsidRPr="00C57E03" w:rsidRDefault="00471203" w:rsidP="00070650">
          <w:pPr>
            <w:rPr>
              <w:rFonts w:cs="Arial"/>
              <w:sz w:val="22"/>
              <w:szCs w:val="22"/>
            </w:rPr>
          </w:pPr>
          <w:r w:rsidRPr="00C57E03">
            <w:rPr>
              <w:rFonts w:cs="Arial"/>
              <w:sz w:val="22"/>
              <w:szCs w:val="22"/>
            </w:rPr>
            <w:t>Contents</w:t>
          </w:r>
        </w:p>
        <w:p w14:paraId="11609FD7" w14:textId="44D02773" w:rsidR="004F25C1"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58208208" w:history="1">
            <w:r w:rsidR="004F25C1" w:rsidRPr="00976A8D">
              <w:rPr>
                <w:rStyle w:val="Hyperlink"/>
              </w:rPr>
              <w:t>1</w:t>
            </w:r>
            <w:r w:rsidR="004F25C1">
              <w:rPr>
                <w:rFonts w:asciiTheme="minorHAnsi" w:eastAsiaTheme="minorEastAsia" w:hAnsiTheme="minorHAnsi"/>
                <w:kern w:val="2"/>
                <w:lang w:eastAsia="en-GB"/>
                <w14:ligatures w14:val="standardContextual"/>
              </w:rPr>
              <w:tab/>
            </w:r>
            <w:r w:rsidR="004F25C1" w:rsidRPr="00976A8D">
              <w:rPr>
                <w:rStyle w:val="Hyperlink"/>
              </w:rPr>
              <w:t>Introduction</w:t>
            </w:r>
            <w:r w:rsidR="004F25C1">
              <w:rPr>
                <w:webHidden/>
              </w:rPr>
              <w:tab/>
            </w:r>
            <w:r w:rsidR="004F25C1">
              <w:rPr>
                <w:webHidden/>
              </w:rPr>
              <w:fldChar w:fldCharType="begin"/>
            </w:r>
            <w:r w:rsidR="004F25C1">
              <w:rPr>
                <w:webHidden/>
              </w:rPr>
              <w:instrText xml:space="preserve"> PAGEREF _Toc158208208 \h </w:instrText>
            </w:r>
            <w:r w:rsidR="004F25C1">
              <w:rPr>
                <w:webHidden/>
              </w:rPr>
            </w:r>
            <w:r w:rsidR="004F25C1">
              <w:rPr>
                <w:webHidden/>
              </w:rPr>
              <w:fldChar w:fldCharType="separate"/>
            </w:r>
            <w:r w:rsidR="00C57E03">
              <w:rPr>
                <w:webHidden/>
              </w:rPr>
              <w:t>2</w:t>
            </w:r>
            <w:r w:rsidR="004F25C1">
              <w:rPr>
                <w:webHidden/>
              </w:rPr>
              <w:fldChar w:fldCharType="end"/>
            </w:r>
          </w:hyperlink>
        </w:p>
        <w:p w14:paraId="42E0C4FC" w14:textId="368A26BE" w:rsidR="004F25C1" w:rsidRDefault="004F25C1">
          <w:pPr>
            <w:pStyle w:val="TOC1"/>
            <w:rPr>
              <w:rFonts w:asciiTheme="minorHAnsi" w:eastAsiaTheme="minorEastAsia" w:hAnsiTheme="minorHAnsi"/>
              <w:kern w:val="2"/>
              <w:lang w:eastAsia="en-GB"/>
              <w14:ligatures w14:val="standardContextual"/>
            </w:rPr>
          </w:pPr>
          <w:hyperlink w:anchor="_Toc158208209" w:history="1">
            <w:r w:rsidRPr="00976A8D">
              <w:rPr>
                <w:rStyle w:val="Hyperlink"/>
              </w:rPr>
              <w:t>2</w:t>
            </w:r>
            <w:r>
              <w:rPr>
                <w:rFonts w:asciiTheme="minorHAnsi" w:eastAsiaTheme="minorEastAsia" w:hAnsiTheme="minorHAnsi"/>
                <w:kern w:val="2"/>
                <w:lang w:eastAsia="en-GB"/>
                <w14:ligatures w14:val="standardContextual"/>
              </w:rPr>
              <w:tab/>
            </w:r>
            <w:r w:rsidRPr="00976A8D">
              <w:rPr>
                <w:rStyle w:val="Hyperlink"/>
              </w:rPr>
              <w:t>Scope and Purpose</w:t>
            </w:r>
            <w:r>
              <w:rPr>
                <w:webHidden/>
              </w:rPr>
              <w:tab/>
            </w:r>
            <w:r>
              <w:rPr>
                <w:webHidden/>
              </w:rPr>
              <w:fldChar w:fldCharType="begin"/>
            </w:r>
            <w:r>
              <w:rPr>
                <w:webHidden/>
              </w:rPr>
              <w:instrText xml:space="preserve"> PAGEREF _Toc158208209 \h </w:instrText>
            </w:r>
            <w:r>
              <w:rPr>
                <w:webHidden/>
              </w:rPr>
            </w:r>
            <w:r>
              <w:rPr>
                <w:webHidden/>
              </w:rPr>
              <w:fldChar w:fldCharType="separate"/>
            </w:r>
            <w:r w:rsidR="00C57E03">
              <w:rPr>
                <w:webHidden/>
              </w:rPr>
              <w:t>2</w:t>
            </w:r>
            <w:r>
              <w:rPr>
                <w:webHidden/>
              </w:rPr>
              <w:fldChar w:fldCharType="end"/>
            </w:r>
          </w:hyperlink>
        </w:p>
        <w:p w14:paraId="43F1D522" w14:textId="3DA731FB" w:rsidR="004F25C1" w:rsidRDefault="004F25C1">
          <w:pPr>
            <w:pStyle w:val="TOC1"/>
            <w:rPr>
              <w:rFonts w:asciiTheme="minorHAnsi" w:eastAsiaTheme="minorEastAsia" w:hAnsiTheme="minorHAnsi"/>
              <w:kern w:val="2"/>
              <w:lang w:eastAsia="en-GB"/>
              <w14:ligatures w14:val="standardContextual"/>
            </w:rPr>
          </w:pPr>
          <w:hyperlink w:anchor="_Toc158208210" w:history="1">
            <w:r w:rsidRPr="00976A8D">
              <w:rPr>
                <w:rStyle w:val="Hyperlink"/>
              </w:rPr>
              <w:t>3</w:t>
            </w:r>
            <w:r>
              <w:rPr>
                <w:rFonts w:asciiTheme="minorHAnsi" w:eastAsiaTheme="minorEastAsia" w:hAnsiTheme="minorHAnsi"/>
                <w:kern w:val="2"/>
                <w:lang w:eastAsia="en-GB"/>
                <w14:ligatures w14:val="standardContextual"/>
              </w:rPr>
              <w:tab/>
            </w:r>
            <w:r w:rsidRPr="00976A8D">
              <w:rPr>
                <w:rStyle w:val="Hyperlink"/>
              </w:rPr>
              <w:t>Definitions</w:t>
            </w:r>
            <w:r>
              <w:rPr>
                <w:webHidden/>
              </w:rPr>
              <w:tab/>
            </w:r>
            <w:r>
              <w:rPr>
                <w:webHidden/>
              </w:rPr>
              <w:fldChar w:fldCharType="begin"/>
            </w:r>
            <w:r>
              <w:rPr>
                <w:webHidden/>
              </w:rPr>
              <w:instrText xml:space="preserve"> PAGEREF _Toc158208210 \h </w:instrText>
            </w:r>
            <w:r>
              <w:rPr>
                <w:webHidden/>
              </w:rPr>
            </w:r>
            <w:r>
              <w:rPr>
                <w:webHidden/>
              </w:rPr>
              <w:fldChar w:fldCharType="separate"/>
            </w:r>
            <w:r w:rsidR="00C57E03">
              <w:rPr>
                <w:webHidden/>
              </w:rPr>
              <w:t>3</w:t>
            </w:r>
            <w:r>
              <w:rPr>
                <w:webHidden/>
              </w:rPr>
              <w:fldChar w:fldCharType="end"/>
            </w:r>
          </w:hyperlink>
        </w:p>
        <w:p w14:paraId="2F8A4E2C" w14:textId="3D0E64FD" w:rsidR="004F25C1" w:rsidRDefault="004F25C1">
          <w:pPr>
            <w:pStyle w:val="TOC1"/>
            <w:rPr>
              <w:rFonts w:asciiTheme="minorHAnsi" w:eastAsiaTheme="minorEastAsia" w:hAnsiTheme="minorHAnsi"/>
              <w:kern w:val="2"/>
              <w:lang w:eastAsia="en-GB"/>
              <w14:ligatures w14:val="standardContextual"/>
            </w:rPr>
          </w:pPr>
          <w:hyperlink w:anchor="_Toc158208211" w:history="1">
            <w:r w:rsidRPr="00976A8D">
              <w:rPr>
                <w:rStyle w:val="Hyperlink"/>
              </w:rPr>
              <w:t>4</w:t>
            </w:r>
            <w:r>
              <w:rPr>
                <w:rFonts w:asciiTheme="minorHAnsi" w:eastAsiaTheme="minorEastAsia" w:hAnsiTheme="minorHAnsi"/>
                <w:kern w:val="2"/>
                <w:lang w:eastAsia="en-GB"/>
                <w14:ligatures w14:val="standardContextual"/>
              </w:rPr>
              <w:tab/>
            </w:r>
            <w:r w:rsidRPr="00976A8D">
              <w:rPr>
                <w:rStyle w:val="Hyperlink"/>
              </w:rPr>
              <w:t>Business Continuity Threats</w:t>
            </w:r>
            <w:r>
              <w:rPr>
                <w:webHidden/>
              </w:rPr>
              <w:tab/>
            </w:r>
            <w:r>
              <w:rPr>
                <w:webHidden/>
              </w:rPr>
              <w:fldChar w:fldCharType="begin"/>
            </w:r>
            <w:r>
              <w:rPr>
                <w:webHidden/>
              </w:rPr>
              <w:instrText xml:space="preserve"> PAGEREF _Toc158208211 \h </w:instrText>
            </w:r>
            <w:r>
              <w:rPr>
                <w:webHidden/>
              </w:rPr>
            </w:r>
            <w:r>
              <w:rPr>
                <w:webHidden/>
              </w:rPr>
              <w:fldChar w:fldCharType="separate"/>
            </w:r>
            <w:r w:rsidR="00C57E03">
              <w:rPr>
                <w:webHidden/>
              </w:rPr>
              <w:t>5</w:t>
            </w:r>
            <w:r>
              <w:rPr>
                <w:webHidden/>
              </w:rPr>
              <w:fldChar w:fldCharType="end"/>
            </w:r>
          </w:hyperlink>
        </w:p>
        <w:p w14:paraId="67E5B923" w14:textId="20E42BE7" w:rsidR="004F25C1" w:rsidRDefault="004F25C1">
          <w:pPr>
            <w:pStyle w:val="TOC1"/>
            <w:rPr>
              <w:rFonts w:asciiTheme="minorHAnsi" w:eastAsiaTheme="minorEastAsia" w:hAnsiTheme="minorHAnsi"/>
              <w:kern w:val="2"/>
              <w:lang w:eastAsia="en-GB"/>
              <w14:ligatures w14:val="standardContextual"/>
            </w:rPr>
          </w:pPr>
          <w:hyperlink w:anchor="_Toc158208212" w:history="1">
            <w:r w:rsidRPr="00976A8D">
              <w:rPr>
                <w:rStyle w:val="Hyperlink"/>
              </w:rPr>
              <w:t>5</w:t>
            </w:r>
            <w:r>
              <w:rPr>
                <w:rFonts w:asciiTheme="minorHAnsi" w:eastAsiaTheme="minorEastAsia" w:hAnsiTheme="minorHAnsi"/>
                <w:kern w:val="2"/>
                <w:lang w:eastAsia="en-GB"/>
                <w14:ligatures w14:val="standardContextual"/>
              </w:rPr>
              <w:tab/>
            </w:r>
            <w:r w:rsidRPr="00976A8D">
              <w:rPr>
                <w:rStyle w:val="Hyperlink"/>
              </w:rPr>
              <w:t>Evacuation</w:t>
            </w:r>
            <w:r>
              <w:rPr>
                <w:webHidden/>
              </w:rPr>
              <w:tab/>
            </w:r>
            <w:r>
              <w:rPr>
                <w:webHidden/>
              </w:rPr>
              <w:fldChar w:fldCharType="begin"/>
            </w:r>
            <w:r>
              <w:rPr>
                <w:webHidden/>
              </w:rPr>
              <w:instrText xml:space="preserve"> PAGEREF _Toc158208212 \h </w:instrText>
            </w:r>
            <w:r>
              <w:rPr>
                <w:webHidden/>
              </w:rPr>
            </w:r>
            <w:r>
              <w:rPr>
                <w:webHidden/>
              </w:rPr>
              <w:fldChar w:fldCharType="separate"/>
            </w:r>
            <w:r w:rsidR="00C57E03">
              <w:rPr>
                <w:webHidden/>
              </w:rPr>
              <w:t>6</w:t>
            </w:r>
            <w:r>
              <w:rPr>
                <w:webHidden/>
              </w:rPr>
              <w:fldChar w:fldCharType="end"/>
            </w:r>
          </w:hyperlink>
        </w:p>
        <w:p w14:paraId="72FC54AB" w14:textId="1FA67C78" w:rsidR="004F25C1" w:rsidRDefault="004F25C1">
          <w:pPr>
            <w:pStyle w:val="TOC1"/>
            <w:rPr>
              <w:rFonts w:asciiTheme="minorHAnsi" w:eastAsiaTheme="minorEastAsia" w:hAnsiTheme="minorHAnsi"/>
              <w:kern w:val="2"/>
              <w:lang w:eastAsia="en-GB"/>
              <w14:ligatures w14:val="standardContextual"/>
            </w:rPr>
          </w:pPr>
          <w:hyperlink w:anchor="_Toc158208213" w:history="1">
            <w:r w:rsidRPr="00976A8D">
              <w:rPr>
                <w:rStyle w:val="Hyperlink"/>
              </w:rPr>
              <w:t>6</w:t>
            </w:r>
            <w:r>
              <w:rPr>
                <w:rFonts w:asciiTheme="minorHAnsi" w:eastAsiaTheme="minorEastAsia" w:hAnsiTheme="minorHAnsi"/>
                <w:kern w:val="2"/>
                <w:lang w:eastAsia="en-GB"/>
                <w14:ligatures w14:val="standardContextual"/>
              </w:rPr>
              <w:tab/>
            </w:r>
            <w:r w:rsidRPr="00976A8D">
              <w:rPr>
                <w:rStyle w:val="Hyperlink"/>
              </w:rPr>
              <w:t>Emergency Disaster Management Plan [HS310a]</w:t>
            </w:r>
            <w:r>
              <w:rPr>
                <w:webHidden/>
              </w:rPr>
              <w:tab/>
            </w:r>
            <w:r>
              <w:rPr>
                <w:webHidden/>
              </w:rPr>
              <w:fldChar w:fldCharType="begin"/>
            </w:r>
            <w:r>
              <w:rPr>
                <w:webHidden/>
              </w:rPr>
              <w:instrText xml:space="preserve"> PAGEREF _Toc158208213 \h </w:instrText>
            </w:r>
            <w:r>
              <w:rPr>
                <w:webHidden/>
              </w:rPr>
            </w:r>
            <w:r>
              <w:rPr>
                <w:webHidden/>
              </w:rPr>
              <w:fldChar w:fldCharType="separate"/>
            </w:r>
            <w:r w:rsidR="00C57E03">
              <w:rPr>
                <w:webHidden/>
              </w:rPr>
              <w:t>6</w:t>
            </w:r>
            <w:r>
              <w:rPr>
                <w:webHidden/>
              </w:rPr>
              <w:fldChar w:fldCharType="end"/>
            </w:r>
          </w:hyperlink>
        </w:p>
        <w:p w14:paraId="554925F9" w14:textId="2D4C0814" w:rsidR="004F25C1" w:rsidRDefault="004F25C1">
          <w:pPr>
            <w:pStyle w:val="TOC1"/>
            <w:rPr>
              <w:rFonts w:asciiTheme="minorHAnsi" w:eastAsiaTheme="minorEastAsia" w:hAnsiTheme="minorHAnsi"/>
              <w:kern w:val="2"/>
              <w:lang w:eastAsia="en-GB"/>
              <w14:ligatures w14:val="standardContextual"/>
            </w:rPr>
          </w:pPr>
          <w:hyperlink w:anchor="_Toc158208214" w:history="1">
            <w:r w:rsidRPr="00976A8D">
              <w:rPr>
                <w:rStyle w:val="Hyperlink"/>
              </w:rPr>
              <w:t>7</w:t>
            </w:r>
            <w:r>
              <w:rPr>
                <w:rFonts w:asciiTheme="minorHAnsi" w:eastAsiaTheme="minorEastAsia" w:hAnsiTheme="minorHAnsi"/>
                <w:kern w:val="2"/>
                <w:lang w:eastAsia="en-GB"/>
                <w14:ligatures w14:val="standardContextual"/>
              </w:rPr>
              <w:tab/>
            </w:r>
            <w:r w:rsidRPr="00976A8D">
              <w:rPr>
                <w:rStyle w:val="Hyperlink"/>
              </w:rPr>
              <w:t>Emergency Grab Bag</w:t>
            </w:r>
            <w:r>
              <w:rPr>
                <w:webHidden/>
              </w:rPr>
              <w:tab/>
            </w:r>
            <w:r>
              <w:rPr>
                <w:webHidden/>
              </w:rPr>
              <w:fldChar w:fldCharType="begin"/>
            </w:r>
            <w:r>
              <w:rPr>
                <w:webHidden/>
              </w:rPr>
              <w:instrText xml:space="preserve"> PAGEREF _Toc158208214 \h </w:instrText>
            </w:r>
            <w:r>
              <w:rPr>
                <w:webHidden/>
              </w:rPr>
            </w:r>
            <w:r>
              <w:rPr>
                <w:webHidden/>
              </w:rPr>
              <w:fldChar w:fldCharType="separate"/>
            </w:r>
            <w:r w:rsidR="00C57E03">
              <w:rPr>
                <w:webHidden/>
              </w:rPr>
              <w:t>8</w:t>
            </w:r>
            <w:r>
              <w:rPr>
                <w:webHidden/>
              </w:rPr>
              <w:fldChar w:fldCharType="end"/>
            </w:r>
          </w:hyperlink>
        </w:p>
        <w:p w14:paraId="7242930D" w14:textId="4B72AE37" w:rsidR="004F25C1" w:rsidRDefault="004F25C1">
          <w:pPr>
            <w:pStyle w:val="TOC1"/>
            <w:rPr>
              <w:rFonts w:asciiTheme="minorHAnsi" w:eastAsiaTheme="minorEastAsia" w:hAnsiTheme="minorHAnsi"/>
              <w:kern w:val="2"/>
              <w:lang w:eastAsia="en-GB"/>
              <w14:ligatures w14:val="standardContextual"/>
            </w:rPr>
          </w:pPr>
          <w:hyperlink w:anchor="_Toc158208215" w:history="1">
            <w:r w:rsidRPr="00976A8D">
              <w:rPr>
                <w:rStyle w:val="Hyperlink"/>
              </w:rPr>
              <w:t>8</w:t>
            </w:r>
            <w:r>
              <w:rPr>
                <w:rFonts w:asciiTheme="minorHAnsi" w:eastAsiaTheme="minorEastAsia" w:hAnsiTheme="minorHAnsi"/>
                <w:kern w:val="2"/>
                <w:lang w:eastAsia="en-GB"/>
                <w14:ligatures w14:val="standardContextual"/>
              </w:rPr>
              <w:tab/>
            </w:r>
            <w:r w:rsidRPr="00976A8D">
              <w:rPr>
                <w:rStyle w:val="Hyperlink"/>
              </w:rPr>
              <w:t>Long Term Plans</w:t>
            </w:r>
            <w:r>
              <w:rPr>
                <w:webHidden/>
              </w:rPr>
              <w:tab/>
            </w:r>
            <w:r>
              <w:rPr>
                <w:webHidden/>
              </w:rPr>
              <w:fldChar w:fldCharType="begin"/>
            </w:r>
            <w:r>
              <w:rPr>
                <w:webHidden/>
              </w:rPr>
              <w:instrText xml:space="preserve"> PAGEREF _Toc158208215 \h </w:instrText>
            </w:r>
            <w:r>
              <w:rPr>
                <w:webHidden/>
              </w:rPr>
            </w:r>
            <w:r>
              <w:rPr>
                <w:webHidden/>
              </w:rPr>
              <w:fldChar w:fldCharType="separate"/>
            </w:r>
            <w:r w:rsidR="00C57E03">
              <w:rPr>
                <w:webHidden/>
              </w:rPr>
              <w:t>9</w:t>
            </w:r>
            <w:r>
              <w:rPr>
                <w:webHidden/>
              </w:rPr>
              <w:fldChar w:fldCharType="end"/>
            </w:r>
          </w:hyperlink>
        </w:p>
        <w:p w14:paraId="7F105281" w14:textId="1FF2FD4B" w:rsidR="004F25C1" w:rsidRDefault="004F25C1">
          <w:pPr>
            <w:pStyle w:val="TOC1"/>
            <w:rPr>
              <w:rFonts w:asciiTheme="minorHAnsi" w:eastAsiaTheme="minorEastAsia" w:hAnsiTheme="minorHAnsi"/>
              <w:kern w:val="2"/>
              <w:lang w:eastAsia="en-GB"/>
              <w14:ligatures w14:val="standardContextual"/>
            </w:rPr>
          </w:pPr>
          <w:hyperlink w:anchor="_Toc158208216" w:history="1">
            <w:r w:rsidRPr="00976A8D">
              <w:rPr>
                <w:rStyle w:val="Hyperlink"/>
              </w:rPr>
              <w:t>9</w:t>
            </w:r>
            <w:r>
              <w:rPr>
                <w:rFonts w:asciiTheme="minorHAnsi" w:eastAsiaTheme="minorEastAsia" w:hAnsiTheme="minorHAnsi"/>
                <w:kern w:val="2"/>
                <w:lang w:eastAsia="en-GB"/>
                <w14:ligatures w14:val="standardContextual"/>
              </w:rPr>
              <w:tab/>
            </w:r>
            <w:r w:rsidRPr="00976A8D">
              <w:rPr>
                <w:rStyle w:val="Hyperlink"/>
              </w:rPr>
              <w:t>Suppliers and Contractors</w:t>
            </w:r>
            <w:r>
              <w:rPr>
                <w:webHidden/>
              </w:rPr>
              <w:tab/>
            </w:r>
            <w:r>
              <w:rPr>
                <w:webHidden/>
              </w:rPr>
              <w:fldChar w:fldCharType="begin"/>
            </w:r>
            <w:r>
              <w:rPr>
                <w:webHidden/>
              </w:rPr>
              <w:instrText xml:space="preserve"> PAGEREF _Toc158208216 \h </w:instrText>
            </w:r>
            <w:r>
              <w:rPr>
                <w:webHidden/>
              </w:rPr>
            </w:r>
            <w:r>
              <w:rPr>
                <w:webHidden/>
              </w:rPr>
              <w:fldChar w:fldCharType="separate"/>
            </w:r>
            <w:r w:rsidR="00C57E03">
              <w:rPr>
                <w:webHidden/>
              </w:rPr>
              <w:t>9</w:t>
            </w:r>
            <w:r>
              <w:rPr>
                <w:webHidden/>
              </w:rPr>
              <w:fldChar w:fldCharType="end"/>
            </w:r>
          </w:hyperlink>
        </w:p>
        <w:p w14:paraId="303A1793" w14:textId="2B969BCB" w:rsidR="004F25C1" w:rsidRDefault="004F25C1">
          <w:pPr>
            <w:pStyle w:val="TOC1"/>
            <w:rPr>
              <w:rFonts w:asciiTheme="minorHAnsi" w:eastAsiaTheme="minorEastAsia" w:hAnsiTheme="minorHAnsi"/>
              <w:kern w:val="2"/>
              <w:lang w:eastAsia="en-GB"/>
              <w14:ligatures w14:val="standardContextual"/>
            </w:rPr>
          </w:pPr>
          <w:hyperlink w:anchor="_Toc158208217" w:history="1">
            <w:r w:rsidRPr="00976A8D">
              <w:rPr>
                <w:rStyle w:val="Hyperlink"/>
              </w:rPr>
              <w:t>10</w:t>
            </w:r>
            <w:r>
              <w:rPr>
                <w:rFonts w:asciiTheme="minorHAnsi" w:eastAsiaTheme="minorEastAsia" w:hAnsiTheme="minorHAnsi"/>
                <w:kern w:val="2"/>
                <w:lang w:eastAsia="en-GB"/>
                <w14:ligatures w14:val="standardContextual"/>
              </w:rPr>
              <w:tab/>
            </w:r>
            <w:r w:rsidRPr="00976A8D">
              <w:rPr>
                <w:rStyle w:val="Hyperlink"/>
              </w:rPr>
              <w:t>Standard Operating Procedures</w:t>
            </w:r>
            <w:r>
              <w:rPr>
                <w:webHidden/>
              </w:rPr>
              <w:tab/>
            </w:r>
            <w:r>
              <w:rPr>
                <w:webHidden/>
              </w:rPr>
              <w:fldChar w:fldCharType="begin"/>
            </w:r>
            <w:r>
              <w:rPr>
                <w:webHidden/>
              </w:rPr>
              <w:instrText xml:space="preserve"> PAGEREF _Toc158208217 \h </w:instrText>
            </w:r>
            <w:r>
              <w:rPr>
                <w:webHidden/>
              </w:rPr>
            </w:r>
            <w:r>
              <w:rPr>
                <w:webHidden/>
              </w:rPr>
              <w:fldChar w:fldCharType="separate"/>
            </w:r>
            <w:r w:rsidR="00C57E03">
              <w:rPr>
                <w:webHidden/>
              </w:rPr>
              <w:t>9</w:t>
            </w:r>
            <w:r>
              <w:rPr>
                <w:webHidden/>
              </w:rPr>
              <w:fldChar w:fldCharType="end"/>
            </w:r>
          </w:hyperlink>
        </w:p>
        <w:p w14:paraId="3FA72DDB" w14:textId="06969297" w:rsidR="004F25C1" w:rsidRDefault="004F25C1">
          <w:pPr>
            <w:pStyle w:val="TOC1"/>
            <w:rPr>
              <w:rFonts w:asciiTheme="minorHAnsi" w:eastAsiaTheme="minorEastAsia" w:hAnsiTheme="minorHAnsi"/>
              <w:kern w:val="2"/>
              <w:lang w:eastAsia="en-GB"/>
              <w14:ligatures w14:val="standardContextual"/>
            </w:rPr>
          </w:pPr>
          <w:hyperlink w:anchor="_Toc158208218" w:history="1">
            <w:r w:rsidRPr="00976A8D">
              <w:rPr>
                <w:rStyle w:val="Hyperlink"/>
              </w:rPr>
              <w:t>11</w:t>
            </w:r>
            <w:r>
              <w:rPr>
                <w:rFonts w:asciiTheme="minorHAnsi" w:eastAsiaTheme="minorEastAsia" w:hAnsiTheme="minorHAnsi"/>
                <w:kern w:val="2"/>
                <w:lang w:eastAsia="en-GB"/>
                <w14:ligatures w14:val="standardContextual"/>
              </w:rPr>
              <w:tab/>
            </w:r>
            <w:r w:rsidRPr="00976A8D">
              <w:rPr>
                <w:rStyle w:val="Hyperlink"/>
              </w:rPr>
              <w:t>Roles and Responsibilities</w:t>
            </w:r>
            <w:r>
              <w:rPr>
                <w:webHidden/>
              </w:rPr>
              <w:tab/>
            </w:r>
            <w:r>
              <w:rPr>
                <w:webHidden/>
              </w:rPr>
              <w:fldChar w:fldCharType="begin"/>
            </w:r>
            <w:r>
              <w:rPr>
                <w:webHidden/>
              </w:rPr>
              <w:instrText xml:space="preserve"> PAGEREF _Toc158208218 \h </w:instrText>
            </w:r>
            <w:r>
              <w:rPr>
                <w:webHidden/>
              </w:rPr>
            </w:r>
            <w:r>
              <w:rPr>
                <w:webHidden/>
              </w:rPr>
              <w:fldChar w:fldCharType="separate"/>
            </w:r>
            <w:r w:rsidR="00C57E03">
              <w:rPr>
                <w:webHidden/>
              </w:rPr>
              <w:t>10</w:t>
            </w:r>
            <w:r>
              <w:rPr>
                <w:webHidden/>
              </w:rPr>
              <w:fldChar w:fldCharType="end"/>
            </w:r>
          </w:hyperlink>
        </w:p>
        <w:p w14:paraId="0B970108" w14:textId="5B8785D2" w:rsidR="004F25C1" w:rsidRDefault="004F25C1">
          <w:pPr>
            <w:pStyle w:val="TOC1"/>
            <w:rPr>
              <w:rFonts w:asciiTheme="minorHAnsi" w:eastAsiaTheme="minorEastAsia" w:hAnsiTheme="minorHAnsi"/>
              <w:kern w:val="2"/>
              <w:lang w:eastAsia="en-GB"/>
              <w14:ligatures w14:val="standardContextual"/>
            </w:rPr>
          </w:pPr>
          <w:hyperlink w:anchor="_Toc158208219" w:history="1">
            <w:r w:rsidRPr="00976A8D">
              <w:rPr>
                <w:rStyle w:val="Hyperlink"/>
              </w:rPr>
              <w:t>12</w:t>
            </w:r>
            <w:r>
              <w:rPr>
                <w:rFonts w:asciiTheme="minorHAnsi" w:eastAsiaTheme="minorEastAsia" w:hAnsiTheme="minorHAnsi"/>
                <w:kern w:val="2"/>
                <w:lang w:eastAsia="en-GB"/>
                <w14:ligatures w14:val="standardContextual"/>
              </w:rPr>
              <w:tab/>
            </w:r>
            <w:r w:rsidRPr="00976A8D">
              <w:rPr>
                <w:rStyle w:val="Hyperlink"/>
              </w:rPr>
              <w:t>Training and Monitoring</w:t>
            </w:r>
            <w:r>
              <w:rPr>
                <w:webHidden/>
              </w:rPr>
              <w:tab/>
            </w:r>
            <w:r>
              <w:rPr>
                <w:webHidden/>
              </w:rPr>
              <w:fldChar w:fldCharType="begin"/>
            </w:r>
            <w:r>
              <w:rPr>
                <w:webHidden/>
              </w:rPr>
              <w:instrText xml:space="preserve"> PAGEREF _Toc158208219 \h </w:instrText>
            </w:r>
            <w:r>
              <w:rPr>
                <w:webHidden/>
              </w:rPr>
            </w:r>
            <w:r>
              <w:rPr>
                <w:webHidden/>
              </w:rPr>
              <w:fldChar w:fldCharType="separate"/>
            </w:r>
            <w:r w:rsidR="00C57E03">
              <w:rPr>
                <w:webHidden/>
              </w:rPr>
              <w:t>12</w:t>
            </w:r>
            <w:r>
              <w:rPr>
                <w:webHidden/>
              </w:rPr>
              <w:fldChar w:fldCharType="end"/>
            </w:r>
          </w:hyperlink>
        </w:p>
        <w:p w14:paraId="3B0F348C" w14:textId="1D46822E" w:rsidR="004F25C1" w:rsidRDefault="004F25C1">
          <w:pPr>
            <w:pStyle w:val="TOC1"/>
            <w:rPr>
              <w:rFonts w:asciiTheme="minorHAnsi" w:eastAsiaTheme="minorEastAsia" w:hAnsiTheme="minorHAnsi"/>
              <w:kern w:val="2"/>
              <w:lang w:eastAsia="en-GB"/>
              <w14:ligatures w14:val="standardContextual"/>
            </w:rPr>
          </w:pPr>
          <w:hyperlink w:anchor="_Toc158208220" w:history="1">
            <w:r w:rsidRPr="00976A8D">
              <w:rPr>
                <w:rStyle w:val="Hyperlink"/>
              </w:rPr>
              <w:t>13</w:t>
            </w:r>
            <w:r>
              <w:rPr>
                <w:rFonts w:asciiTheme="minorHAnsi" w:eastAsiaTheme="minorEastAsia" w:hAnsiTheme="minorHAnsi"/>
                <w:kern w:val="2"/>
                <w:lang w:eastAsia="en-GB"/>
                <w14:ligatures w14:val="standardContextual"/>
              </w:rPr>
              <w:tab/>
            </w:r>
            <w:r w:rsidRPr="00976A8D">
              <w:rPr>
                <w:rStyle w:val="Hyperlink"/>
              </w:rPr>
              <w:t>Continuous Improvement</w:t>
            </w:r>
            <w:r>
              <w:rPr>
                <w:webHidden/>
              </w:rPr>
              <w:tab/>
            </w:r>
            <w:r>
              <w:rPr>
                <w:webHidden/>
              </w:rPr>
              <w:fldChar w:fldCharType="begin"/>
            </w:r>
            <w:r>
              <w:rPr>
                <w:webHidden/>
              </w:rPr>
              <w:instrText xml:space="preserve"> PAGEREF _Toc158208220 \h </w:instrText>
            </w:r>
            <w:r>
              <w:rPr>
                <w:webHidden/>
              </w:rPr>
            </w:r>
            <w:r>
              <w:rPr>
                <w:webHidden/>
              </w:rPr>
              <w:fldChar w:fldCharType="separate"/>
            </w:r>
            <w:r w:rsidR="00C57E03">
              <w:rPr>
                <w:webHidden/>
              </w:rPr>
              <w:t>12</w:t>
            </w:r>
            <w:r>
              <w:rPr>
                <w:webHidden/>
              </w:rPr>
              <w:fldChar w:fldCharType="end"/>
            </w:r>
          </w:hyperlink>
        </w:p>
        <w:p w14:paraId="515FB1E1" w14:textId="394F141B" w:rsidR="004F25C1" w:rsidRDefault="004F25C1">
          <w:pPr>
            <w:pStyle w:val="TOC1"/>
            <w:rPr>
              <w:rFonts w:asciiTheme="minorHAnsi" w:eastAsiaTheme="minorEastAsia" w:hAnsiTheme="minorHAnsi"/>
              <w:kern w:val="2"/>
              <w:lang w:eastAsia="en-GB"/>
              <w14:ligatures w14:val="standardContextual"/>
            </w:rPr>
          </w:pPr>
          <w:hyperlink w:anchor="_Toc158208221" w:history="1">
            <w:r w:rsidRPr="00976A8D">
              <w:rPr>
                <w:rStyle w:val="Hyperlink"/>
              </w:rPr>
              <w:t>14</w:t>
            </w:r>
            <w:r>
              <w:rPr>
                <w:rFonts w:asciiTheme="minorHAnsi" w:eastAsiaTheme="minorEastAsia" w:hAnsiTheme="minorHAnsi"/>
                <w:kern w:val="2"/>
                <w:lang w:eastAsia="en-GB"/>
                <w14:ligatures w14:val="standardContextual"/>
              </w:rPr>
              <w:tab/>
            </w:r>
            <w:r w:rsidRPr="00976A8D">
              <w:rPr>
                <w:rStyle w:val="Hyperlink"/>
              </w:rPr>
              <w:t>Communication and Dissemination</w:t>
            </w:r>
            <w:r>
              <w:rPr>
                <w:webHidden/>
              </w:rPr>
              <w:tab/>
            </w:r>
            <w:r>
              <w:rPr>
                <w:webHidden/>
              </w:rPr>
              <w:fldChar w:fldCharType="begin"/>
            </w:r>
            <w:r>
              <w:rPr>
                <w:webHidden/>
              </w:rPr>
              <w:instrText xml:space="preserve"> PAGEREF _Toc158208221 \h </w:instrText>
            </w:r>
            <w:r>
              <w:rPr>
                <w:webHidden/>
              </w:rPr>
            </w:r>
            <w:r>
              <w:rPr>
                <w:webHidden/>
              </w:rPr>
              <w:fldChar w:fldCharType="separate"/>
            </w:r>
            <w:r w:rsidR="00C57E03">
              <w:rPr>
                <w:webHidden/>
              </w:rPr>
              <w:t>12</w:t>
            </w:r>
            <w:r>
              <w:rPr>
                <w:webHidden/>
              </w:rPr>
              <w:fldChar w:fldCharType="end"/>
            </w:r>
          </w:hyperlink>
        </w:p>
        <w:p w14:paraId="5F37E877" w14:textId="7ACE2043" w:rsidR="004F25C1" w:rsidRDefault="004F25C1">
          <w:pPr>
            <w:pStyle w:val="TOC1"/>
            <w:rPr>
              <w:rFonts w:asciiTheme="minorHAnsi" w:eastAsiaTheme="minorEastAsia" w:hAnsiTheme="minorHAnsi"/>
              <w:kern w:val="2"/>
              <w:lang w:eastAsia="en-GB"/>
              <w14:ligatures w14:val="standardContextual"/>
            </w:rPr>
          </w:pPr>
          <w:hyperlink w:anchor="_Toc158208222" w:history="1">
            <w:r w:rsidRPr="00976A8D">
              <w:rPr>
                <w:rStyle w:val="Hyperlink"/>
              </w:rPr>
              <w:t>15</w:t>
            </w:r>
            <w:r>
              <w:rPr>
                <w:rFonts w:asciiTheme="minorHAnsi" w:eastAsiaTheme="minorEastAsia" w:hAnsiTheme="minorHAnsi"/>
                <w:kern w:val="2"/>
                <w:lang w:eastAsia="en-GB"/>
                <w14:ligatures w14:val="standardContextual"/>
              </w:rPr>
              <w:tab/>
            </w:r>
            <w:r w:rsidRPr="00976A8D">
              <w:rPr>
                <w:rStyle w:val="Hyperlink"/>
              </w:rPr>
              <w:t>EDI Impact Assessments</w:t>
            </w:r>
            <w:r>
              <w:rPr>
                <w:webHidden/>
              </w:rPr>
              <w:tab/>
            </w:r>
            <w:r>
              <w:rPr>
                <w:webHidden/>
              </w:rPr>
              <w:fldChar w:fldCharType="begin"/>
            </w:r>
            <w:r>
              <w:rPr>
                <w:webHidden/>
              </w:rPr>
              <w:instrText xml:space="preserve"> PAGEREF _Toc158208222 \h </w:instrText>
            </w:r>
            <w:r>
              <w:rPr>
                <w:webHidden/>
              </w:rPr>
            </w:r>
            <w:r>
              <w:rPr>
                <w:webHidden/>
              </w:rPr>
              <w:fldChar w:fldCharType="separate"/>
            </w:r>
            <w:r w:rsidR="00C57E03">
              <w:rPr>
                <w:webHidden/>
              </w:rPr>
              <w:t>13</w:t>
            </w:r>
            <w:r>
              <w:rPr>
                <w:webHidden/>
              </w:rPr>
              <w:fldChar w:fldCharType="end"/>
            </w:r>
          </w:hyperlink>
        </w:p>
        <w:p w14:paraId="7EDE145D" w14:textId="77BF5E5E" w:rsidR="004F25C1" w:rsidRDefault="004F25C1">
          <w:pPr>
            <w:pStyle w:val="TOC1"/>
            <w:rPr>
              <w:rFonts w:asciiTheme="minorHAnsi" w:eastAsiaTheme="minorEastAsia" w:hAnsiTheme="minorHAnsi"/>
              <w:kern w:val="2"/>
              <w:lang w:eastAsia="en-GB"/>
              <w14:ligatures w14:val="standardContextual"/>
            </w:rPr>
          </w:pPr>
          <w:hyperlink w:anchor="_Toc158208223" w:history="1">
            <w:r w:rsidRPr="00976A8D">
              <w:rPr>
                <w:rStyle w:val="Hyperlink"/>
              </w:rPr>
              <w:t>16</w:t>
            </w:r>
            <w:r>
              <w:rPr>
                <w:rFonts w:asciiTheme="minorHAnsi" w:eastAsiaTheme="minorEastAsia" w:hAnsiTheme="minorHAnsi"/>
                <w:kern w:val="2"/>
                <w:lang w:eastAsia="en-GB"/>
                <w14:ligatures w14:val="standardContextual"/>
              </w:rPr>
              <w:tab/>
            </w:r>
            <w:r w:rsidRPr="00976A8D">
              <w:rPr>
                <w:rStyle w:val="Hyperlink"/>
              </w:rPr>
              <w:t>Resources</w:t>
            </w:r>
            <w:r>
              <w:rPr>
                <w:webHidden/>
              </w:rPr>
              <w:tab/>
            </w:r>
            <w:r>
              <w:rPr>
                <w:webHidden/>
              </w:rPr>
              <w:fldChar w:fldCharType="begin"/>
            </w:r>
            <w:r>
              <w:rPr>
                <w:webHidden/>
              </w:rPr>
              <w:instrText xml:space="preserve"> PAGEREF _Toc158208223 \h </w:instrText>
            </w:r>
            <w:r>
              <w:rPr>
                <w:webHidden/>
              </w:rPr>
            </w:r>
            <w:r>
              <w:rPr>
                <w:webHidden/>
              </w:rPr>
              <w:fldChar w:fldCharType="separate"/>
            </w:r>
            <w:r w:rsidR="00C57E03">
              <w:rPr>
                <w:webHidden/>
              </w:rPr>
              <w:t>13</w:t>
            </w:r>
            <w:r>
              <w:rPr>
                <w:webHidden/>
              </w:rPr>
              <w:fldChar w:fldCharType="end"/>
            </w:r>
          </w:hyperlink>
        </w:p>
        <w:p w14:paraId="28C02CA5" w14:textId="10F8575A" w:rsidR="004F25C1" w:rsidRDefault="004F25C1">
          <w:pPr>
            <w:pStyle w:val="TOC1"/>
            <w:rPr>
              <w:rFonts w:asciiTheme="minorHAnsi" w:eastAsiaTheme="minorEastAsia" w:hAnsiTheme="minorHAnsi"/>
              <w:kern w:val="2"/>
              <w:lang w:eastAsia="en-GB"/>
              <w14:ligatures w14:val="standardContextual"/>
            </w:rPr>
          </w:pPr>
          <w:hyperlink w:anchor="_Toc158208224" w:history="1">
            <w:r w:rsidRPr="00976A8D">
              <w:rPr>
                <w:rStyle w:val="Hyperlink"/>
              </w:rPr>
              <w:t>17</w:t>
            </w:r>
            <w:r>
              <w:rPr>
                <w:rFonts w:asciiTheme="minorHAnsi" w:eastAsiaTheme="minorEastAsia" w:hAnsiTheme="minorHAnsi"/>
                <w:kern w:val="2"/>
                <w:lang w:eastAsia="en-GB"/>
                <w14:ligatures w14:val="standardContextual"/>
              </w:rPr>
              <w:tab/>
            </w:r>
            <w:r w:rsidRPr="00976A8D">
              <w:rPr>
                <w:rStyle w:val="Hyperlink"/>
              </w:rPr>
              <w:t>Appendices</w:t>
            </w:r>
            <w:r>
              <w:rPr>
                <w:webHidden/>
              </w:rPr>
              <w:tab/>
            </w:r>
            <w:r>
              <w:rPr>
                <w:webHidden/>
              </w:rPr>
              <w:fldChar w:fldCharType="begin"/>
            </w:r>
            <w:r>
              <w:rPr>
                <w:webHidden/>
              </w:rPr>
              <w:instrText xml:space="preserve"> PAGEREF _Toc158208224 \h </w:instrText>
            </w:r>
            <w:r>
              <w:rPr>
                <w:webHidden/>
              </w:rPr>
            </w:r>
            <w:r>
              <w:rPr>
                <w:webHidden/>
              </w:rPr>
              <w:fldChar w:fldCharType="separate"/>
            </w:r>
            <w:r w:rsidR="00C57E03">
              <w:rPr>
                <w:webHidden/>
              </w:rPr>
              <w:t>13</w:t>
            </w:r>
            <w:r>
              <w:rPr>
                <w:webHidden/>
              </w:rPr>
              <w:fldChar w:fldCharType="end"/>
            </w:r>
          </w:hyperlink>
        </w:p>
        <w:p w14:paraId="6F7D8F54" w14:textId="35F282A2" w:rsidR="004F25C1" w:rsidRDefault="004F25C1">
          <w:pPr>
            <w:pStyle w:val="TOC1"/>
            <w:rPr>
              <w:rFonts w:asciiTheme="minorHAnsi" w:eastAsiaTheme="minorEastAsia" w:hAnsiTheme="minorHAnsi"/>
              <w:kern w:val="2"/>
              <w:lang w:eastAsia="en-GB"/>
              <w14:ligatures w14:val="standardContextual"/>
            </w:rPr>
          </w:pPr>
          <w:hyperlink w:anchor="_Toc158208225" w:history="1">
            <w:r w:rsidRPr="00976A8D">
              <w:rPr>
                <w:rStyle w:val="Hyperlink"/>
              </w:rPr>
              <w:t>18</w:t>
            </w:r>
            <w:r>
              <w:rPr>
                <w:rFonts w:asciiTheme="minorHAnsi" w:eastAsiaTheme="minorEastAsia" w:hAnsiTheme="minorHAnsi"/>
                <w:kern w:val="2"/>
                <w:lang w:eastAsia="en-GB"/>
                <w14:ligatures w14:val="standardContextual"/>
              </w:rPr>
              <w:tab/>
            </w:r>
            <w:r w:rsidRPr="00976A8D">
              <w:rPr>
                <w:rStyle w:val="Hyperlink"/>
              </w:rPr>
              <w:t>Version Control</w:t>
            </w:r>
            <w:r>
              <w:rPr>
                <w:webHidden/>
              </w:rPr>
              <w:tab/>
            </w:r>
            <w:r>
              <w:rPr>
                <w:webHidden/>
              </w:rPr>
              <w:fldChar w:fldCharType="begin"/>
            </w:r>
            <w:r>
              <w:rPr>
                <w:webHidden/>
              </w:rPr>
              <w:instrText xml:space="preserve"> PAGEREF _Toc158208225 \h </w:instrText>
            </w:r>
            <w:r>
              <w:rPr>
                <w:webHidden/>
              </w:rPr>
            </w:r>
            <w:r>
              <w:rPr>
                <w:webHidden/>
              </w:rPr>
              <w:fldChar w:fldCharType="separate"/>
            </w:r>
            <w:r w:rsidR="00C57E03">
              <w:rPr>
                <w:webHidden/>
              </w:rPr>
              <w:t>18</w:t>
            </w:r>
            <w:r>
              <w:rPr>
                <w:webHidden/>
              </w:rPr>
              <w:fldChar w:fldCharType="end"/>
            </w:r>
          </w:hyperlink>
        </w:p>
        <w:p w14:paraId="008412DC" w14:textId="3EF07E1B" w:rsidR="00DF67AA" w:rsidRPr="002E4B12" w:rsidRDefault="00F91DD0" w:rsidP="002E4B12">
          <w:pPr>
            <w:pStyle w:val="TOC1"/>
          </w:pPr>
          <w:r>
            <w:rPr>
              <w:rFonts w:cs="Arial"/>
              <w:spacing w:val="7"/>
            </w:rPr>
            <w:fldChar w:fldCharType="end"/>
          </w:r>
        </w:p>
      </w:sdtContent>
    </w:sdt>
    <w:p w14:paraId="65D42164" w14:textId="151412C7" w:rsidR="009A0ED4" w:rsidRDefault="009A0ED4" w:rsidP="00D558F5">
      <w:pPr>
        <w:pStyle w:val="Heading1Numbered"/>
      </w:pPr>
      <w:bookmarkStart w:id="6" w:name="_Toc158208208"/>
      <w:r w:rsidRPr="00D558F5">
        <w:t>Introduction</w:t>
      </w:r>
      <w:bookmarkEnd w:id="6"/>
    </w:p>
    <w:p w14:paraId="6218AA4F" w14:textId="06E8B229" w:rsidR="0049379A" w:rsidRDefault="0049379A" w:rsidP="00CD6C47">
      <w:pPr>
        <w:pStyle w:val="Text1Numbered"/>
      </w:pPr>
      <w:r>
        <w:t xml:space="preserve">MHA’s priority is the safety and wellbeing of colleagues, and those who use MHA’s services including residents, tenants, and members, as well as any other visitors. This policy and procedure </w:t>
      </w:r>
      <w:r w:rsidR="004F25C1">
        <w:t>outline</w:t>
      </w:r>
      <w:r>
        <w:t xml:space="preserve"> the business continuity and emergency planning requirements that all MHA services must follow to ensure that</w:t>
      </w:r>
      <w:r w:rsidRPr="0049379A">
        <w:t xml:space="preserve"> critical functions and operations can continue or be rapidly resumed in the face of various disruptions or emergencies.</w:t>
      </w:r>
    </w:p>
    <w:p w14:paraId="2B31DE9F" w14:textId="77777777" w:rsidR="0049379A" w:rsidRDefault="0049379A" w:rsidP="0049379A">
      <w:pPr>
        <w:pStyle w:val="Text1Numbered"/>
        <w:numPr>
          <w:ilvl w:val="0"/>
          <w:numId w:val="0"/>
        </w:numPr>
        <w:ind w:left="1135"/>
      </w:pPr>
    </w:p>
    <w:p w14:paraId="43931494" w14:textId="53ED6EA7" w:rsidR="00CD6C47" w:rsidRPr="004F25C1" w:rsidRDefault="00F12A9F" w:rsidP="00CD6C47">
      <w:pPr>
        <w:pStyle w:val="Text1Numbered"/>
      </w:pPr>
      <w:r>
        <w:t xml:space="preserve">If in the </w:t>
      </w:r>
      <w:r w:rsidR="00CD6C47" w:rsidRPr="004F25C1">
        <w:t xml:space="preserve">event </w:t>
      </w:r>
      <w:r>
        <w:t>of a</w:t>
      </w:r>
      <w:r w:rsidR="00CD6C47" w:rsidRPr="004F25C1">
        <w:t xml:space="preserve"> fire</w:t>
      </w:r>
      <w:r>
        <w:t xml:space="preserve">, </w:t>
      </w:r>
      <w:r w:rsidR="00CD6C47" w:rsidRPr="004F25C1">
        <w:t>flood</w:t>
      </w:r>
      <w:r>
        <w:t xml:space="preserve">, </w:t>
      </w:r>
      <w:r w:rsidR="00CD6C47" w:rsidRPr="004F25C1">
        <w:t xml:space="preserve">gas leak </w:t>
      </w:r>
      <w:r>
        <w:t xml:space="preserve">or </w:t>
      </w:r>
      <w:r w:rsidR="00CD6C47" w:rsidRPr="004F25C1">
        <w:t>explosion</w:t>
      </w:r>
      <w:r>
        <w:t>, which</w:t>
      </w:r>
      <w:r w:rsidR="00CD6C47" w:rsidRPr="004F25C1">
        <w:t xml:space="preserve"> requires full evacuation to a place of safety </w:t>
      </w:r>
      <w:r w:rsidR="00A5434A">
        <w:t xml:space="preserve">refer to </w:t>
      </w:r>
      <w:r w:rsidRPr="00F12A9F">
        <w:rPr>
          <w:u w:val="single"/>
        </w:rPr>
        <w:t>Incident Response and Escalation</w:t>
      </w:r>
      <w:r>
        <w:t xml:space="preserve"> </w:t>
      </w:r>
      <w:r w:rsidRPr="00F12A9F">
        <w:rPr>
          <w:u w:val="single"/>
        </w:rPr>
        <w:t>Policy</w:t>
      </w:r>
      <w:r>
        <w:t xml:space="preserve"> for guidance on escalating to relevant senior managers.  For any suspicious or potentially intentional activity MHA’s </w:t>
      </w:r>
      <w:r w:rsidR="00A5434A" w:rsidRPr="00F12A9F">
        <w:rPr>
          <w:u w:val="single"/>
        </w:rPr>
        <w:t>Terrorism, Suspicious</w:t>
      </w:r>
      <w:r w:rsidR="00A5434A">
        <w:t xml:space="preserve"> </w:t>
      </w:r>
      <w:r w:rsidR="00A5434A" w:rsidRPr="00F12A9F">
        <w:rPr>
          <w:u w:val="single"/>
        </w:rPr>
        <w:t>Behaviours, Packages and Bomb Threats Policy</w:t>
      </w:r>
      <w:r w:rsidR="00A5434A">
        <w:t xml:space="preserve"> </w:t>
      </w:r>
      <w:r>
        <w:t>can be referred to for guidance</w:t>
      </w:r>
      <w:r w:rsidR="00A5434A">
        <w:t xml:space="preserve"> regarding specific situations.</w:t>
      </w:r>
    </w:p>
    <w:p w14:paraId="4688629E" w14:textId="77777777" w:rsidR="002E4B12" w:rsidRDefault="009A0ED4" w:rsidP="002E4B12">
      <w:pPr>
        <w:pStyle w:val="Heading1Numbered"/>
      </w:pPr>
      <w:bookmarkStart w:id="7" w:name="_Toc158208209"/>
      <w:r w:rsidRPr="00EF3699">
        <w:t xml:space="preserve">Scope </w:t>
      </w:r>
      <w:r w:rsidR="001310BB" w:rsidRPr="00EF3699">
        <w:t>and</w:t>
      </w:r>
      <w:r w:rsidRPr="00EF3699">
        <w:t xml:space="preserve"> </w:t>
      </w:r>
      <w:r w:rsidRPr="00D558F5">
        <w:t>Purpose</w:t>
      </w:r>
      <w:bookmarkEnd w:id="7"/>
    </w:p>
    <w:p w14:paraId="3C9D020A" w14:textId="22413CBA" w:rsidR="0049379A" w:rsidRDefault="0049379A" w:rsidP="007A7447">
      <w:pPr>
        <w:pStyle w:val="Text1Numbered"/>
      </w:pPr>
      <w:r>
        <w:t>This policy is relevant to all MHA services including Care Homes, Retirement Living, MHA Communities, and Central support. The standard operating procedures are aimed directly at Care Homes and Retirement Living.</w:t>
      </w:r>
    </w:p>
    <w:p w14:paraId="66367486" w14:textId="77777777" w:rsidR="0049379A" w:rsidRDefault="0049379A" w:rsidP="0049379A">
      <w:pPr>
        <w:pStyle w:val="Text1Numbered"/>
        <w:numPr>
          <w:ilvl w:val="0"/>
          <w:numId w:val="0"/>
        </w:numPr>
        <w:ind w:left="1135"/>
      </w:pPr>
    </w:p>
    <w:p w14:paraId="793C1CAA" w14:textId="603F54B3" w:rsidR="00D40DD9" w:rsidRDefault="0049379A" w:rsidP="007A7447">
      <w:pPr>
        <w:pStyle w:val="Text1Numbered"/>
      </w:pPr>
      <w:r>
        <w:t>This policy aims to ensure that MHA, when it comes to business continuity, can:</w:t>
      </w:r>
    </w:p>
    <w:p w14:paraId="72930399" w14:textId="456BADCD" w:rsidR="007A7447" w:rsidRDefault="0049379A" w:rsidP="007A7447">
      <w:pPr>
        <w:pStyle w:val="Textlistindented-bullet"/>
      </w:pPr>
      <w:r>
        <w:t>R</w:t>
      </w:r>
      <w:r w:rsidR="007A7447">
        <w:t xml:space="preserve">espond all day, every day - </w:t>
      </w:r>
      <w:r w:rsidR="004F25C1">
        <w:t>twenty-four</w:t>
      </w:r>
      <w:r w:rsidR="007A7447">
        <w:t xml:space="preserve"> hours a day, seven days a week.</w:t>
      </w:r>
    </w:p>
    <w:p w14:paraId="0CFDF56D" w14:textId="1F1D9069" w:rsidR="007A7447" w:rsidRDefault="0049379A" w:rsidP="007A7447">
      <w:pPr>
        <w:pStyle w:val="Textlistindented-bullet"/>
      </w:pPr>
      <w:r>
        <w:t>M</w:t>
      </w:r>
      <w:r w:rsidR="007A7447">
        <w:t>inimise and control damage.</w:t>
      </w:r>
    </w:p>
    <w:p w14:paraId="05BD1F5B" w14:textId="30714E26" w:rsidR="007A7447" w:rsidRDefault="0049379A" w:rsidP="007A7447">
      <w:pPr>
        <w:pStyle w:val="Textlistindented-bullet"/>
      </w:pPr>
      <w:r>
        <w:t>M</w:t>
      </w:r>
      <w:r w:rsidR="007A7447">
        <w:t>ake sure that care and support carries on with the least amount of disruption.</w:t>
      </w:r>
    </w:p>
    <w:p w14:paraId="4368A7D9" w14:textId="1335A6EF" w:rsidR="007A7447" w:rsidRDefault="0049379A" w:rsidP="007A7447">
      <w:pPr>
        <w:pStyle w:val="Textlistindented-bullet"/>
      </w:pPr>
      <w:r>
        <w:t>M</w:t>
      </w:r>
      <w:r w:rsidR="007A7447">
        <w:t>ake sure that normal working is resumed in the shortest possible time.</w:t>
      </w:r>
    </w:p>
    <w:p w14:paraId="32DD938E" w14:textId="4A1928F5" w:rsidR="007A7447" w:rsidRDefault="0049379A" w:rsidP="007A7447">
      <w:pPr>
        <w:pStyle w:val="Textlistindented-bullet"/>
      </w:pPr>
      <w:r>
        <w:t>S</w:t>
      </w:r>
      <w:r w:rsidR="007A7447">
        <w:t xml:space="preserve">afeguard the people using our services, </w:t>
      </w:r>
      <w:r w:rsidR="00CD6C47">
        <w:t>colleague</w:t>
      </w:r>
      <w:r w:rsidR="007A7447">
        <w:t xml:space="preserve">, </w:t>
      </w:r>
      <w:r w:rsidR="004F25C1">
        <w:t>visitors,</w:t>
      </w:r>
      <w:r w:rsidR="007A7447">
        <w:t xml:space="preserve"> and contractors.</w:t>
      </w:r>
    </w:p>
    <w:p w14:paraId="79727DDB" w14:textId="58DC6C8B" w:rsidR="007A7447" w:rsidRDefault="0049379A" w:rsidP="007A7447">
      <w:pPr>
        <w:pStyle w:val="Textlistindented-bullet"/>
      </w:pPr>
      <w:r>
        <w:lastRenderedPageBreak/>
        <w:t>A</w:t>
      </w:r>
      <w:r w:rsidR="007A7447">
        <w:t>void long term disruption for people using our services.</w:t>
      </w:r>
    </w:p>
    <w:p w14:paraId="38534181" w14:textId="09EB62F2" w:rsidR="007A7447" w:rsidRDefault="0049379A" w:rsidP="007A7447">
      <w:pPr>
        <w:pStyle w:val="Textlistindented-bullet"/>
      </w:pPr>
      <w:r>
        <w:t>E</w:t>
      </w:r>
      <w:r w:rsidR="007A7447">
        <w:t>ffectively manage our emergency (disaster) management plans, media and / or insurance interests.</w:t>
      </w:r>
    </w:p>
    <w:p w14:paraId="6D04D0F2" w14:textId="6F99DC6C" w:rsidR="007A7447" w:rsidRDefault="0049379A" w:rsidP="007A7447">
      <w:pPr>
        <w:pStyle w:val="Textlistindented-bullet"/>
      </w:pPr>
      <w:r>
        <w:t>M</w:t>
      </w:r>
      <w:r w:rsidR="007A7447">
        <w:t>aintain public and customer confidence.</w:t>
      </w:r>
    </w:p>
    <w:p w14:paraId="6CD0C102" w14:textId="0549E8D3" w:rsidR="007A7447" w:rsidRDefault="0049379A" w:rsidP="007A7447">
      <w:pPr>
        <w:pStyle w:val="Textlistindented-bullet"/>
      </w:pPr>
      <w:r>
        <w:t>M</w:t>
      </w:r>
      <w:r w:rsidR="007A7447">
        <w:t xml:space="preserve">ake sure of the immediate &amp; </w:t>
      </w:r>
      <w:r w:rsidR="004F25C1">
        <w:t>long-term</w:t>
      </w:r>
      <w:r w:rsidR="007A7447">
        <w:t xml:space="preserve"> security and protection of our business interests.</w:t>
      </w:r>
    </w:p>
    <w:p w14:paraId="1F89558D" w14:textId="7E97D6E9" w:rsidR="007A7447" w:rsidRDefault="0049379A" w:rsidP="007A7447">
      <w:pPr>
        <w:pStyle w:val="Textlistindented-bullet"/>
      </w:pPr>
      <w:r>
        <w:t>M</w:t>
      </w:r>
      <w:r w:rsidR="007A7447">
        <w:t xml:space="preserve">eet legal </w:t>
      </w:r>
      <w:r w:rsidR="00F12A9F">
        <w:t>and</w:t>
      </w:r>
      <w:r w:rsidR="007A7447">
        <w:t xml:space="preserve"> regulatory requirements.</w:t>
      </w:r>
    </w:p>
    <w:p w14:paraId="12249AB9" w14:textId="77777777" w:rsidR="00DF67AA" w:rsidRPr="00EF3699" w:rsidRDefault="009A0ED4" w:rsidP="00EC4F61">
      <w:pPr>
        <w:pStyle w:val="Heading1Numbered"/>
      </w:pPr>
      <w:bookmarkStart w:id="8" w:name="_Toc158208210"/>
      <w:r w:rsidRPr="00EF3699">
        <w:t>Definitions</w:t>
      </w:r>
      <w:bookmarkEnd w:id="8"/>
    </w:p>
    <w:tbl>
      <w:tblPr>
        <w:tblStyle w:val="MHATable"/>
        <w:tblW w:w="0" w:type="auto"/>
        <w:tblLook w:val="04A0" w:firstRow="1" w:lastRow="0" w:firstColumn="1" w:lastColumn="0" w:noHBand="0" w:noVBand="1"/>
      </w:tblPr>
      <w:tblGrid>
        <w:gridCol w:w="1555"/>
        <w:gridCol w:w="7938"/>
      </w:tblGrid>
      <w:tr w:rsidR="00D40DD9" w:rsidRPr="004C3545" w14:paraId="23DE14E2" w14:textId="77777777" w:rsidTr="00705ABB">
        <w:trPr>
          <w:cnfStyle w:val="100000000000" w:firstRow="1" w:lastRow="0" w:firstColumn="0" w:lastColumn="0" w:oddVBand="0" w:evenVBand="0" w:oddHBand="0" w:evenHBand="0" w:firstRowFirstColumn="0" w:firstRowLastColumn="0" w:lastRowFirstColumn="0" w:lastRowLastColumn="0"/>
          <w:tblHeader/>
        </w:trPr>
        <w:tc>
          <w:tcPr>
            <w:tcW w:w="1555" w:type="dxa"/>
            <w:shd w:val="clear" w:color="auto" w:fill="217593"/>
          </w:tcPr>
          <w:p w14:paraId="21507384" w14:textId="77777777" w:rsidR="00D40DD9" w:rsidRPr="004C3545" w:rsidRDefault="00D40DD9" w:rsidP="00737EDE">
            <w:r>
              <w:t>Term</w:t>
            </w:r>
          </w:p>
        </w:tc>
        <w:tc>
          <w:tcPr>
            <w:tcW w:w="7938" w:type="dxa"/>
            <w:shd w:val="clear" w:color="auto" w:fill="217593"/>
          </w:tcPr>
          <w:p w14:paraId="266C4D4C" w14:textId="77777777" w:rsidR="00D40DD9" w:rsidRPr="004C3545" w:rsidRDefault="00D40DD9" w:rsidP="00737EDE">
            <w:r>
              <w:t>Definition</w:t>
            </w:r>
          </w:p>
        </w:tc>
      </w:tr>
      <w:tr w:rsidR="00D40DD9" w:rsidRPr="004C3545" w14:paraId="234AC902" w14:textId="77777777" w:rsidTr="0007452B">
        <w:tc>
          <w:tcPr>
            <w:tcW w:w="1555" w:type="dxa"/>
          </w:tcPr>
          <w:p w14:paraId="19D3E564" w14:textId="52103311" w:rsidR="00D40DD9" w:rsidRPr="007A7447" w:rsidRDefault="007A7447" w:rsidP="00737EDE">
            <w:pPr>
              <w:rPr>
                <w:b/>
                <w:bCs/>
              </w:rPr>
            </w:pPr>
            <w:r w:rsidRPr="007A7447">
              <w:rPr>
                <w:b/>
                <w:bCs/>
              </w:rPr>
              <w:t>Business Continuity</w:t>
            </w:r>
          </w:p>
        </w:tc>
        <w:tc>
          <w:tcPr>
            <w:tcW w:w="7938" w:type="dxa"/>
          </w:tcPr>
          <w:p w14:paraId="1029CEE5" w14:textId="040C8CCC" w:rsidR="0049379A" w:rsidRDefault="0049379A" w:rsidP="0049379A">
            <w:pPr>
              <w:pStyle w:val="Textlist-bullet"/>
            </w:pPr>
            <w:r>
              <w:t xml:space="preserve">Refers to the strategic and </w:t>
            </w:r>
            <w:r w:rsidR="004F25C1">
              <w:t>integrated approach</w:t>
            </w:r>
            <w:r>
              <w:t xml:space="preserve"> that an organisation takes to ensure it’s critical functions and operations can continue or be rapidly resumed in the face of various disruptions or emergencies.</w:t>
            </w:r>
          </w:p>
          <w:p w14:paraId="7844FE57" w14:textId="6BE151B0" w:rsidR="0049379A" w:rsidRDefault="0049379A" w:rsidP="0049379A">
            <w:pPr>
              <w:pStyle w:val="Textlist-bullet"/>
            </w:pPr>
            <w:r>
              <w:t>Involves identifying potential risks, developing plans and processes to mitigate risks, and implementing measure to maintain essential business functions during adverse situations.</w:t>
            </w:r>
          </w:p>
          <w:p w14:paraId="7113E526" w14:textId="4E88401D" w:rsidR="0049379A" w:rsidRPr="004C3545" w:rsidRDefault="0049379A" w:rsidP="0049379A">
            <w:pPr>
              <w:pStyle w:val="Textlist-bullet"/>
            </w:pPr>
            <w:r>
              <w:t>The goal of business continuity is to minimise downtime, protect assets, and sustain overall business operations allowing the organisation to recover from unexpected events effectively.</w:t>
            </w:r>
          </w:p>
        </w:tc>
      </w:tr>
      <w:tr w:rsidR="007A7447" w:rsidRPr="004C3545" w14:paraId="0DCD3F47" w14:textId="77777777" w:rsidTr="0007452B">
        <w:tc>
          <w:tcPr>
            <w:tcW w:w="1555" w:type="dxa"/>
          </w:tcPr>
          <w:p w14:paraId="6E88C3B0" w14:textId="5EC2FBC9" w:rsidR="007A7447" w:rsidRPr="007A7447" w:rsidRDefault="007A7447" w:rsidP="00737EDE">
            <w:pPr>
              <w:rPr>
                <w:b/>
                <w:bCs/>
              </w:rPr>
            </w:pPr>
            <w:r>
              <w:rPr>
                <w:b/>
                <w:bCs/>
              </w:rPr>
              <w:t>Business Continuity Threats</w:t>
            </w:r>
          </w:p>
        </w:tc>
        <w:tc>
          <w:tcPr>
            <w:tcW w:w="7938" w:type="dxa"/>
          </w:tcPr>
          <w:p w14:paraId="528D95CD" w14:textId="1CB9EFCE" w:rsidR="007A7447" w:rsidRDefault="007A7447" w:rsidP="007A7447">
            <w:pPr>
              <w:pStyle w:val="Textlist-bullet"/>
            </w:pPr>
            <w:r w:rsidRPr="007A7447">
              <w:t>Business continuity is threatened by things</w:t>
            </w:r>
            <w:r>
              <w:t xml:space="preserve"> and events</w:t>
            </w:r>
            <w:r w:rsidRPr="007A7447">
              <w:t xml:space="preserve"> that may go wrong which have implications for the service offered because of interruption, inconvenience, or disruption. </w:t>
            </w:r>
            <w:r>
              <w:t>For example:</w:t>
            </w:r>
          </w:p>
          <w:p w14:paraId="30400C3B" w14:textId="3EDFD184" w:rsidR="007A7447" w:rsidRDefault="00F12A9F" w:rsidP="007A7447">
            <w:pPr>
              <w:pStyle w:val="Textlist-bullet"/>
              <w:numPr>
                <w:ilvl w:val="0"/>
                <w:numId w:val="35"/>
              </w:numPr>
            </w:pPr>
            <w:r>
              <w:t>Power cut</w:t>
            </w:r>
          </w:p>
          <w:p w14:paraId="24220927" w14:textId="56AF0208" w:rsidR="007A7447" w:rsidRDefault="00F12A9F" w:rsidP="007A7447">
            <w:pPr>
              <w:pStyle w:val="Textlist-bullet"/>
              <w:numPr>
                <w:ilvl w:val="0"/>
                <w:numId w:val="35"/>
              </w:numPr>
            </w:pPr>
            <w:r>
              <w:t>Gas leak</w:t>
            </w:r>
          </w:p>
          <w:p w14:paraId="48C5EF37" w14:textId="47A936A7" w:rsidR="007A7447" w:rsidRDefault="00F12A9F" w:rsidP="007A7447">
            <w:pPr>
              <w:pStyle w:val="Textlist-bullet"/>
              <w:numPr>
                <w:ilvl w:val="0"/>
                <w:numId w:val="35"/>
              </w:numPr>
            </w:pPr>
            <w:r>
              <w:t>Boiler (water / heating) failure</w:t>
            </w:r>
          </w:p>
          <w:p w14:paraId="6C76E6D9" w14:textId="11E4B283" w:rsidR="007A7447" w:rsidRDefault="00F12A9F" w:rsidP="007A7447">
            <w:pPr>
              <w:pStyle w:val="Textlist-bullet"/>
              <w:numPr>
                <w:ilvl w:val="0"/>
                <w:numId w:val="35"/>
              </w:numPr>
            </w:pPr>
            <w:r>
              <w:t>Adverse weather (snow)</w:t>
            </w:r>
          </w:p>
          <w:p w14:paraId="2882F2D1" w14:textId="783A34BF" w:rsidR="007A7447" w:rsidRDefault="00F12A9F" w:rsidP="007A7447">
            <w:pPr>
              <w:pStyle w:val="Textlist-bullet"/>
              <w:numPr>
                <w:ilvl w:val="0"/>
                <w:numId w:val="35"/>
              </w:numPr>
            </w:pPr>
            <w:r>
              <w:t>Minor flood</w:t>
            </w:r>
          </w:p>
          <w:p w14:paraId="42AA09A0" w14:textId="4D41543A" w:rsidR="007A7447" w:rsidRDefault="00F12A9F" w:rsidP="007A7447">
            <w:pPr>
              <w:pStyle w:val="Textlist-bullet"/>
              <w:numPr>
                <w:ilvl w:val="0"/>
                <w:numId w:val="35"/>
              </w:numPr>
            </w:pPr>
            <w:r>
              <w:t>Minor fire</w:t>
            </w:r>
          </w:p>
          <w:p w14:paraId="0FC82F5A" w14:textId="19EDE34A" w:rsidR="007A7447" w:rsidRPr="004C3545" w:rsidRDefault="00F12A9F" w:rsidP="007A7447">
            <w:pPr>
              <w:pStyle w:val="Textlist-bullet"/>
              <w:numPr>
                <w:ilvl w:val="0"/>
                <w:numId w:val="35"/>
              </w:numPr>
            </w:pPr>
            <w:r>
              <w:lastRenderedPageBreak/>
              <w:t>Cyber-attack, information breach, technical</w:t>
            </w:r>
            <w:r w:rsidR="007A7447">
              <w:t xml:space="preserve"> </w:t>
            </w:r>
            <w:proofErr w:type="gramStart"/>
            <w:r>
              <w:t>failure</w:t>
            </w:r>
            <w:proofErr w:type="gramEnd"/>
            <w:r>
              <w:t xml:space="preserve"> </w:t>
            </w:r>
            <w:r w:rsidR="007A7447">
              <w:t>or phone failures</w:t>
            </w:r>
          </w:p>
        </w:tc>
      </w:tr>
      <w:tr w:rsidR="00D40DD9" w:rsidRPr="004C3545" w14:paraId="42328448" w14:textId="77777777" w:rsidTr="0007452B">
        <w:tc>
          <w:tcPr>
            <w:tcW w:w="1555" w:type="dxa"/>
          </w:tcPr>
          <w:p w14:paraId="070E2247" w14:textId="5D9D1627" w:rsidR="00D40DD9" w:rsidRPr="007A7447" w:rsidRDefault="007A7447" w:rsidP="00737EDE">
            <w:pPr>
              <w:rPr>
                <w:b/>
                <w:bCs/>
              </w:rPr>
            </w:pPr>
            <w:r w:rsidRPr="007A7447">
              <w:rPr>
                <w:b/>
                <w:bCs/>
              </w:rPr>
              <w:lastRenderedPageBreak/>
              <w:t>Emergency</w:t>
            </w:r>
          </w:p>
        </w:tc>
        <w:tc>
          <w:tcPr>
            <w:tcW w:w="7938" w:type="dxa"/>
          </w:tcPr>
          <w:p w14:paraId="4445BB62" w14:textId="076F9879" w:rsidR="00D40DD9" w:rsidRPr="004C3545" w:rsidRDefault="0049379A" w:rsidP="007A7447">
            <w:pPr>
              <w:pStyle w:val="Textlist-bullet"/>
            </w:pPr>
            <w:r>
              <w:t>A sudden, unexpected, and often critical situation that required immediate attention and action to address potential harm, loss, or damage.</w:t>
            </w:r>
          </w:p>
        </w:tc>
      </w:tr>
      <w:tr w:rsidR="007A7447" w:rsidRPr="004C3545" w14:paraId="53115382" w14:textId="77777777" w:rsidTr="0007452B">
        <w:tc>
          <w:tcPr>
            <w:tcW w:w="1555" w:type="dxa"/>
          </w:tcPr>
          <w:p w14:paraId="4A030712" w14:textId="7B6B32F1" w:rsidR="007A7447" w:rsidRPr="007A7447" w:rsidRDefault="007A7447" w:rsidP="00737EDE">
            <w:pPr>
              <w:rPr>
                <w:b/>
                <w:bCs/>
              </w:rPr>
            </w:pPr>
            <w:r>
              <w:rPr>
                <w:b/>
                <w:bCs/>
              </w:rPr>
              <w:t>Emergency Planning</w:t>
            </w:r>
          </w:p>
        </w:tc>
        <w:tc>
          <w:tcPr>
            <w:tcW w:w="7938" w:type="dxa"/>
          </w:tcPr>
          <w:p w14:paraId="71332B4E" w14:textId="429860F7" w:rsidR="007A7447" w:rsidRPr="004C3545" w:rsidRDefault="0049379A" w:rsidP="007A7447">
            <w:pPr>
              <w:pStyle w:val="Textlist-bullet"/>
            </w:pPr>
            <w:r>
              <w:t>A structured process of developing and organisation detailed strategies, procedures, and resources to effectively respond to and manage emergencies or unexpected events.</w:t>
            </w:r>
          </w:p>
        </w:tc>
      </w:tr>
      <w:tr w:rsidR="0007452B" w:rsidRPr="004C3545" w14:paraId="53A17853" w14:textId="77777777" w:rsidTr="0007452B">
        <w:tc>
          <w:tcPr>
            <w:tcW w:w="1555" w:type="dxa"/>
          </w:tcPr>
          <w:p w14:paraId="549664AF" w14:textId="6BA7C668" w:rsidR="0007452B" w:rsidRDefault="0007452B" w:rsidP="00737EDE">
            <w:pPr>
              <w:rPr>
                <w:b/>
                <w:bCs/>
              </w:rPr>
            </w:pPr>
            <w:r>
              <w:rPr>
                <w:b/>
                <w:bCs/>
              </w:rPr>
              <w:t>Evacuation</w:t>
            </w:r>
          </w:p>
        </w:tc>
        <w:tc>
          <w:tcPr>
            <w:tcW w:w="7938" w:type="dxa"/>
          </w:tcPr>
          <w:p w14:paraId="6926C752" w14:textId="77777777" w:rsidR="0007452B" w:rsidRDefault="0007452B" w:rsidP="007A7447">
            <w:pPr>
              <w:pStyle w:val="Textlist-bullet"/>
            </w:pPr>
            <w:r>
              <w:t>The organisation and controlled relocation of individuals or assets from a potentially hazardous or dangerous area to a safer location. This can be:</w:t>
            </w:r>
          </w:p>
          <w:p w14:paraId="3D29EDE9" w14:textId="36759BA2" w:rsidR="0007452B" w:rsidRDefault="0007452B" w:rsidP="0007452B">
            <w:pPr>
              <w:pStyle w:val="Textlist-bullet"/>
              <w:numPr>
                <w:ilvl w:val="0"/>
                <w:numId w:val="35"/>
              </w:numPr>
            </w:pPr>
            <w:r w:rsidRPr="0007452B">
              <w:rPr>
                <w:b/>
                <w:bCs/>
              </w:rPr>
              <w:t>Partial evacuation</w:t>
            </w:r>
            <w:r>
              <w:t xml:space="preserve"> of people and / or belongings to other parts of the building (temporary for business continuity).</w:t>
            </w:r>
          </w:p>
          <w:p w14:paraId="0C98E521" w14:textId="32150D36" w:rsidR="0007452B" w:rsidRDefault="0007452B" w:rsidP="0007452B">
            <w:pPr>
              <w:pStyle w:val="Textlist-bullet"/>
              <w:numPr>
                <w:ilvl w:val="0"/>
                <w:numId w:val="35"/>
              </w:numPr>
            </w:pPr>
            <w:r w:rsidRPr="0007452B">
              <w:rPr>
                <w:b/>
                <w:bCs/>
              </w:rPr>
              <w:t>Total evacuation</w:t>
            </w:r>
            <w:r>
              <w:t xml:space="preserve"> of people to outside of building (temporary for business continuity) – unlikely due to ‘zone’ system but possible.</w:t>
            </w:r>
          </w:p>
          <w:p w14:paraId="28A16B63" w14:textId="47AF4BDC" w:rsidR="0007452B" w:rsidRDefault="0007452B" w:rsidP="0007452B">
            <w:pPr>
              <w:pStyle w:val="Textlist-bullet"/>
              <w:numPr>
                <w:ilvl w:val="0"/>
                <w:numId w:val="35"/>
              </w:numPr>
              <w:spacing w:before="0"/>
            </w:pPr>
            <w:r w:rsidRPr="0007452B">
              <w:rPr>
                <w:b/>
                <w:bCs/>
              </w:rPr>
              <w:t>Full</w:t>
            </w:r>
            <w:r>
              <w:t xml:space="preserve"> </w:t>
            </w:r>
            <w:r w:rsidRPr="0007452B">
              <w:rPr>
                <w:b/>
                <w:bCs/>
              </w:rPr>
              <w:t>evacuation</w:t>
            </w:r>
            <w:r>
              <w:t xml:space="preserve"> of people and / or belongings to a place of safety (emergency disaster management plan).</w:t>
            </w:r>
          </w:p>
        </w:tc>
      </w:tr>
      <w:tr w:rsidR="007A7447" w:rsidRPr="004C3545" w14:paraId="15BD7BB0" w14:textId="77777777" w:rsidTr="0007452B">
        <w:tc>
          <w:tcPr>
            <w:tcW w:w="1555" w:type="dxa"/>
          </w:tcPr>
          <w:p w14:paraId="48A83D42" w14:textId="2A0B41B6" w:rsidR="007A7447" w:rsidRDefault="007A7447" w:rsidP="00737EDE">
            <w:pPr>
              <w:rPr>
                <w:b/>
                <w:bCs/>
              </w:rPr>
            </w:pPr>
            <w:r>
              <w:rPr>
                <w:b/>
                <w:bCs/>
              </w:rPr>
              <w:t>Disaster</w:t>
            </w:r>
          </w:p>
        </w:tc>
        <w:tc>
          <w:tcPr>
            <w:tcW w:w="7938" w:type="dxa"/>
          </w:tcPr>
          <w:p w14:paraId="387F9176" w14:textId="32774B6F" w:rsidR="007A7447" w:rsidRDefault="007A7447" w:rsidP="00FF52AB">
            <w:pPr>
              <w:pStyle w:val="Textlist-bullet"/>
            </w:pPr>
            <w:r>
              <w:t>A disaster is so called because of the potential to cause serious or fatal harm to people or permanent damage to MHA property. Examples include:</w:t>
            </w:r>
          </w:p>
          <w:p w14:paraId="10FC2E11" w14:textId="7221C372" w:rsidR="007A7447" w:rsidRDefault="007A7447" w:rsidP="007A7447">
            <w:pPr>
              <w:pStyle w:val="Textlist-bullet"/>
              <w:numPr>
                <w:ilvl w:val="0"/>
                <w:numId w:val="35"/>
              </w:numPr>
            </w:pPr>
            <w:r>
              <w:t>Fire</w:t>
            </w:r>
          </w:p>
          <w:p w14:paraId="357FFF9E" w14:textId="0357F8D2" w:rsidR="007A7447" w:rsidRDefault="007A7447" w:rsidP="007A7447">
            <w:pPr>
              <w:pStyle w:val="Textlist-bullet"/>
              <w:numPr>
                <w:ilvl w:val="0"/>
                <w:numId w:val="35"/>
              </w:numPr>
            </w:pPr>
            <w:r>
              <w:t>Explosion</w:t>
            </w:r>
          </w:p>
          <w:p w14:paraId="0A7E2825" w14:textId="48699ADF" w:rsidR="007A7447" w:rsidRDefault="007A7447" w:rsidP="007A7447">
            <w:pPr>
              <w:pStyle w:val="Textlist-bullet"/>
              <w:numPr>
                <w:ilvl w:val="0"/>
                <w:numId w:val="35"/>
              </w:numPr>
            </w:pPr>
            <w:r>
              <w:t>Flood</w:t>
            </w:r>
          </w:p>
          <w:p w14:paraId="7942E0F8" w14:textId="792CAD71" w:rsidR="007A7447" w:rsidRPr="004C3545" w:rsidRDefault="007A7447" w:rsidP="007A7447">
            <w:pPr>
              <w:pStyle w:val="Textlist-bullet"/>
              <w:numPr>
                <w:ilvl w:val="0"/>
                <w:numId w:val="35"/>
              </w:numPr>
              <w:spacing w:before="0"/>
            </w:pPr>
            <w:r>
              <w:t>Building collapse</w:t>
            </w:r>
          </w:p>
        </w:tc>
      </w:tr>
    </w:tbl>
    <w:p w14:paraId="2709844A" w14:textId="77777777" w:rsidR="008D6213" w:rsidRDefault="008D6213" w:rsidP="00903AA2">
      <w:pPr>
        <w:rPr>
          <w:rFonts w:cs="Arial"/>
          <w:spacing w:val="7"/>
        </w:rPr>
      </w:pPr>
    </w:p>
    <w:p w14:paraId="535E6C00" w14:textId="77777777" w:rsidR="00F12A9F" w:rsidRDefault="00F12A9F" w:rsidP="00903AA2">
      <w:pPr>
        <w:rPr>
          <w:rFonts w:cs="Arial"/>
          <w:spacing w:val="7"/>
        </w:rPr>
      </w:pPr>
    </w:p>
    <w:p w14:paraId="17F4F35F" w14:textId="77777777" w:rsidR="00F12A9F" w:rsidRDefault="00F12A9F" w:rsidP="00903AA2">
      <w:pPr>
        <w:rPr>
          <w:rFonts w:cs="Arial"/>
          <w:spacing w:val="7"/>
        </w:rPr>
      </w:pPr>
    </w:p>
    <w:p w14:paraId="38AD2E1C" w14:textId="77777777" w:rsidR="0007452B" w:rsidRDefault="0007452B" w:rsidP="0007452B">
      <w:pPr>
        <w:pStyle w:val="Heading1Numbered"/>
      </w:pPr>
      <w:bookmarkStart w:id="9" w:name="_Toc158208211"/>
      <w:r>
        <w:lastRenderedPageBreak/>
        <w:t>Business Continuity Threats</w:t>
      </w:r>
      <w:bookmarkEnd w:id="9"/>
    </w:p>
    <w:p w14:paraId="66CEA84F" w14:textId="32FEE8BA" w:rsidR="0007452B" w:rsidRDefault="0007452B" w:rsidP="0007452B">
      <w:pPr>
        <w:pStyle w:val="Text1Numbered"/>
      </w:pPr>
      <w:r>
        <w:t>The main message is to ‘deal with it’ and inform people that it’s happening</w:t>
      </w:r>
      <w:r w:rsidR="004F25C1">
        <w:t xml:space="preserve">. </w:t>
      </w:r>
      <w:r>
        <w:t xml:space="preserve">colleagues on duty must not put people at risk by delay, for example - a distinct smell of gas means that colleague must isolate the supply, stop all flammable activity, open </w:t>
      </w:r>
      <w:r w:rsidR="004F25C1">
        <w:t>windows,</w:t>
      </w:r>
      <w:r>
        <w:t xml:space="preserve"> and contact The National Grid Emergency Helpline – formally Transco (0800 111 999) before contacting the manager / on call manager</w:t>
      </w:r>
      <w:r w:rsidR="004F25C1">
        <w:t xml:space="preserve">. </w:t>
      </w:r>
    </w:p>
    <w:p w14:paraId="211BCB1F" w14:textId="77777777" w:rsidR="0007452B" w:rsidRDefault="0007452B" w:rsidP="0007452B">
      <w:pPr>
        <w:pStyle w:val="Text1Numbered"/>
        <w:numPr>
          <w:ilvl w:val="0"/>
          <w:numId w:val="0"/>
        </w:numPr>
        <w:ind w:left="1135"/>
      </w:pPr>
    </w:p>
    <w:p w14:paraId="424C37BB" w14:textId="77777777" w:rsidR="0007452B" w:rsidRDefault="0007452B" w:rsidP="0007452B">
      <w:pPr>
        <w:pStyle w:val="Text1Numbered"/>
      </w:pPr>
      <w:r>
        <w:t>If the Home/Scheme Manager is not on the premises, colleagues must have the autonomy to modify the guidance below:</w:t>
      </w:r>
    </w:p>
    <w:p w14:paraId="0102E81D" w14:textId="5D6E1A38" w:rsidR="0007452B" w:rsidRDefault="0007452B" w:rsidP="0007452B">
      <w:pPr>
        <w:pStyle w:val="Textlistindented-bullet"/>
      </w:pPr>
      <w:r w:rsidRPr="00CD6C47">
        <w:rPr>
          <w:b/>
          <w:bCs/>
        </w:rPr>
        <w:t>Between 7am and 11pm</w:t>
      </w:r>
      <w:r>
        <w:t xml:space="preserve">, the colleague in charge of the Home/Scheme must ascertain the home manager </w:t>
      </w:r>
      <w:r w:rsidR="00471BCF">
        <w:t>or</w:t>
      </w:r>
      <w:r>
        <w:t xml:space="preserve"> deputy manager on call’s permission to contact the relevant 24 hour call out service to remedy the event</w:t>
      </w:r>
      <w:r w:rsidR="004F25C1">
        <w:t xml:space="preserve">. </w:t>
      </w:r>
      <w:r>
        <w:t>The Home/Scheme Manager must inform their area manager at the first reasonable opportunity, that this call has been made.</w:t>
      </w:r>
    </w:p>
    <w:p w14:paraId="678F5894" w14:textId="77777777" w:rsidR="0007452B" w:rsidRDefault="0007452B" w:rsidP="0007452B">
      <w:pPr>
        <w:pStyle w:val="Textlistindented-bullet"/>
        <w:numPr>
          <w:ilvl w:val="0"/>
          <w:numId w:val="0"/>
        </w:numPr>
        <w:ind w:left="1559"/>
      </w:pPr>
    </w:p>
    <w:p w14:paraId="014620E1" w14:textId="74B3B8B7" w:rsidR="0007452B" w:rsidRDefault="0007452B" w:rsidP="0007452B">
      <w:pPr>
        <w:pStyle w:val="Textlistindented-bullet"/>
      </w:pPr>
      <w:r w:rsidRPr="00CD6C47">
        <w:rPr>
          <w:b/>
          <w:bCs/>
        </w:rPr>
        <w:t>Between 11 pm and 7 am</w:t>
      </w:r>
      <w:r>
        <w:t xml:space="preserve"> the colleague in charge of the Home/Scheme must contact the relevant 24 hour call out service to remedy the event</w:t>
      </w:r>
      <w:r w:rsidR="004F25C1">
        <w:t xml:space="preserve">. </w:t>
      </w:r>
      <w:r>
        <w:t>At the first reasonable opportunity, the colleague in charge must inform the Home/Scheme Manager who must inform their area manager that this call has been made.</w:t>
      </w:r>
    </w:p>
    <w:p w14:paraId="7A680105" w14:textId="77777777" w:rsidR="0007452B" w:rsidRDefault="0007452B" w:rsidP="0007452B">
      <w:pPr>
        <w:pStyle w:val="Textlistindented-bullet"/>
        <w:numPr>
          <w:ilvl w:val="0"/>
          <w:numId w:val="0"/>
        </w:numPr>
        <w:ind w:left="1559"/>
      </w:pPr>
    </w:p>
    <w:p w14:paraId="02FC203F" w14:textId="3D5705C7" w:rsidR="0007452B" w:rsidRDefault="0007452B" w:rsidP="0007452B">
      <w:pPr>
        <w:pStyle w:val="Textlistindented-bullet"/>
      </w:pPr>
      <w:r w:rsidRPr="00CD6C47">
        <w:rPr>
          <w:b/>
          <w:bCs/>
        </w:rPr>
        <w:t>Out of Hours</w:t>
      </w:r>
      <w:r>
        <w:t xml:space="preserve"> </w:t>
      </w:r>
      <w:r w:rsidRPr="00CD6C47">
        <w:t xml:space="preserve">If the disruption is out of hours colleagues must follow the procedures set out in the </w:t>
      </w:r>
      <w:r w:rsidR="00705ABB" w:rsidRPr="00471BCF">
        <w:rPr>
          <w:u w:val="single"/>
        </w:rPr>
        <w:t xml:space="preserve">Incident </w:t>
      </w:r>
      <w:r w:rsidR="00705ABB" w:rsidRPr="00705ABB">
        <w:rPr>
          <w:u w:val="single"/>
        </w:rPr>
        <w:t>Response and Escalation Policy</w:t>
      </w:r>
      <w:r w:rsidRPr="00CD6C47">
        <w:t>.</w:t>
      </w:r>
      <w:r w:rsidR="00471BCF">
        <w:t xml:space="preserve"> Out of hours on call rotas are available on MHA Connect </w:t>
      </w:r>
      <w:hyperlink r:id="rId9" w:history="1">
        <w:r w:rsidR="00471BCF">
          <w:rPr>
            <w:rStyle w:val="Hyperlink"/>
          </w:rPr>
          <w:t>Emergency out-of-hours call out rotas</w:t>
        </w:r>
      </w:hyperlink>
      <w:r w:rsidR="00471BCF">
        <w:t xml:space="preserve"> </w:t>
      </w:r>
    </w:p>
    <w:p w14:paraId="1D6DC078" w14:textId="0DAA03BD" w:rsidR="0007452B" w:rsidRDefault="0007452B" w:rsidP="0007452B">
      <w:pPr>
        <w:pStyle w:val="Text1Numbered"/>
      </w:pPr>
      <w:r>
        <w:t>If the interruption to / disruption to the service is likely to last for more than 4 hours, a senior manager must be informed at the earliest opportunity</w:t>
      </w:r>
      <w:r w:rsidR="004F25C1">
        <w:t xml:space="preserve">. </w:t>
      </w:r>
    </w:p>
    <w:p w14:paraId="45E744FE" w14:textId="77777777" w:rsidR="0007452B" w:rsidRDefault="0007452B" w:rsidP="0007452B">
      <w:pPr>
        <w:pStyle w:val="Text1Numbered"/>
        <w:numPr>
          <w:ilvl w:val="0"/>
          <w:numId w:val="0"/>
        </w:numPr>
        <w:ind w:left="1135"/>
      </w:pPr>
    </w:p>
    <w:p w14:paraId="5DB40D0C" w14:textId="41CA8944" w:rsidR="0007452B" w:rsidRDefault="0007452B" w:rsidP="0007452B">
      <w:pPr>
        <w:pStyle w:val="Text1Numbered"/>
      </w:pPr>
      <w:r>
        <w:t xml:space="preserve">For specific threat examples and response plans, refer to </w:t>
      </w:r>
      <w:r w:rsidRPr="0007452B">
        <w:rPr>
          <w:b/>
          <w:bCs/>
        </w:rPr>
        <w:t>Appendix 1</w:t>
      </w:r>
      <w:r w:rsidRPr="0007452B">
        <w:t>.</w:t>
      </w:r>
    </w:p>
    <w:p w14:paraId="5D14336D" w14:textId="190E7F3B" w:rsidR="007A7447" w:rsidRPr="007A7447" w:rsidRDefault="007A7447" w:rsidP="007A7447">
      <w:pPr>
        <w:pStyle w:val="Heading1Numbered"/>
      </w:pPr>
      <w:bookmarkStart w:id="10" w:name="_Toc158208212"/>
      <w:r w:rsidRPr="007A7447">
        <w:lastRenderedPageBreak/>
        <w:t>Evacuation</w:t>
      </w:r>
      <w:bookmarkEnd w:id="10"/>
      <w:r w:rsidRPr="007A7447">
        <w:t xml:space="preserve"> </w:t>
      </w:r>
    </w:p>
    <w:p w14:paraId="4726D0AC" w14:textId="0273DCDF" w:rsidR="00CD6C47" w:rsidRDefault="00CD6C47" w:rsidP="00CD6C47">
      <w:pPr>
        <w:pStyle w:val="Text1Numbered"/>
      </w:pPr>
      <w:r>
        <w:t>I</w:t>
      </w:r>
      <w:r w:rsidRPr="00CD6C47">
        <w:t xml:space="preserve">n extreme circumstances, the person in charge of the building may need to take the decision to evacuate the building before the emergency services arrive. However, </w:t>
      </w:r>
      <w:r w:rsidR="004F25C1">
        <w:t>colleagues</w:t>
      </w:r>
      <w:r w:rsidRPr="00CD6C47">
        <w:t xml:space="preserve"> should initially follow the same procedure as they would for fire evacuation</w:t>
      </w:r>
      <w:r>
        <w:t xml:space="preserve"> </w:t>
      </w:r>
      <w:r w:rsidR="00A5434A">
        <w:t xml:space="preserve">refer to </w:t>
      </w:r>
      <w:r w:rsidR="00A5434A" w:rsidRPr="00A5434A">
        <w:rPr>
          <w:u w:val="single"/>
        </w:rPr>
        <w:t>Fire Safety Policies and Procedures.</w:t>
      </w:r>
    </w:p>
    <w:p w14:paraId="1351AC09" w14:textId="77777777" w:rsidR="00B6194D" w:rsidRPr="00CD6C47" w:rsidRDefault="00B6194D" w:rsidP="00B6194D">
      <w:pPr>
        <w:pStyle w:val="Text1Numbered"/>
        <w:numPr>
          <w:ilvl w:val="0"/>
          <w:numId w:val="0"/>
        </w:numPr>
        <w:ind w:left="1135"/>
      </w:pPr>
    </w:p>
    <w:p w14:paraId="542459A2" w14:textId="77777777" w:rsidR="00B6194D" w:rsidRDefault="00B6194D" w:rsidP="00B6194D">
      <w:pPr>
        <w:pStyle w:val="Text1Numbered"/>
      </w:pPr>
      <w:r>
        <w:t>If possible (but not at the risk of injury), colleagues must try to take the following during an evacuation:</w:t>
      </w:r>
    </w:p>
    <w:p w14:paraId="118F6F8D" w14:textId="09492B9A" w:rsidR="00B6194D" w:rsidRDefault="00705ABB" w:rsidP="00B6194D">
      <w:pPr>
        <w:pStyle w:val="Textlistindented-bullet"/>
      </w:pPr>
      <w:r>
        <w:t xml:space="preserve">The emergency ‘grab bag / box’ including the fire </w:t>
      </w:r>
      <w:r w:rsidR="00A5434A">
        <w:t>emergency file</w:t>
      </w:r>
    </w:p>
    <w:p w14:paraId="46B72394" w14:textId="2D14152C" w:rsidR="00B6194D" w:rsidRDefault="00705ABB" w:rsidP="00B6194D">
      <w:pPr>
        <w:pStyle w:val="Textlistindented-bullet"/>
      </w:pPr>
      <w:r>
        <w:t>Medications</w:t>
      </w:r>
    </w:p>
    <w:p w14:paraId="7ADCB6CF" w14:textId="350BF410" w:rsidR="00B6194D" w:rsidRDefault="00705ABB" w:rsidP="00B6194D">
      <w:pPr>
        <w:pStyle w:val="Textlistindented-bullet"/>
      </w:pPr>
      <w:r>
        <w:t>Laptop</w:t>
      </w:r>
    </w:p>
    <w:p w14:paraId="005E1F6F" w14:textId="34ECF93E" w:rsidR="00B6194D" w:rsidRDefault="00705ABB" w:rsidP="00B6194D">
      <w:pPr>
        <w:pStyle w:val="Textlistindented-bullet"/>
      </w:pPr>
      <w:r>
        <w:t>Spare keys and</w:t>
      </w:r>
    </w:p>
    <w:p w14:paraId="35E89F18" w14:textId="0331A42B" w:rsidR="00B6194D" w:rsidRDefault="00705ABB" w:rsidP="00B6194D">
      <w:pPr>
        <w:pStyle w:val="Textlistindented-bullet"/>
      </w:pPr>
      <w:r>
        <w:t>Residents’ records.</w:t>
      </w:r>
    </w:p>
    <w:p w14:paraId="52699F10" w14:textId="4EB8C3EC" w:rsidR="00B6194D" w:rsidRDefault="00705ABB" w:rsidP="00B6194D">
      <w:pPr>
        <w:pStyle w:val="Textlistindented-bullet"/>
      </w:pPr>
      <w:r>
        <w:t>Phone</w:t>
      </w:r>
    </w:p>
    <w:p w14:paraId="3D094EBE" w14:textId="77777777" w:rsidR="007A7447" w:rsidRDefault="007A7447" w:rsidP="007A7447">
      <w:pPr>
        <w:pStyle w:val="Text1Numbered"/>
      </w:pPr>
      <w:r>
        <w:t xml:space="preserve">Disaster events </w:t>
      </w:r>
      <w:r w:rsidRPr="007A7447">
        <w:t>may require full evacuation to a place of safety for some or all of the people living on the premises because of</w:t>
      </w:r>
      <w:r>
        <w:t>:</w:t>
      </w:r>
    </w:p>
    <w:p w14:paraId="291EB680" w14:textId="576E93DC" w:rsidR="007A7447" w:rsidRDefault="00705ABB" w:rsidP="007A7447">
      <w:pPr>
        <w:pStyle w:val="Textlistindented-bullet"/>
      </w:pPr>
      <w:r>
        <w:t>Significant damage which makes part or all of the premises uninhabitable.</w:t>
      </w:r>
    </w:p>
    <w:p w14:paraId="1A4C206C" w14:textId="0F3CC08D" w:rsidR="007A7447" w:rsidRDefault="00705ABB" w:rsidP="007A7447">
      <w:pPr>
        <w:pStyle w:val="Textlistindented-bullet"/>
      </w:pPr>
      <w:r>
        <w:t xml:space="preserve">Loss of, or permanent damage to equipment which means that </w:t>
      </w:r>
      <w:r w:rsidR="00CD6C47">
        <w:t>colleague</w:t>
      </w:r>
      <w:r w:rsidR="007A7447">
        <w:t xml:space="preserve"> cannot provide care </w:t>
      </w:r>
      <w:r w:rsidR="00471BCF">
        <w:t>and</w:t>
      </w:r>
      <w:r w:rsidR="007A7447">
        <w:t xml:space="preserve"> support to people.</w:t>
      </w:r>
    </w:p>
    <w:p w14:paraId="7584937E" w14:textId="316CBB8F" w:rsidR="007A7447" w:rsidRDefault="00705ABB" w:rsidP="007A7447">
      <w:pPr>
        <w:pStyle w:val="Textlistindented-bullet"/>
      </w:pPr>
      <w:r>
        <w:t xml:space="preserve">No water supply, </w:t>
      </w:r>
      <w:r w:rsidR="004F25C1">
        <w:t>electricity,</w:t>
      </w:r>
      <w:r w:rsidR="007A7447">
        <w:t xml:space="preserve"> or other utilities for more than two days.</w:t>
      </w:r>
    </w:p>
    <w:p w14:paraId="7A1B34D1" w14:textId="2301BE50" w:rsidR="007A7447" w:rsidRDefault="00705ABB" w:rsidP="007A7447">
      <w:pPr>
        <w:pStyle w:val="Textlistindented-bullet"/>
      </w:pPr>
      <w:r>
        <w:t>Colleague</w:t>
      </w:r>
      <w:r w:rsidR="007A7447">
        <w:t xml:space="preserve"> cannot get into or leave the premises.</w:t>
      </w:r>
    </w:p>
    <w:p w14:paraId="3324E553" w14:textId="347EE58D" w:rsidR="00D40DD9" w:rsidRDefault="007A7447" w:rsidP="00D40DD9">
      <w:pPr>
        <w:pStyle w:val="Heading1Numbered"/>
      </w:pPr>
      <w:bookmarkStart w:id="11" w:name="_Toc158208213"/>
      <w:r>
        <w:t>Emergency Disaster Management Plan</w:t>
      </w:r>
      <w:r w:rsidR="005F1BBF">
        <w:t xml:space="preserve"> </w:t>
      </w:r>
      <w:bookmarkEnd w:id="11"/>
    </w:p>
    <w:p w14:paraId="70A4D133" w14:textId="25B398CE" w:rsidR="0007452B" w:rsidRPr="00705ABB" w:rsidRDefault="007A7447" w:rsidP="007A7447">
      <w:pPr>
        <w:pStyle w:val="Text1Numbered"/>
        <w:rPr>
          <w:u w:val="single"/>
        </w:rPr>
      </w:pPr>
      <w:r w:rsidRPr="007A7447">
        <w:t xml:space="preserve">If the event that threatens business continuity goes on for longer than is reasonably expected, </w:t>
      </w:r>
      <w:r w:rsidR="00CD6C47">
        <w:t>colleague</w:t>
      </w:r>
      <w:r w:rsidRPr="007A7447">
        <w:t xml:space="preserve"> may have to implement the </w:t>
      </w:r>
      <w:r w:rsidR="00705ABB" w:rsidRPr="00705ABB">
        <w:rPr>
          <w:u w:val="single"/>
        </w:rPr>
        <w:t>E</w:t>
      </w:r>
      <w:r w:rsidRPr="00705ABB">
        <w:rPr>
          <w:u w:val="single"/>
        </w:rPr>
        <w:t xml:space="preserve">mergency (disaster) </w:t>
      </w:r>
      <w:r w:rsidR="00705ABB" w:rsidRPr="00705ABB">
        <w:rPr>
          <w:u w:val="single"/>
        </w:rPr>
        <w:t>M</w:t>
      </w:r>
      <w:r w:rsidRPr="00705ABB">
        <w:rPr>
          <w:u w:val="single"/>
        </w:rPr>
        <w:t xml:space="preserve">anagement </w:t>
      </w:r>
      <w:r w:rsidR="00705ABB" w:rsidRPr="00705ABB">
        <w:rPr>
          <w:u w:val="single"/>
        </w:rPr>
        <w:t>P</w:t>
      </w:r>
      <w:r w:rsidRPr="00705ABB">
        <w:rPr>
          <w:u w:val="single"/>
        </w:rPr>
        <w:t>lan</w:t>
      </w:r>
      <w:r w:rsidR="00705ABB" w:rsidRPr="00705ABB">
        <w:rPr>
          <w:u w:val="single"/>
        </w:rPr>
        <w:t>.</w:t>
      </w:r>
    </w:p>
    <w:p w14:paraId="7176C88E" w14:textId="77777777" w:rsidR="0007452B" w:rsidRDefault="0007452B" w:rsidP="0007452B">
      <w:pPr>
        <w:pStyle w:val="Text1Numbered"/>
        <w:numPr>
          <w:ilvl w:val="0"/>
          <w:numId w:val="0"/>
        </w:numPr>
        <w:ind w:left="1135"/>
      </w:pPr>
    </w:p>
    <w:p w14:paraId="3B94E03A" w14:textId="0C579A04" w:rsidR="007A7447" w:rsidRDefault="007A7447" w:rsidP="007A7447">
      <w:pPr>
        <w:pStyle w:val="Text1Numbered"/>
      </w:pPr>
      <w:r w:rsidRPr="007A7447">
        <w:t xml:space="preserve">The manager must risk assess the reason for any delay in the restoration of a service and the impact on people using our services / </w:t>
      </w:r>
      <w:r w:rsidR="00CD6C47">
        <w:t>colleague</w:t>
      </w:r>
      <w:r w:rsidR="00705ABB">
        <w:t>s</w:t>
      </w:r>
      <w:r w:rsidRPr="007A7447">
        <w:t xml:space="preserve"> and, in consultation with a senior manager, decide whether to escalate to the </w:t>
      </w:r>
      <w:r w:rsidRPr="007A7447">
        <w:lastRenderedPageBreak/>
        <w:t>emergency (disaster) management plan</w:t>
      </w:r>
      <w:r w:rsidR="004F25C1" w:rsidRPr="007A7447">
        <w:t xml:space="preserve">. </w:t>
      </w:r>
      <w:r w:rsidRPr="007A7447">
        <w:t xml:space="preserve">For example, waiting for a lift part in the event of a lift breakdown may take some days and be a cause of complaints but </w:t>
      </w:r>
      <w:r w:rsidR="00CD6C47">
        <w:t>colleague</w:t>
      </w:r>
      <w:r w:rsidRPr="007A7447">
        <w:t xml:space="preserve"> can arrange contingencies</w:t>
      </w:r>
      <w:r w:rsidR="004F25C1" w:rsidRPr="007A7447">
        <w:t xml:space="preserve">. </w:t>
      </w:r>
      <w:r w:rsidRPr="007A7447">
        <w:t xml:space="preserve">If possible, partial evacuation by moving rooms in the home </w:t>
      </w:r>
      <w:r w:rsidR="00471BCF">
        <w:t>or</w:t>
      </w:r>
      <w:r w:rsidRPr="007A7447">
        <w:t xml:space="preserve"> scheme is more realistic than total </w:t>
      </w:r>
      <w:r w:rsidR="00471BCF">
        <w:t xml:space="preserve">or </w:t>
      </w:r>
      <w:r w:rsidRPr="007A7447">
        <w:t>full evacuation.</w:t>
      </w:r>
    </w:p>
    <w:p w14:paraId="46889B29" w14:textId="77777777" w:rsidR="007A7447" w:rsidRDefault="007A7447" w:rsidP="007A7447">
      <w:pPr>
        <w:pStyle w:val="Text1Numbered"/>
        <w:numPr>
          <w:ilvl w:val="0"/>
          <w:numId w:val="0"/>
        </w:numPr>
        <w:ind w:left="1135"/>
      </w:pPr>
    </w:p>
    <w:p w14:paraId="4AB74C86" w14:textId="77777777" w:rsidR="007A7447" w:rsidRDefault="007A7447" w:rsidP="007A7447">
      <w:pPr>
        <w:pStyle w:val="Text1Numbered"/>
      </w:pPr>
      <w:r w:rsidRPr="007A7447">
        <w:t>The manager must make sure that the emergency (Disaster) Management Plan relevant to the location is</w:t>
      </w:r>
      <w:r>
        <w:t>:</w:t>
      </w:r>
    </w:p>
    <w:p w14:paraId="74FF8306" w14:textId="42C08023" w:rsidR="007A7447" w:rsidRDefault="00705ABB" w:rsidP="007A7447">
      <w:pPr>
        <w:pStyle w:val="Textlistindented-bullet"/>
      </w:pPr>
      <w:r>
        <w:t xml:space="preserve">Kept in the service locality and accessible to </w:t>
      </w:r>
      <w:r w:rsidR="00CD6C47">
        <w:t>colleague</w:t>
      </w:r>
      <w:r w:rsidR="007A7447">
        <w:t xml:space="preserve"> – for example, emergency file in emergency bag / box.</w:t>
      </w:r>
    </w:p>
    <w:p w14:paraId="09526EED" w14:textId="269EC022" w:rsidR="007A7447" w:rsidRDefault="00705ABB" w:rsidP="007A7447">
      <w:pPr>
        <w:pStyle w:val="Textlistindented-bullet"/>
      </w:pPr>
      <w:r>
        <w:t xml:space="preserve">Discussed with </w:t>
      </w:r>
      <w:r w:rsidR="00CD6C47">
        <w:t>colleague</w:t>
      </w:r>
      <w:r w:rsidR="007A7447">
        <w:t xml:space="preserve"> in preparation for an incident.</w:t>
      </w:r>
    </w:p>
    <w:p w14:paraId="3A762362" w14:textId="246C17CE" w:rsidR="007A7447" w:rsidRDefault="00705ABB" w:rsidP="007A7447">
      <w:pPr>
        <w:pStyle w:val="Textlistindented-bullet"/>
      </w:pPr>
      <w:r>
        <w:t>Stored on the MHA intranet ‘emergency plans</w:t>
      </w:r>
      <w:r w:rsidR="004F25C1">
        <w:t>.’</w:t>
      </w:r>
    </w:p>
    <w:p w14:paraId="0A54D325" w14:textId="367480C9" w:rsidR="00CD6C47" w:rsidRDefault="00CD6C47" w:rsidP="00CD6C47">
      <w:pPr>
        <w:pStyle w:val="Text1Numbered"/>
      </w:pPr>
      <w:r>
        <w:t>The priority in disaster management must be:</w:t>
      </w:r>
    </w:p>
    <w:p w14:paraId="4D72A201" w14:textId="2FC03201" w:rsidR="00CD6C47" w:rsidRDefault="00CD6C47" w:rsidP="00C86B49">
      <w:pPr>
        <w:pStyle w:val="Textlistindented-bullet"/>
      </w:pPr>
      <w:r w:rsidRPr="00CD6C47">
        <w:rPr>
          <w:b/>
          <w:bCs/>
        </w:rPr>
        <w:t>Safety</w:t>
      </w:r>
      <w:r>
        <w:t xml:space="preserve"> - making sure of the ongoing safety of people.</w:t>
      </w:r>
    </w:p>
    <w:p w14:paraId="296C0574" w14:textId="551C2CD5" w:rsidR="00CD6C47" w:rsidRDefault="00CD6C47" w:rsidP="00C038FD">
      <w:pPr>
        <w:pStyle w:val="Textlistindented-bullet"/>
      </w:pPr>
      <w:r w:rsidRPr="00CD6C47">
        <w:rPr>
          <w:b/>
          <w:bCs/>
        </w:rPr>
        <w:t>Communication</w:t>
      </w:r>
      <w:r>
        <w:t xml:space="preserve"> - to people on premises at the time</w:t>
      </w:r>
      <w:r w:rsidR="004F25C1">
        <w:t xml:space="preserve">. </w:t>
      </w:r>
      <w:r>
        <w:t>Phoning others</w:t>
      </w:r>
      <w:r w:rsidR="004F25C1">
        <w:t xml:space="preserve">. </w:t>
      </w:r>
      <w:r>
        <w:t xml:space="preserve">Asking </w:t>
      </w:r>
      <w:r w:rsidR="004F25C1">
        <w:t>colleagues</w:t>
      </w:r>
      <w:r>
        <w:t xml:space="preserve"> to come and help.</w:t>
      </w:r>
    </w:p>
    <w:p w14:paraId="7273AAB9" w14:textId="736A52B1" w:rsidR="00CD6C47" w:rsidRDefault="00CD6C47" w:rsidP="002F69EF">
      <w:pPr>
        <w:pStyle w:val="Textlistindented-bullet"/>
      </w:pPr>
      <w:r w:rsidRPr="00CD6C47">
        <w:rPr>
          <w:b/>
          <w:bCs/>
        </w:rPr>
        <w:t>Service</w:t>
      </w:r>
      <w:r>
        <w:t xml:space="preserve"> </w:t>
      </w:r>
      <w:r w:rsidRPr="00CD6C47">
        <w:rPr>
          <w:b/>
          <w:bCs/>
        </w:rPr>
        <w:t>needs</w:t>
      </w:r>
      <w:r>
        <w:t xml:space="preserve"> - assess, </w:t>
      </w:r>
      <w:r w:rsidR="004F25C1">
        <w:t>identify,</w:t>
      </w:r>
      <w:r>
        <w:t xml:space="preserve"> and salvage or throw away</w:t>
      </w:r>
      <w:r w:rsidR="004F25C1">
        <w:t xml:space="preserve">. </w:t>
      </w:r>
      <w:r>
        <w:t>Arrange for repairs to property / equipment.</w:t>
      </w:r>
    </w:p>
    <w:p w14:paraId="1604AD83" w14:textId="77777777" w:rsidR="00CD6C47" w:rsidRDefault="00CD6C47" w:rsidP="00E30A78">
      <w:pPr>
        <w:pStyle w:val="Textlistindented-bullet"/>
      </w:pPr>
      <w:r w:rsidRPr="00CD6C47">
        <w:rPr>
          <w:b/>
          <w:bCs/>
        </w:rPr>
        <w:t>Restoration</w:t>
      </w:r>
      <w:r>
        <w:t xml:space="preserve"> - risk assess the ‘new’ and the future risk of a repeat event and Identify timescales</w:t>
      </w:r>
    </w:p>
    <w:p w14:paraId="5EE60EA8" w14:textId="267A57CE" w:rsidR="00CD6C47" w:rsidRDefault="00CD6C47" w:rsidP="005B58AA">
      <w:pPr>
        <w:pStyle w:val="Textlistindented-bullet"/>
      </w:pPr>
      <w:r w:rsidRPr="00CD6C47">
        <w:rPr>
          <w:b/>
          <w:bCs/>
        </w:rPr>
        <w:t>Critical</w:t>
      </w:r>
      <w:r>
        <w:t xml:space="preserve"> </w:t>
      </w:r>
      <w:r w:rsidRPr="00CD6C47">
        <w:rPr>
          <w:b/>
          <w:bCs/>
        </w:rPr>
        <w:t>Incident</w:t>
      </w:r>
      <w:r>
        <w:t xml:space="preserve"> </w:t>
      </w:r>
      <w:r w:rsidRPr="00CD6C47">
        <w:rPr>
          <w:b/>
          <w:bCs/>
        </w:rPr>
        <w:t>Analysis</w:t>
      </w:r>
      <w:r>
        <w:t xml:space="preserve"> - report writing and documentation and lessons learnt.</w:t>
      </w:r>
    </w:p>
    <w:p w14:paraId="5C1BF8E7" w14:textId="3260132F" w:rsidR="00B6194D" w:rsidRDefault="00B6194D" w:rsidP="00B6194D">
      <w:pPr>
        <w:pStyle w:val="Text1Numbered"/>
      </w:pPr>
      <w:r>
        <w:t>If possible (but not at the risk of injury</w:t>
      </w:r>
      <w:r w:rsidR="004F25C1">
        <w:t>),</w:t>
      </w:r>
      <w:r>
        <w:t xml:space="preserve"> colleagues must try to:</w:t>
      </w:r>
    </w:p>
    <w:p w14:paraId="795E0534" w14:textId="04E9F444" w:rsidR="00B6194D" w:rsidRDefault="00705ABB" w:rsidP="00B6194D">
      <w:pPr>
        <w:pStyle w:val="Textlistindented-bullet"/>
      </w:pPr>
      <w:r>
        <w:t xml:space="preserve">Isolate the gas and electricity </w:t>
      </w:r>
      <w:r w:rsidR="00B6194D">
        <w:t>supplies.</w:t>
      </w:r>
    </w:p>
    <w:p w14:paraId="26FA9880" w14:textId="7A6A0EDC" w:rsidR="00B6194D" w:rsidRDefault="00705ABB" w:rsidP="00B6194D">
      <w:pPr>
        <w:pStyle w:val="Textlistindented-bullet"/>
      </w:pPr>
      <w:r>
        <w:t>Make sure of no flammable activity (smoking, oxygen, gas) on or near the premises.</w:t>
      </w:r>
    </w:p>
    <w:p w14:paraId="76B91CAC" w14:textId="29BF6CE8" w:rsidR="00B6194D" w:rsidRDefault="00705ABB" w:rsidP="00B6194D">
      <w:pPr>
        <w:pStyle w:val="Textlistindented-bullet"/>
      </w:pPr>
      <w:r>
        <w:t>Turn off any cooking in process.</w:t>
      </w:r>
    </w:p>
    <w:p w14:paraId="7AC46860" w14:textId="77777777" w:rsidR="00B6194D" w:rsidRDefault="00B6194D" w:rsidP="00B6194D">
      <w:pPr>
        <w:pStyle w:val="Textlistindented-bullet"/>
      </w:pPr>
      <w:r>
        <w:t>If the above is not possible, the manager / person in charge must inform the emergency services that this has not been done.</w:t>
      </w:r>
    </w:p>
    <w:p w14:paraId="5C5D88E8" w14:textId="77777777" w:rsidR="005F1BBF" w:rsidRDefault="005F1BBF" w:rsidP="005F1BBF">
      <w:pPr>
        <w:pStyle w:val="Text1Numbered"/>
      </w:pPr>
      <w:r>
        <w:lastRenderedPageBreak/>
        <w:t xml:space="preserve">There must be two local places of safety with disabled access and a secure office facility which will act as a ‘control centre’ for meetings etc. </w:t>
      </w:r>
    </w:p>
    <w:p w14:paraId="7CCD1C1D" w14:textId="77777777" w:rsidR="005F1BBF" w:rsidRDefault="005F1BBF" w:rsidP="005F1BBF">
      <w:pPr>
        <w:pStyle w:val="Text1Numbered"/>
        <w:numPr>
          <w:ilvl w:val="0"/>
          <w:numId w:val="0"/>
        </w:numPr>
        <w:ind w:left="1135"/>
      </w:pPr>
    </w:p>
    <w:p w14:paraId="0B5A05C0" w14:textId="6CDE1779" w:rsidR="005F1BBF" w:rsidRDefault="005F1BBF" w:rsidP="005F1BBF">
      <w:pPr>
        <w:pStyle w:val="Text1Numbered"/>
      </w:pPr>
      <w:r>
        <w:t xml:space="preserve">For advice or assistance with transfer of residents, homes and schemes must know the local authority emergency planning </w:t>
      </w:r>
      <w:r w:rsidR="00705ABB">
        <w:t>or</w:t>
      </w:r>
      <w:r>
        <w:t xml:space="preserve"> disaster management officer’s contact details.</w:t>
      </w:r>
    </w:p>
    <w:p w14:paraId="215605F3" w14:textId="22D1F926" w:rsidR="007A7447" w:rsidRPr="007A7447" w:rsidRDefault="00036895" w:rsidP="00036895">
      <w:pPr>
        <w:pStyle w:val="Heading1Numbered"/>
      </w:pPr>
      <w:bookmarkStart w:id="12" w:name="_Toc158208214"/>
      <w:r>
        <w:t>Emergency Grab Bag</w:t>
      </w:r>
      <w:bookmarkEnd w:id="12"/>
    </w:p>
    <w:p w14:paraId="0F5D8906" w14:textId="2F09F000" w:rsidR="007A7447" w:rsidRDefault="007A7447" w:rsidP="007A7447">
      <w:pPr>
        <w:pStyle w:val="Text1Numbered"/>
      </w:pPr>
      <w:r w:rsidRPr="007A7447">
        <w:t xml:space="preserve">The manager must make sure that an emergency bag / box / container is in an agreed location and is available for </w:t>
      </w:r>
      <w:r w:rsidR="00CD6C47">
        <w:t>colleague</w:t>
      </w:r>
      <w:r w:rsidRPr="007A7447">
        <w:t xml:space="preserve"> to ‘grab and go’ (see internet for an example of a ‘grab and go’ bag)</w:t>
      </w:r>
      <w:r w:rsidR="00036895">
        <w:t>. The bag must contain (at a minimum):</w:t>
      </w:r>
    </w:p>
    <w:p w14:paraId="64A7C9D4" w14:textId="2D033414" w:rsidR="00036895" w:rsidRDefault="00705ABB" w:rsidP="00036895">
      <w:pPr>
        <w:pStyle w:val="Textlistindented-bullet"/>
      </w:pPr>
      <w:r>
        <w:t xml:space="preserve">Hi </w:t>
      </w:r>
      <w:r w:rsidR="00036895">
        <w:t xml:space="preserve">Viz jackets (numbers required relative to the size / number of </w:t>
      </w:r>
      <w:r w:rsidR="00CD6C47">
        <w:t>colleague</w:t>
      </w:r>
      <w:r w:rsidR="00036895">
        <w:t xml:space="preserve"> required to manage an emergency situation).</w:t>
      </w:r>
    </w:p>
    <w:p w14:paraId="13F6A5BB" w14:textId="46029F41" w:rsidR="00036895" w:rsidRDefault="00705ABB" w:rsidP="00036895">
      <w:pPr>
        <w:pStyle w:val="Textlistindented-bullet"/>
      </w:pPr>
      <w:r>
        <w:t xml:space="preserve">Foil </w:t>
      </w:r>
      <w:r w:rsidR="00036895">
        <w:t>blankets (for the number of people living at the service plus 25 for others on site).</w:t>
      </w:r>
    </w:p>
    <w:p w14:paraId="7840B6FF" w14:textId="77777777" w:rsidR="00036895" w:rsidRDefault="00036895" w:rsidP="00036895">
      <w:pPr>
        <w:pStyle w:val="Textlistindented-bullet"/>
      </w:pPr>
      <w:r>
        <w:t>2 torches + spare batteries.</w:t>
      </w:r>
    </w:p>
    <w:p w14:paraId="65B93A16" w14:textId="77777777" w:rsidR="00036895" w:rsidRDefault="00036895" w:rsidP="00036895">
      <w:pPr>
        <w:pStyle w:val="Textlistindented-bullet"/>
      </w:pPr>
      <w:r>
        <w:t>2 clip boards and 2 pens.</w:t>
      </w:r>
    </w:p>
    <w:p w14:paraId="0DF65C1A" w14:textId="56095BFC" w:rsidR="00036895" w:rsidRDefault="00705ABB" w:rsidP="00036895">
      <w:pPr>
        <w:pStyle w:val="Textlistindented-bullet"/>
      </w:pPr>
      <w:r>
        <w:t xml:space="preserve">A </w:t>
      </w:r>
      <w:r w:rsidR="00036895">
        <w:t>first aid kit with extra ‘cool gel’ for burns.</w:t>
      </w:r>
    </w:p>
    <w:p w14:paraId="3F37F975" w14:textId="59572F04" w:rsidR="00036895" w:rsidRDefault="00705ABB" w:rsidP="00036895">
      <w:pPr>
        <w:pStyle w:val="Textlistindented-bullet"/>
      </w:pPr>
      <w:r>
        <w:t xml:space="preserve">A </w:t>
      </w:r>
      <w:r w:rsidR="00036895">
        <w:t>charged mobile phone with £10 credit / or if local poor reception a walkie-talkie set and spare batteries or other reliable means of telecommunication.</w:t>
      </w:r>
    </w:p>
    <w:p w14:paraId="6169D731" w14:textId="04BD5FB2" w:rsidR="00036895" w:rsidRDefault="00705ABB" w:rsidP="00036895">
      <w:pPr>
        <w:pStyle w:val="Textlistindented-bullet"/>
      </w:pPr>
      <w:r>
        <w:t xml:space="preserve">An </w:t>
      </w:r>
      <w:r w:rsidR="00036895">
        <w:t>accessible emergency (fire) file which contains the Emergency (Disaster) Management Plan, and any other information that managers see as relevant</w:t>
      </w:r>
      <w:r w:rsidR="004F25C1">
        <w:t xml:space="preserve">. </w:t>
      </w:r>
      <w:r w:rsidR="00036895">
        <w:t xml:space="preserve">All names, addresses and contact numbers listed must be for emergency use only and </w:t>
      </w:r>
      <w:r w:rsidR="00CD6C47">
        <w:t>colleague</w:t>
      </w:r>
      <w:r w:rsidR="00036895">
        <w:t xml:space="preserve"> must not breach confidentiality or access the numbers for ‘routine’ business.</w:t>
      </w:r>
    </w:p>
    <w:p w14:paraId="1D887C44" w14:textId="35A7D5AB" w:rsidR="00036895" w:rsidRDefault="00036895" w:rsidP="00036895">
      <w:pPr>
        <w:pStyle w:val="Text1Numbered"/>
      </w:pPr>
      <w:r w:rsidRPr="00036895">
        <w:t>Check the contents of the bag / box against the list above at least every three months</w:t>
      </w:r>
      <w:r w:rsidR="00471BCF">
        <w:t xml:space="preserve"> using the </w:t>
      </w:r>
      <w:r w:rsidR="00471BCF" w:rsidRPr="00471BCF">
        <w:rPr>
          <w:u w:val="single"/>
        </w:rPr>
        <w:t xml:space="preserve">Emergency Grab </w:t>
      </w:r>
      <w:r w:rsidR="00471BCF">
        <w:rPr>
          <w:u w:val="single"/>
        </w:rPr>
        <w:t>B</w:t>
      </w:r>
      <w:r w:rsidR="00471BCF" w:rsidRPr="00471BCF">
        <w:rPr>
          <w:u w:val="single"/>
        </w:rPr>
        <w:t>ag Checklist Form</w:t>
      </w:r>
      <w:r w:rsidRPr="00036895">
        <w:t xml:space="preserve">, to ensure all items are present and in date update any relevant list when there is a resident / tenant, </w:t>
      </w:r>
      <w:r w:rsidR="004F25C1">
        <w:t>colleague,</w:t>
      </w:r>
      <w:r w:rsidRPr="00036895">
        <w:t xml:space="preserve"> or supplier change. where relevant, use the mobile phone every month (according to provider instructions) so that the SIM does not expire.</w:t>
      </w:r>
    </w:p>
    <w:p w14:paraId="7E79C593" w14:textId="4B7544D8" w:rsidR="00036895" w:rsidRDefault="0007452B" w:rsidP="00B6194D">
      <w:pPr>
        <w:pStyle w:val="Heading1Numbered"/>
      </w:pPr>
      <w:bookmarkStart w:id="13" w:name="_Toc158208215"/>
      <w:r>
        <w:lastRenderedPageBreak/>
        <w:t>Long Term</w:t>
      </w:r>
      <w:r w:rsidR="00B6194D">
        <w:t xml:space="preserve"> Plans</w:t>
      </w:r>
      <w:bookmarkEnd w:id="13"/>
    </w:p>
    <w:p w14:paraId="01ED5986" w14:textId="4D4EE21B" w:rsidR="00B6194D" w:rsidRDefault="0007452B" w:rsidP="00B6194D">
      <w:pPr>
        <w:pStyle w:val="Text1Numbered"/>
      </w:pPr>
      <w:r>
        <w:t>Long term arrangements will include:</w:t>
      </w:r>
    </w:p>
    <w:p w14:paraId="34CCE4E6" w14:textId="77777777" w:rsidR="00B6194D" w:rsidRDefault="00B6194D" w:rsidP="00B6194D">
      <w:pPr>
        <w:pStyle w:val="Textlistindented-bullet"/>
      </w:pPr>
      <w:r>
        <w:t>Emergency services release of premises.</w:t>
      </w:r>
    </w:p>
    <w:p w14:paraId="33762AB7" w14:textId="4961160F" w:rsidR="00B6194D" w:rsidRDefault="00A5434A" w:rsidP="00B6194D">
      <w:pPr>
        <w:pStyle w:val="Textlistindented-bullet"/>
      </w:pPr>
      <w:r>
        <w:t>Colleagues’</w:t>
      </w:r>
      <w:r w:rsidR="00B6194D">
        <w:t xml:space="preserve"> visits to people that have been relocated, contact with families and stakeholders.</w:t>
      </w:r>
    </w:p>
    <w:p w14:paraId="57517C2E" w14:textId="77777777" w:rsidR="00B6194D" w:rsidRDefault="00B6194D" w:rsidP="00B6194D">
      <w:pPr>
        <w:pStyle w:val="Textlistindented-bullet"/>
      </w:pPr>
      <w:r>
        <w:t>Meetings of a ‘critical response team’ (home manager, area manager, estates representative, IT representative &amp; possibly an HR representative).</w:t>
      </w:r>
    </w:p>
    <w:p w14:paraId="6C15D869" w14:textId="678AB4A0" w:rsidR="00B6194D" w:rsidRDefault="00B6194D" w:rsidP="00B6194D">
      <w:pPr>
        <w:pStyle w:val="Textlistindented-bullet"/>
      </w:pPr>
      <w:r>
        <w:t>Assessment of damage – both the current situation and for a forward plan</w:t>
      </w:r>
      <w:r w:rsidR="004F25C1">
        <w:t xml:space="preserve">. </w:t>
      </w:r>
      <w:r>
        <w:t>This may involve other professionals – for example, surveyors or loss adjusters.</w:t>
      </w:r>
    </w:p>
    <w:p w14:paraId="1D1C1CF9" w14:textId="54FECA18" w:rsidR="00B6194D" w:rsidRDefault="00B6194D" w:rsidP="00B6194D">
      <w:pPr>
        <w:pStyle w:val="Textlistindented-bullet"/>
      </w:pPr>
      <w:r>
        <w:t>Obtaining costings for any re-build</w:t>
      </w:r>
      <w:r w:rsidR="00471BCF">
        <w:t>,</w:t>
      </w:r>
      <w:r>
        <w:t xml:space="preserve"> repair</w:t>
      </w:r>
      <w:r w:rsidR="00471BCF">
        <w:t>,</w:t>
      </w:r>
      <w:r>
        <w:t xml:space="preserve"> redecoration</w:t>
      </w:r>
      <w:r w:rsidR="00471BCF">
        <w:t>, or</w:t>
      </w:r>
      <w:r>
        <w:t xml:space="preserve"> replacement of equipment etc.</w:t>
      </w:r>
    </w:p>
    <w:p w14:paraId="6867C0F2" w14:textId="2F97DF5D" w:rsidR="0007452B" w:rsidRDefault="0007452B" w:rsidP="0007452B">
      <w:pPr>
        <w:pStyle w:val="Heading1Numbered"/>
      </w:pPr>
      <w:bookmarkStart w:id="14" w:name="_Toc158208216"/>
      <w:r>
        <w:t>Suppliers and Contractors</w:t>
      </w:r>
      <w:bookmarkEnd w:id="14"/>
    </w:p>
    <w:p w14:paraId="18008C7F" w14:textId="1D5F6F05" w:rsidR="0007452B" w:rsidRDefault="0007452B" w:rsidP="0007452B">
      <w:pPr>
        <w:pStyle w:val="Text1Numbered"/>
      </w:pPr>
      <w:r>
        <w:t>Throughout the process of business continuity management, it is worth considering which external organisations play a part in your home or schemes critical functions:</w:t>
      </w:r>
    </w:p>
    <w:p w14:paraId="62BDCB19" w14:textId="77777777" w:rsidR="0007452B" w:rsidRDefault="0007452B" w:rsidP="0007452B">
      <w:pPr>
        <w:pStyle w:val="Textlistindented-bullet"/>
      </w:pPr>
      <w:r>
        <w:t>What if one of these organisations suffered a disruption or went out of business?</w:t>
      </w:r>
    </w:p>
    <w:p w14:paraId="03263957" w14:textId="77777777" w:rsidR="0007452B" w:rsidRDefault="0007452B" w:rsidP="0007452B">
      <w:pPr>
        <w:pStyle w:val="Textlistindented-bullet"/>
      </w:pPr>
      <w:r>
        <w:t>Have you identified ways of “filling the gap” at short notice?</w:t>
      </w:r>
    </w:p>
    <w:p w14:paraId="7F198081" w14:textId="5E859E99" w:rsidR="00B6194D" w:rsidRDefault="005F1BBF" w:rsidP="00B6194D">
      <w:pPr>
        <w:pStyle w:val="Heading1Numbered"/>
      </w:pPr>
      <w:bookmarkStart w:id="15" w:name="_Toc158208217"/>
      <w:r>
        <w:t>Standard Operating Procedures</w:t>
      </w:r>
      <w:bookmarkEnd w:id="15"/>
    </w:p>
    <w:tbl>
      <w:tblPr>
        <w:tblStyle w:val="MHATable"/>
        <w:tblW w:w="0" w:type="auto"/>
        <w:tblLook w:val="04A0" w:firstRow="1" w:lastRow="0" w:firstColumn="1" w:lastColumn="0" w:noHBand="0" w:noVBand="1"/>
      </w:tblPr>
      <w:tblGrid>
        <w:gridCol w:w="3256"/>
        <w:gridCol w:w="6237"/>
      </w:tblGrid>
      <w:tr w:rsidR="008C1BDC" w:rsidRPr="004C3545" w14:paraId="16E4DC8B" w14:textId="77777777" w:rsidTr="00C8433A">
        <w:trPr>
          <w:cnfStyle w:val="100000000000" w:firstRow="1" w:lastRow="0" w:firstColumn="0" w:lastColumn="0" w:oddVBand="0" w:evenVBand="0" w:oddHBand="0" w:evenHBand="0" w:firstRowFirstColumn="0" w:firstRowLastColumn="0" w:lastRowFirstColumn="0" w:lastRowLastColumn="0"/>
        </w:trPr>
        <w:tc>
          <w:tcPr>
            <w:tcW w:w="3256" w:type="dxa"/>
            <w:shd w:val="clear" w:color="auto" w:fill="217593"/>
          </w:tcPr>
          <w:p w14:paraId="4EAFE686" w14:textId="7639763F" w:rsidR="008C1BDC" w:rsidRPr="004C3545" w:rsidRDefault="008C1BDC" w:rsidP="000B11BA">
            <w:r>
              <w:t>Requirement</w:t>
            </w:r>
          </w:p>
        </w:tc>
        <w:tc>
          <w:tcPr>
            <w:tcW w:w="6237" w:type="dxa"/>
            <w:shd w:val="clear" w:color="auto" w:fill="217593"/>
          </w:tcPr>
          <w:p w14:paraId="4D2B72ED" w14:textId="746903E9" w:rsidR="008C1BDC" w:rsidRPr="004C3545" w:rsidRDefault="008C1BDC" w:rsidP="000B11BA">
            <w:r>
              <w:t>Details</w:t>
            </w:r>
          </w:p>
        </w:tc>
      </w:tr>
      <w:tr w:rsidR="008C1BDC" w:rsidRPr="004C3545" w14:paraId="7254741B" w14:textId="77777777" w:rsidTr="0007452B">
        <w:tc>
          <w:tcPr>
            <w:tcW w:w="3256" w:type="dxa"/>
          </w:tcPr>
          <w:p w14:paraId="64ED904B" w14:textId="440147E3" w:rsidR="008C1BDC" w:rsidRPr="007A7447" w:rsidRDefault="008C1BDC" w:rsidP="000B11BA">
            <w:pPr>
              <w:rPr>
                <w:b/>
                <w:bCs/>
              </w:rPr>
            </w:pPr>
            <w:r>
              <w:rPr>
                <w:b/>
                <w:bCs/>
              </w:rPr>
              <w:t>E</w:t>
            </w:r>
            <w:r w:rsidRPr="008C1BDC">
              <w:rPr>
                <w:b/>
                <w:bCs/>
              </w:rPr>
              <w:t>mergency fire folder</w:t>
            </w:r>
          </w:p>
        </w:tc>
        <w:tc>
          <w:tcPr>
            <w:tcW w:w="6237" w:type="dxa"/>
          </w:tcPr>
          <w:p w14:paraId="1AA2CB0D" w14:textId="47C78A94" w:rsidR="008C1BDC" w:rsidRPr="004C3545" w:rsidRDefault="008C1BDC" w:rsidP="008C1BDC">
            <w:pPr>
              <w:pStyle w:val="Textlist-bullet"/>
              <w:spacing w:before="0"/>
            </w:pPr>
            <w:r w:rsidRPr="008C1BDC">
              <w:t xml:space="preserve">All homes and schemes must have an emergency fire folder with the following information (or applicable information depending on each home and scheme, refer to the </w:t>
            </w:r>
            <w:r w:rsidR="00471BCF" w:rsidRPr="00471BCF">
              <w:rPr>
                <w:u w:val="single"/>
              </w:rPr>
              <w:t>Fire Safety Policy</w:t>
            </w:r>
            <w:r w:rsidR="00471BCF" w:rsidRPr="008C1BDC">
              <w:t xml:space="preserve"> </w:t>
            </w:r>
          </w:p>
        </w:tc>
      </w:tr>
      <w:tr w:rsidR="008C1BDC" w:rsidRPr="004C3545" w14:paraId="289ADF51" w14:textId="77777777" w:rsidTr="0007452B">
        <w:tc>
          <w:tcPr>
            <w:tcW w:w="3256" w:type="dxa"/>
          </w:tcPr>
          <w:p w14:paraId="2553219D" w14:textId="6142D0AB" w:rsidR="008C1BDC" w:rsidRPr="007A7447" w:rsidRDefault="008C1BDC" w:rsidP="000B11BA">
            <w:pPr>
              <w:rPr>
                <w:b/>
                <w:bCs/>
              </w:rPr>
            </w:pPr>
            <w:r w:rsidRPr="00E328EE">
              <w:rPr>
                <w:b/>
                <w:bCs/>
              </w:rPr>
              <w:lastRenderedPageBreak/>
              <w:t>Business Continuity and Emergency Plan</w:t>
            </w:r>
            <w:r>
              <w:t xml:space="preserve"> </w:t>
            </w:r>
          </w:p>
        </w:tc>
        <w:tc>
          <w:tcPr>
            <w:tcW w:w="6237" w:type="dxa"/>
          </w:tcPr>
          <w:p w14:paraId="013D52B7" w14:textId="5B4FC86F" w:rsidR="008C1BDC" w:rsidRPr="008C1BDC" w:rsidRDefault="008C1BDC" w:rsidP="008C1BDC">
            <w:pPr>
              <w:pStyle w:val="Textlist-bullet"/>
              <w:spacing w:before="0"/>
            </w:pPr>
            <w:r w:rsidRPr="008C1BDC">
              <w:t>All homes and schemes must have a</w:t>
            </w:r>
            <w:r w:rsidR="00471BCF">
              <w:t xml:space="preserve">n </w:t>
            </w:r>
            <w:r w:rsidRPr="00471BCF">
              <w:rPr>
                <w:u w:val="single"/>
              </w:rPr>
              <w:t>Emergency</w:t>
            </w:r>
            <w:r w:rsidRPr="008C1BDC">
              <w:t xml:space="preserve"> </w:t>
            </w:r>
            <w:r w:rsidR="00471BCF" w:rsidRPr="00471BCF">
              <w:rPr>
                <w:u w:val="single"/>
              </w:rPr>
              <w:t xml:space="preserve">Disaster Management </w:t>
            </w:r>
            <w:r w:rsidRPr="00471BCF">
              <w:rPr>
                <w:u w:val="single"/>
              </w:rPr>
              <w:t>Plan</w:t>
            </w:r>
            <w:r w:rsidRPr="008C1BDC">
              <w:t xml:space="preserve"> reviewed annually.</w:t>
            </w:r>
          </w:p>
        </w:tc>
      </w:tr>
      <w:tr w:rsidR="008C1BDC" w:rsidRPr="004C3545" w14:paraId="4ED96091" w14:textId="77777777" w:rsidTr="0007452B">
        <w:tc>
          <w:tcPr>
            <w:tcW w:w="3256" w:type="dxa"/>
          </w:tcPr>
          <w:p w14:paraId="4985B40A" w14:textId="2C981019" w:rsidR="008C1BDC" w:rsidRPr="00E328EE" w:rsidRDefault="008C1BDC" w:rsidP="000B11BA">
            <w:pPr>
              <w:rPr>
                <w:b/>
                <w:bCs/>
              </w:rPr>
            </w:pPr>
            <w:r w:rsidRPr="008C1BDC">
              <w:rPr>
                <w:b/>
                <w:bCs/>
              </w:rPr>
              <w:t>Emergency Supply Contacts Form</w:t>
            </w:r>
            <w:r>
              <w:rPr>
                <w:b/>
                <w:bCs/>
              </w:rPr>
              <w:t xml:space="preserve"> </w:t>
            </w:r>
          </w:p>
        </w:tc>
        <w:tc>
          <w:tcPr>
            <w:tcW w:w="6237" w:type="dxa"/>
          </w:tcPr>
          <w:p w14:paraId="2958CDBC" w14:textId="70B873E1" w:rsidR="008C1BDC" w:rsidRPr="008C1BDC" w:rsidRDefault="008C1BDC" w:rsidP="008C1BDC">
            <w:pPr>
              <w:pStyle w:val="Textlist-bullet"/>
              <w:spacing w:before="0"/>
            </w:pPr>
            <w:r>
              <w:t>C</w:t>
            </w:r>
            <w:r w:rsidRPr="008C1BDC">
              <w:t>ompleted with relevant contacts.</w:t>
            </w:r>
          </w:p>
        </w:tc>
      </w:tr>
      <w:tr w:rsidR="008C1BDC" w:rsidRPr="004C3545" w14:paraId="77F93C8D" w14:textId="77777777" w:rsidTr="0007452B">
        <w:tc>
          <w:tcPr>
            <w:tcW w:w="3256" w:type="dxa"/>
          </w:tcPr>
          <w:p w14:paraId="045A6828" w14:textId="1E522FD9" w:rsidR="008C1BDC" w:rsidRPr="00E328EE" w:rsidRDefault="008C1BDC" w:rsidP="000B11BA">
            <w:pPr>
              <w:rPr>
                <w:b/>
                <w:bCs/>
              </w:rPr>
            </w:pPr>
            <w:r>
              <w:rPr>
                <w:b/>
                <w:bCs/>
              </w:rPr>
              <w:t>Grab Bag</w:t>
            </w:r>
          </w:p>
        </w:tc>
        <w:tc>
          <w:tcPr>
            <w:tcW w:w="6237" w:type="dxa"/>
            <w:vMerge w:val="restart"/>
          </w:tcPr>
          <w:p w14:paraId="34BFA172" w14:textId="6E596E7F" w:rsidR="00471BCF" w:rsidRPr="00471BCF" w:rsidRDefault="008C1BDC" w:rsidP="00471BCF">
            <w:pPr>
              <w:pStyle w:val="Textlist-bullet"/>
              <w:rPr>
                <w:u w:val="single"/>
              </w:rPr>
            </w:pPr>
            <w:r w:rsidRPr="008C1BDC">
              <w:t xml:space="preserve">All homes and schemes must have an emergency grab bag. Use the </w:t>
            </w:r>
            <w:r w:rsidR="00471BCF" w:rsidRPr="00471BCF">
              <w:rPr>
                <w:u w:val="single"/>
              </w:rPr>
              <w:t>Emergency Grab Bag Checklist Form</w:t>
            </w:r>
          </w:p>
          <w:p w14:paraId="1B5A72F7" w14:textId="73AA9DBA" w:rsidR="008C1BDC" w:rsidRPr="008C1BDC" w:rsidRDefault="00471BCF" w:rsidP="00315B0F">
            <w:pPr>
              <w:pStyle w:val="Textlist-bullet"/>
              <w:spacing w:before="0"/>
            </w:pPr>
            <w:r>
              <w:t>T</w:t>
            </w:r>
            <w:r w:rsidR="008C1BDC" w:rsidRPr="008C1BDC">
              <w:t>o ensure the appropriate contents of the bag.</w:t>
            </w:r>
            <w:r w:rsidR="00315B0F">
              <w:t xml:space="preserve"> </w:t>
            </w:r>
            <w:r w:rsidR="00315B0F" w:rsidRPr="00315B0F">
              <w:t>A nominated colleague must check the contents of the grab bag / box at least every three months, to ensure all items are present and in date</w:t>
            </w:r>
            <w:r w:rsidR="00315B0F">
              <w:t>.</w:t>
            </w:r>
          </w:p>
        </w:tc>
      </w:tr>
      <w:tr w:rsidR="008C1BDC" w:rsidRPr="004C3545" w14:paraId="76A2222B" w14:textId="77777777" w:rsidTr="0007452B">
        <w:tc>
          <w:tcPr>
            <w:tcW w:w="3256" w:type="dxa"/>
          </w:tcPr>
          <w:p w14:paraId="7C87B40F" w14:textId="60AE4FF8" w:rsidR="008C1BDC" w:rsidRDefault="00B35591" w:rsidP="000B11BA">
            <w:pPr>
              <w:rPr>
                <w:b/>
                <w:bCs/>
              </w:rPr>
            </w:pPr>
            <w:r w:rsidRPr="00B35591">
              <w:rPr>
                <w:b/>
                <w:bCs/>
              </w:rPr>
              <w:t xml:space="preserve">Emergency Grab Bag Checklist Form </w:t>
            </w:r>
          </w:p>
        </w:tc>
        <w:tc>
          <w:tcPr>
            <w:tcW w:w="6237" w:type="dxa"/>
            <w:vMerge/>
          </w:tcPr>
          <w:p w14:paraId="7D13AB5E" w14:textId="77777777" w:rsidR="008C1BDC" w:rsidRPr="008C1BDC" w:rsidRDefault="008C1BDC" w:rsidP="008C1BDC">
            <w:pPr>
              <w:pStyle w:val="Textlist-bullet"/>
            </w:pPr>
          </w:p>
        </w:tc>
      </w:tr>
    </w:tbl>
    <w:p w14:paraId="1FAF816F" w14:textId="77777777" w:rsidR="008C1BDC" w:rsidRDefault="008C1BDC" w:rsidP="008C1BDC">
      <w:pPr>
        <w:pStyle w:val="Text1Numbered"/>
        <w:numPr>
          <w:ilvl w:val="0"/>
          <w:numId w:val="0"/>
        </w:numPr>
        <w:ind w:left="1135"/>
      </w:pPr>
    </w:p>
    <w:p w14:paraId="6FE30640" w14:textId="72EADC3B" w:rsidR="00A92CD7" w:rsidRPr="004C3545" w:rsidRDefault="009A0ED4" w:rsidP="00914FC1">
      <w:pPr>
        <w:pStyle w:val="Heading1Numbered"/>
      </w:pPr>
      <w:bookmarkStart w:id="16" w:name="_Toc158208218"/>
      <w:r w:rsidRPr="004C3545">
        <w:t xml:space="preserve">Roles </w:t>
      </w:r>
      <w:r w:rsidR="001310BB">
        <w:t>and</w:t>
      </w:r>
      <w:r w:rsidRPr="004C3545">
        <w:t xml:space="preserve"> Responsibilities</w:t>
      </w:r>
      <w:bookmarkEnd w:id="16"/>
    </w:p>
    <w:tbl>
      <w:tblPr>
        <w:tblStyle w:val="MHATable"/>
        <w:tblW w:w="0" w:type="auto"/>
        <w:tblLook w:val="04A0" w:firstRow="1" w:lastRow="0" w:firstColumn="1" w:lastColumn="0" w:noHBand="0" w:noVBand="1"/>
      </w:tblPr>
      <w:tblGrid>
        <w:gridCol w:w="1497"/>
        <w:gridCol w:w="8052"/>
      </w:tblGrid>
      <w:tr w:rsidR="00A92CD7" w:rsidRPr="004C3545" w14:paraId="006BA79B" w14:textId="77777777" w:rsidTr="00C8433A">
        <w:trPr>
          <w:cnfStyle w:val="100000000000" w:firstRow="1" w:lastRow="0" w:firstColumn="0" w:lastColumn="0" w:oddVBand="0" w:evenVBand="0" w:oddHBand="0" w:evenHBand="0" w:firstRowFirstColumn="0" w:firstRowLastColumn="0" w:lastRowFirstColumn="0" w:lastRowLastColumn="0"/>
          <w:tblHeader/>
        </w:trPr>
        <w:tc>
          <w:tcPr>
            <w:tcW w:w="988" w:type="dxa"/>
            <w:shd w:val="clear" w:color="auto" w:fill="217593"/>
          </w:tcPr>
          <w:p w14:paraId="7373BCD5" w14:textId="77777777" w:rsidR="00A92CD7" w:rsidRPr="004C3545" w:rsidRDefault="00A92CD7" w:rsidP="002D47FD">
            <w:r w:rsidRPr="004C3545">
              <w:t>Role</w:t>
            </w:r>
          </w:p>
        </w:tc>
        <w:tc>
          <w:tcPr>
            <w:tcW w:w="8505" w:type="dxa"/>
            <w:shd w:val="clear" w:color="auto" w:fill="217593"/>
          </w:tcPr>
          <w:p w14:paraId="3A2033B0" w14:textId="77777777" w:rsidR="00A92CD7" w:rsidRPr="004C3545" w:rsidRDefault="00A92CD7" w:rsidP="002D47FD">
            <w:r w:rsidRPr="004C3545">
              <w:t>Responsibilities</w:t>
            </w:r>
          </w:p>
        </w:tc>
      </w:tr>
      <w:tr w:rsidR="00772CA5" w:rsidRPr="004C3545" w14:paraId="6ABF3ED2" w14:textId="77777777" w:rsidTr="0007452B">
        <w:tc>
          <w:tcPr>
            <w:tcW w:w="988" w:type="dxa"/>
          </w:tcPr>
          <w:p w14:paraId="3D098F6B" w14:textId="77777777" w:rsidR="00772CA5" w:rsidRPr="007A7447" w:rsidRDefault="00772CA5" w:rsidP="00772CA5">
            <w:pPr>
              <w:rPr>
                <w:b/>
                <w:bCs/>
              </w:rPr>
            </w:pPr>
            <w:r w:rsidRPr="007A7447">
              <w:rPr>
                <w:rFonts w:cs="Arial"/>
                <w:b/>
                <w:bCs/>
                <w:szCs w:val="22"/>
              </w:rPr>
              <w:t>All Colleagues</w:t>
            </w:r>
          </w:p>
        </w:tc>
        <w:tc>
          <w:tcPr>
            <w:tcW w:w="8505" w:type="dxa"/>
          </w:tcPr>
          <w:p w14:paraId="0B849D33" w14:textId="77777777" w:rsidR="00772CA5" w:rsidRDefault="007A7447" w:rsidP="00036895">
            <w:pPr>
              <w:pStyle w:val="Textlist-bullet"/>
            </w:pPr>
            <w:r>
              <w:t>D</w:t>
            </w:r>
            <w:r w:rsidRPr="007A7447">
              <w:t xml:space="preserve">eal with </w:t>
            </w:r>
            <w:r>
              <w:t>business continuity threats</w:t>
            </w:r>
            <w:r w:rsidRPr="007A7447">
              <w:t xml:space="preserve"> immediately when they happen.</w:t>
            </w:r>
          </w:p>
          <w:p w14:paraId="32CFD8DC" w14:textId="250436FB" w:rsidR="00CD6C47" w:rsidRPr="004C3545" w:rsidRDefault="00CD6C47" w:rsidP="00CD6C47">
            <w:pPr>
              <w:pStyle w:val="Textlist-bullet"/>
              <w:spacing w:before="0"/>
            </w:pPr>
            <w:r w:rsidRPr="00CD6C47">
              <w:t xml:space="preserve">If the Home/Scheme Manager is not on the premises, colleagues must have the autonomy to modify the guidance </w:t>
            </w:r>
            <w:r>
              <w:t>set out for business continuity threats.</w:t>
            </w:r>
          </w:p>
        </w:tc>
      </w:tr>
      <w:tr w:rsidR="00036895" w:rsidRPr="004C3545" w14:paraId="7F8209A6" w14:textId="77777777" w:rsidTr="0007452B">
        <w:tc>
          <w:tcPr>
            <w:tcW w:w="988" w:type="dxa"/>
          </w:tcPr>
          <w:p w14:paraId="28CC1166" w14:textId="68B9D63F" w:rsidR="00036895" w:rsidRDefault="00036895" w:rsidP="00772CA5">
            <w:pPr>
              <w:rPr>
                <w:rFonts w:cs="Arial"/>
                <w:b/>
                <w:bCs/>
                <w:szCs w:val="22"/>
              </w:rPr>
            </w:pPr>
            <w:r>
              <w:rPr>
                <w:rFonts w:cs="Arial"/>
                <w:b/>
                <w:bCs/>
                <w:szCs w:val="22"/>
              </w:rPr>
              <w:t xml:space="preserve">Delegated </w:t>
            </w:r>
            <w:r w:rsidR="00315B0F">
              <w:rPr>
                <w:rFonts w:cs="Arial"/>
                <w:b/>
                <w:bCs/>
                <w:szCs w:val="22"/>
              </w:rPr>
              <w:t xml:space="preserve">/ Nominated </w:t>
            </w:r>
            <w:r>
              <w:rPr>
                <w:rFonts w:cs="Arial"/>
                <w:b/>
                <w:bCs/>
                <w:szCs w:val="22"/>
              </w:rPr>
              <w:t>Colleague</w:t>
            </w:r>
          </w:p>
        </w:tc>
        <w:tc>
          <w:tcPr>
            <w:tcW w:w="8505" w:type="dxa"/>
          </w:tcPr>
          <w:p w14:paraId="30562ED3" w14:textId="77777777" w:rsidR="00036895" w:rsidRDefault="00036895" w:rsidP="00036895">
            <w:pPr>
              <w:pStyle w:val="Textlist-bullet"/>
            </w:pPr>
            <w:r>
              <w:t>Check the emergency grab bag in line with this policy.</w:t>
            </w:r>
          </w:p>
          <w:p w14:paraId="754F1B88" w14:textId="7D5DF79D" w:rsidR="00E328EE" w:rsidRDefault="00E328EE" w:rsidP="00E328EE">
            <w:pPr>
              <w:pStyle w:val="Textlist-bullet"/>
              <w:spacing w:before="0"/>
            </w:pPr>
            <w:r>
              <w:t xml:space="preserve">The Deputy Manager (or other designated colleague as appropriate) must sign for their approval of the emergency disaster management plan </w:t>
            </w:r>
          </w:p>
          <w:p w14:paraId="37C4446E" w14:textId="361A0156" w:rsidR="00E328EE" w:rsidRDefault="00315B0F" w:rsidP="00315B0F">
            <w:pPr>
              <w:pStyle w:val="Textlist-bullet"/>
              <w:spacing w:before="0"/>
            </w:pPr>
            <w:r w:rsidRPr="00315B0F">
              <w:t>A nominated colleague must check the contents of the grab bag / box at least every three months, to ensure all items are present and in date</w:t>
            </w:r>
            <w:r>
              <w:t>.</w:t>
            </w:r>
          </w:p>
        </w:tc>
      </w:tr>
      <w:tr w:rsidR="00772CA5" w:rsidRPr="004C3545" w14:paraId="6BBD46CD" w14:textId="77777777" w:rsidTr="0007452B">
        <w:tc>
          <w:tcPr>
            <w:tcW w:w="988" w:type="dxa"/>
          </w:tcPr>
          <w:p w14:paraId="45D9E265" w14:textId="4B11A3D8" w:rsidR="00772CA5" w:rsidRPr="007A7447" w:rsidRDefault="007A7447" w:rsidP="00772CA5">
            <w:pPr>
              <w:rPr>
                <w:b/>
                <w:bCs/>
              </w:rPr>
            </w:pPr>
            <w:r>
              <w:rPr>
                <w:rFonts w:cs="Arial"/>
                <w:b/>
                <w:bCs/>
                <w:szCs w:val="22"/>
              </w:rPr>
              <w:lastRenderedPageBreak/>
              <w:t>Home and Scheme Managers</w:t>
            </w:r>
          </w:p>
        </w:tc>
        <w:tc>
          <w:tcPr>
            <w:tcW w:w="8505" w:type="dxa"/>
          </w:tcPr>
          <w:p w14:paraId="0C371DBC" w14:textId="31675168" w:rsidR="007A7447" w:rsidRDefault="007A7447" w:rsidP="00036895">
            <w:pPr>
              <w:pStyle w:val="Textlist-bullet"/>
            </w:pPr>
            <w:r>
              <w:t>Oversee the</w:t>
            </w:r>
            <w:r w:rsidRPr="007A7447">
              <w:t xml:space="preserve"> emergency </w:t>
            </w:r>
            <w:r>
              <w:t>disaster management p</w:t>
            </w:r>
            <w:r w:rsidRPr="007A7447">
              <w:t xml:space="preserve">lan </w:t>
            </w:r>
            <w:r>
              <w:t>in line with this policy.</w:t>
            </w:r>
          </w:p>
          <w:p w14:paraId="59CF2937" w14:textId="77777777" w:rsidR="00036895" w:rsidRDefault="007A7447" w:rsidP="00036895">
            <w:pPr>
              <w:pStyle w:val="Textlist-bullet"/>
            </w:pPr>
            <w:r>
              <w:t>Oversee the emergency grab bag in line with this policy</w:t>
            </w:r>
            <w:r w:rsidR="00036895">
              <w:t xml:space="preserve"> </w:t>
            </w:r>
          </w:p>
          <w:p w14:paraId="75594044" w14:textId="2016F3A2" w:rsidR="00036895" w:rsidRDefault="00036895" w:rsidP="00036895">
            <w:pPr>
              <w:pStyle w:val="Textlist-bullet"/>
            </w:pPr>
            <w:r>
              <w:t>Ensure that there are two local places of safety with disabled access and a secure office facility which will act as a ‘control centre’ for meetings etc.</w:t>
            </w:r>
          </w:p>
          <w:p w14:paraId="2013A3AE" w14:textId="188F8AB3" w:rsidR="00036895" w:rsidRDefault="00B3697A" w:rsidP="00036895">
            <w:pPr>
              <w:pStyle w:val="Textlist-bullet"/>
            </w:pPr>
            <w:r>
              <w:t xml:space="preserve">Find and record </w:t>
            </w:r>
            <w:r w:rsidRPr="00B3697A">
              <w:t>the local authority emergency planning / disaster management officer’s contact details</w:t>
            </w:r>
            <w:r>
              <w:t>.</w:t>
            </w:r>
          </w:p>
          <w:p w14:paraId="33D87A30" w14:textId="77777777" w:rsidR="007A7447" w:rsidRDefault="00CD6C47" w:rsidP="00036895">
            <w:pPr>
              <w:pStyle w:val="Textlist-bullet"/>
            </w:pPr>
            <w:r>
              <w:t>A</w:t>
            </w:r>
            <w:r w:rsidRPr="00CD6C47">
              <w:t xml:space="preserve">pprove any contingency required during </w:t>
            </w:r>
            <w:r>
              <w:t>a business continuity threat</w:t>
            </w:r>
            <w:r w:rsidRPr="00CD6C47">
              <w:t>.</w:t>
            </w:r>
          </w:p>
          <w:p w14:paraId="108D576F" w14:textId="77777777" w:rsidR="00CD6C47" w:rsidRDefault="00CD6C47" w:rsidP="00CD6C47">
            <w:pPr>
              <w:pStyle w:val="Textlist-bullet"/>
              <w:spacing w:before="0"/>
            </w:pPr>
            <w:r w:rsidRPr="00CD6C47">
              <w:t xml:space="preserve">The Home/Scheme Manager must inform their area manager at the first reasonable opportunity, that </w:t>
            </w:r>
            <w:r>
              <w:t>a business continuity threat</w:t>
            </w:r>
            <w:r w:rsidRPr="00CD6C47">
              <w:t xml:space="preserve"> call has been made.</w:t>
            </w:r>
          </w:p>
          <w:p w14:paraId="452510C7" w14:textId="5142D893" w:rsidR="00CD6C47" w:rsidRDefault="00CD6C47" w:rsidP="00CD6C47">
            <w:pPr>
              <w:pStyle w:val="Textlist-bullet"/>
              <w:spacing w:before="0"/>
            </w:pPr>
            <w:r w:rsidRPr="00CD6C47">
              <w:t xml:space="preserve">The Home/Scheme Manager or most senior </w:t>
            </w:r>
            <w:r w:rsidR="004F25C1">
              <w:t>colleagues</w:t>
            </w:r>
            <w:r w:rsidRPr="00CD6C47">
              <w:t xml:space="preserve"> member on site liaises with the emergency services and relays instructions to </w:t>
            </w:r>
            <w:r w:rsidR="004F25C1">
              <w:t>colleagues</w:t>
            </w:r>
            <w:r w:rsidRPr="00CD6C47">
              <w:t xml:space="preserve"> or instructs </w:t>
            </w:r>
            <w:r w:rsidR="004F25C1">
              <w:t>colleagues</w:t>
            </w:r>
            <w:r w:rsidRPr="00CD6C47">
              <w:t xml:space="preserve"> to do what the lead fire / police, rescue officer tells them to do.</w:t>
            </w:r>
          </w:p>
          <w:p w14:paraId="2423F169" w14:textId="64C5AC36" w:rsidR="00E328EE" w:rsidRDefault="00E328EE" w:rsidP="00E328EE">
            <w:pPr>
              <w:pStyle w:val="Textlist-bullet"/>
            </w:pPr>
            <w:r>
              <w:t>The manager must review and re-issue the emergency disaster management plan at least every year.</w:t>
            </w:r>
          </w:p>
          <w:p w14:paraId="52CF09F1" w14:textId="20BEDA11" w:rsidR="00CD6C47" w:rsidRPr="004C3545" w:rsidRDefault="00E328EE" w:rsidP="0007452B">
            <w:pPr>
              <w:pStyle w:val="Textlist-bullet"/>
              <w:spacing w:before="0"/>
            </w:pPr>
            <w:r>
              <w:t xml:space="preserve">All </w:t>
            </w:r>
            <w:r w:rsidR="004F25C1">
              <w:t>colleagues</w:t>
            </w:r>
            <w:r>
              <w:t xml:space="preserve"> must be aware of the plan and understand that, if activated, they must follow any instructions issued.</w:t>
            </w:r>
          </w:p>
        </w:tc>
      </w:tr>
      <w:tr w:rsidR="00CD6C47" w:rsidRPr="004C3545" w14:paraId="5E15B6EC" w14:textId="77777777" w:rsidTr="0007452B">
        <w:tc>
          <w:tcPr>
            <w:tcW w:w="988" w:type="dxa"/>
          </w:tcPr>
          <w:p w14:paraId="15719ADC" w14:textId="05203CF6" w:rsidR="00CD6C47" w:rsidRDefault="00CD6C47" w:rsidP="00772CA5">
            <w:pPr>
              <w:rPr>
                <w:rFonts w:cs="Arial"/>
                <w:b/>
                <w:bCs/>
                <w:szCs w:val="22"/>
              </w:rPr>
            </w:pPr>
            <w:r>
              <w:rPr>
                <w:rFonts w:cs="Arial"/>
                <w:b/>
                <w:bCs/>
                <w:szCs w:val="22"/>
              </w:rPr>
              <w:t>Area Manager</w:t>
            </w:r>
          </w:p>
        </w:tc>
        <w:tc>
          <w:tcPr>
            <w:tcW w:w="8505" w:type="dxa"/>
          </w:tcPr>
          <w:p w14:paraId="02FBB4A9" w14:textId="00E9258D" w:rsidR="00471BCF" w:rsidRDefault="00471BCF" w:rsidP="00BF549F">
            <w:pPr>
              <w:pStyle w:val="Textlist-bullet"/>
            </w:pPr>
            <w:r>
              <w:t>Follow Incident Response and escalation procedures, as required</w:t>
            </w:r>
          </w:p>
          <w:p w14:paraId="41351F70" w14:textId="39656C62" w:rsidR="00CD6C47" w:rsidRDefault="00CD6C47" w:rsidP="00BF549F">
            <w:pPr>
              <w:pStyle w:val="Textlist-bullet"/>
            </w:pPr>
            <w:r>
              <w:t>To notify IT and Estates Department</w:t>
            </w:r>
            <w:r w:rsidR="00471BCF">
              <w:t>,</w:t>
            </w:r>
            <w:r>
              <w:t xml:space="preserve"> </w:t>
            </w:r>
            <w:r w:rsidR="00471BCF">
              <w:t>media,</w:t>
            </w:r>
            <w:r>
              <w:t xml:space="preserve"> and insurance management functions, of a business continuity threat or disaster.</w:t>
            </w:r>
          </w:p>
          <w:p w14:paraId="424EA4D1" w14:textId="40844E80" w:rsidR="00CD6C47" w:rsidRDefault="00E328EE" w:rsidP="00E328EE">
            <w:pPr>
              <w:pStyle w:val="Textlist-bullet"/>
              <w:spacing w:before="0"/>
            </w:pPr>
            <w:r>
              <w:t xml:space="preserve">Must sign for their approval of the </w:t>
            </w:r>
            <w:r w:rsidR="00705ABB" w:rsidRPr="00705ABB">
              <w:rPr>
                <w:u w:val="single"/>
              </w:rPr>
              <w:t>Emergency Disaster Management Plan</w:t>
            </w:r>
            <w:r w:rsidR="00705ABB">
              <w:t xml:space="preserve"> </w:t>
            </w:r>
          </w:p>
        </w:tc>
      </w:tr>
      <w:tr w:rsidR="00E328EE" w:rsidRPr="004C3545" w14:paraId="54A78FA8" w14:textId="77777777" w:rsidTr="0007452B">
        <w:tc>
          <w:tcPr>
            <w:tcW w:w="988" w:type="dxa"/>
          </w:tcPr>
          <w:p w14:paraId="5F712D29" w14:textId="707E6BF8" w:rsidR="00E328EE" w:rsidRDefault="00E328EE" w:rsidP="00772CA5">
            <w:pPr>
              <w:rPr>
                <w:rFonts w:cs="Arial"/>
                <w:b/>
                <w:bCs/>
                <w:szCs w:val="22"/>
              </w:rPr>
            </w:pPr>
            <w:r w:rsidRPr="00E328EE">
              <w:rPr>
                <w:rFonts w:cs="Arial"/>
                <w:b/>
                <w:bCs/>
                <w:szCs w:val="22"/>
              </w:rPr>
              <w:t>Operations Support Manager</w:t>
            </w:r>
          </w:p>
        </w:tc>
        <w:tc>
          <w:tcPr>
            <w:tcW w:w="8505" w:type="dxa"/>
          </w:tcPr>
          <w:p w14:paraId="13DE5D22" w14:textId="2EC46ADA" w:rsidR="00E328EE" w:rsidRDefault="00E328EE" w:rsidP="00E328EE">
            <w:pPr>
              <w:pStyle w:val="Textlist-bullet"/>
              <w:spacing w:before="0"/>
            </w:pPr>
            <w:r>
              <w:t xml:space="preserve">Must sign for their approval of the emergency disaster management plan </w:t>
            </w:r>
          </w:p>
        </w:tc>
      </w:tr>
    </w:tbl>
    <w:p w14:paraId="57522806" w14:textId="77777777" w:rsidR="00244765" w:rsidRPr="004C3545" w:rsidRDefault="00244765" w:rsidP="00903AA2">
      <w:pPr>
        <w:rPr>
          <w:rFonts w:cs="Arial"/>
          <w:spacing w:val="7"/>
        </w:rPr>
      </w:pPr>
    </w:p>
    <w:p w14:paraId="05D64A45" w14:textId="77777777" w:rsidR="00DF67AA" w:rsidRDefault="009A0ED4" w:rsidP="00D558F5">
      <w:pPr>
        <w:pStyle w:val="Heading1Numbered"/>
      </w:pPr>
      <w:bookmarkStart w:id="17" w:name="_Toc158208219"/>
      <w:r w:rsidRPr="00B2494E">
        <w:t>Training</w:t>
      </w:r>
      <w:r w:rsidR="002B5CDA" w:rsidRPr="00B2494E">
        <w:t xml:space="preserve"> </w:t>
      </w:r>
      <w:r w:rsidR="001310BB" w:rsidRPr="00B2494E">
        <w:t>and</w:t>
      </w:r>
      <w:r w:rsidR="002B5CDA" w:rsidRPr="00B2494E">
        <w:t xml:space="preserve"> Monitoring</w:t>
      </w:r>
      <w:bookmarkEnd w:id="17"/>
    </w:p>
    <w:p w14:paraId="6969B5AB" w14:textId="076FFFD5" w:rsidR="004F25C1" w:rsidRDefault="00082857" w:rsidP="00471BCF">
      <w:pPr>
        <w:pStyle w:val="Text1Numbered"/>
      </w:pPr>
      <w:r>
        <w:t xml:space="preserve">Compliance is assessed through direct observation, </w:t>
      </w:r>
      <w:r w:rsidR="00306ED7">
        <w:t>monitoring,</w:t>
      </w:r>
      <w:r>
        <w:t xml:space="preserve"> and supervision of our colleagues.</w:t>
      </w:r>
    </w:p>
    <w:p w14:paraId="5F099740" w14:textId="77777777" w:rsidR="00471BCF" w:rsidRDefault="00471BCF" w:rsidP="00471BCF">
      <w:pPr>
        <w:pStyle w:val="Text1Numbered"/>
        <w:numPr>
          <w:ilvl w:val="0"/>
          <w:numId w:val="0"/>
        </w:numPr>
        <w:ind w:left="1135"/>
      </w:pPr>
    </w:p>
    <w:p w14:paraId="377ACB24" w14:textId="0545B497" w:rsidR="00471BCF" w:rsidRDefault="00471BCF" w:rsidP="00471BCF">
      <w:pPr>
        <w:pStyle w:val="Text1Numbered"/>
      </w:pPr>
      <w:r>
        <w:t xml:space="preserve">Health and safety and </w:t>
      </w:r>
      <w:r w:rsidR="00DF7ACF">
        <w:t>f</w:t>
      </w:r>
      <w:r>
        <w:t xml:space="preserve">ire safety training programmes are available for colleagues during induction and periodically as defined </w:t>
      </w:r>
      <w:r w:rsidR="00DF7ACF">
        <w:t>within MHA’s learning Zone.</w:t>
      </w:r>
    </w:p>
    <w:p w14:paraId="21E97FE8" w14:textId="77777777" w:rsidR="00684147" w:rsidRDefault="00684147" w:rsidP="00684147">
      <w:pPr>
        <w:pStyle w:val="Heading1Numbered"/>
      </w:pPr>
      <w:bookmarkStart w:id="18" w:name="_Toc158208220"/>
      <w:r>
        <w:t>Continuous Improvement</w:t>
      </w:r>
      <w:bookmarkEnd w:id="18"/>
    </w:p>
    <w:p w14:paraId="15DCA972" w14:textId="0EAA8BE1" w:rsidR="00684147" w:rsidRPr="00684147" w:rsidRDefault="00684147" w:rsidP="00684147">
      <w:pPr>
        <w:pStyle w:val="Text1Numbered"/>
      </w:pPr>
      <w:r w:rsidRPr="00684147">
        <w:t xml:space="preserve">The following have been identified as areas for continuous improvement for MHA’s </w:t>
      </w:r>
      <w:r>
        <w:t>business continuity and emergency planning policy:</w:t>
      </w:r>
    </w:p>
    <w:p w14:paraId="7264D919" w14:textId="42054432" w:rsidR="00684147" w:rsidRDefault="00684147" w:rsidP="00684147">
      <w:pPr>
        <w:pStyle w:val="Textlistindented-bullet"/>
      </w:pPr>
      <w:r>
        <w:t>Central support operating procedures and associated policy documents added to the policy, so Head of Department and central Management align with wider MHA procedures already detailed in this policy.</w:t>
      </w:r>
    </w:p>
    <w:p w14:paraId="1A26D4C5" w14:textId="16AF3D6D" w:rsidR="00684147" w:rsidRDefault="00684147" w:rsidP="00684147">
      <w:pPr>
        <w:pStyle w:val="Textlistindented-bullet"/>
      </w:pPr>
      <w:r>
        <w:t xml:space="preserve">Alignment with MHA’s Risk Management policy </w:t>
      </w:r>
    </w:p>
    <w:p w14:paraId="4B055402" w14:textId="1627FA05" w:rsidR="00684147" w:rsidRDefault="00684147" w:rsidP="00684147">
      <w:pPr>
        <w:pStyle w:val="Textlistindented-bullet"/>
      </w:pPr>
      <w:r>
        <w:t xml:space="preserve">Alignment with </w:t>
      </w:r>
      <w:r w:rsidR="00A5434A">
        <w:t xml:space="preserve">Incident Response and Escalation Policy </w:t>
      </w:r>
    </w:p>
    <w:p w14:paraId="5C5B8423" w14:textId="5515908A" w:rsidR="0049379A" w:rsidRPr="002E4B12" w:rsidRDefault="0049379A" w:rsidP="00684147">
      <w:pPr>
        <w:pStyle w:val="Textlistindented-bullet"/>
      </w:pPr>
      <w:r>
        <w:t>Addition of MHA’s critical functions and operations (key risk management summary).</w:t>
      </w:r>
    </w:p>
    <w:p w14:paraId="5F3A3285" w14:textId="77777777" w:rsidR="00DF67AA" w:rsidRDefault="000C7997" w:rsidP="00D558F5">
      <w:pPr>
        <w:pStyle w:val="Heading1Numbered"/>
      </w:pPr>
      <w:bookmarkStart w:id="19" w:name="_Toc158208221"/>
      <w:r w:rsidRPr="000C7997">
        <w:t>Communication and Dissemination</w:t>
      </w:r>
      <w:bookmarkEnd w:id="19"/>
    </w:p>
    <w:p w14:paraId="56B0F1C8" w14:textId="77777777" w:rsidR="00D47ABA" w:rsidRDefault="00D47ABA" w:rsidP="00D47ABA">
      <w:pPr>
        <w:pStyle w:val="Text1Numbered"/>
      </w:pPr>
      <w:r>
        <w:t>This policy is disseminated and implemented within all MHA services through MHA’s channels of communication.</w:t>
      </w:r>
    </w:p>
    <w:p w14:paraId="5D385AD9" w14:textId="77777777" w:rsidR="00D47ABA" w:rsidRDefault="00D47ABA" w:rsidP="00082857">
      <w:pPr>
        <w:pStyle w:val="Text1Numbered"/>
        <w:numPr>
          <w:ilvl w:val="0"/>
          <w:numId w:val="0"/>
        </w:numPr>
      </w:pPr>
    </w:p>
    <w:p w14:paraId="560224D3" w14:textId="77777777" w:rsidR="00D47ABA" w:rsidRDefault="00D47ABA" w:rsidP="00D47ABA">
      <w:pPr>
        <w:pStyle w:val="Text1Numbered"/>
      </w:pPr>
      <w:r>
        <w:t>Each colleague’s line manager must ensure that all teams are aware of their roles, responsibilities.</w:t>
      </w:r>
    </w:p>
    <w:p w14:paraId="2B4BA55F" w14:textId="77777777" w:rsidR="00D47ABA" w:rsidRDefault="00D47ABA" w:rsidP="00D47ABA">
      <w:pPr>
        <w:pStyle w:val="Text1Numbered"/>
        <w:numPr>
          <w:ilvl w:val="0"/>
          <w:numId w:val="0"/>
        </w:numPr>
      </w:pPr>
    </w:p>
    <w:p w14:paraId="1013E483" w14:textId="77777777" w:rsidR="00D47ABA" w:rsidRDefault="00D47ABA" w:rsidP="00D47ABA">
      <w:pPr>
        <w:pStyle w:val="Text1Numbered"/>
      </w:pPr>
      <w:r>
        <w:t>This policy will be available to the people we support and their representatives in alternate formats, as required.</w:t>
      </w:r>
    </w:p>
    <w:p w14:paraId="66323580" w14:textId="77777777" w:rsidR="00D47ABA" w:rsidRDefault="00D47ABA" w:rsidP="00D47ABA">
      <w:pPr>
        <w:pStyle w:val="Text1Numbered"/>
        <w:numPr>
          <w:ilvl w:val="0"/>
          <w:numId w:val="0"/>
        </w:numPr>
      </w:pPr>
    </w:p>
    <w:p w14:paraId="2F3B6D62" w14:textId="77777777" w:rsidR="00D47ABA" w:rsidRDefault="00D47ABA" w:rsidP="00D47ABA">
      <w:pPr>
        <w:pStyle w:val="Text1Numbered"/>
      </w:pPr>
      <w:r>
        <w:lastRenderedPageBreak/>
        <w:t>Any review of this policy will include consultation with our colleagues, review of support planning, incident reports, quality audits and feedback from other agencies.</w:t>
      </w:r>
    </w:p>
    <w:p w14:paraId="15E00213" w14:textId="77777777" w:rsidR="00D47ABA" w:rsidRDefault="00D47ABA" w:rsidP="00D47ABA">
      <w:pPr>
        <w:pStyle w:val="Text1Numbered"/>
        <w:numPr>
          <w:ilvl w:val="0"/>
          <w:numId w:val="0"/>
        </w:numPr>
      </w:pPr>
    </w:p>
    <w:p w14:paraId="4DBC5297" w14:textId="77777777" w:rsidR="00386B5D" w:rsidRPr="00386B5D" w:rsidRDefault="00D47ABA" w:rsidP="0035054F">
      <w:pPr>
        <w:pStyle w:val="Text1Numbered"/>
      </w:pPr>
      <w:r>
        <w:t xml:space="preserve">Queries and issues relating to this policy should be referred to the Standards and Policy Team </w:t>
      </w:r>
      <w:hyperlink r:id="rId10" w:history="1">
        <w:r w:rsidRPr="00B2181E">
          <w:rPr>
            <w:rStyle w:val="Hyperlink"/>
          </w:rPr>
          <w:t>policies@mha.org.uk</w:t>
        </w:r>
      </w:hyperlink>
      <w:r>
        <w:t xml:space="preserve"> </w:t>
      </w:r>
    </w:p>
    <w:p w14:paraId="4CB953D4" w14:textId="77777777" w:rsidR="00DF67AA" w:rsidRDefault="00772CA5" w:rsidP="00D558F5">
      <w:pPr>
        <w:pStyle w:val="Heading1Numbered"/>
      </w:pPr>
      <w:bookmarkStart w:id="20" w:name="_Toc158208222"/>
      <w:r>
        <w:t xml:space="preserve">EDI </w:t>
      </w:r>
      <w:r w:rsidR="000C7997">
        <w:t>Impact Assessments</w:t>
      </w:r>
      <w:bookmarkEnd w:id="20"/>
    </w:p>
    <w:p w14:paraId="7CD1D835" w14:textId="77777777" w:rsidR="00D47ABA" w:rsidRPr="002E4B12" w:rsidRDefault="00D47ABA" w:rsidP="002E4B12">
      <w:pPr>
        <w:pStyle w:val="Text1Numbered"/>
      </w:pPr>
      <w:r>
        <w:t>Equality, Diversity, and Impact Assessment to be confirmed.</w:t>
      </w:r>
    </w:p>
    <w:p w14:paraId="1960748C" w14:textId="77777777" w:rsidR="000C7997" w:rsidRDefault="000C7997" w:rsidP="00D558F5">
      <w:pPr>
        <w:pStyle w:val="Heading1Numbered"/>
      </w:pPr>
      <w:bookmarkStart w:id="21" w:name="_Toc158208223"/>
      <w:r w:rsidRPr="00B2494E">
        <w:t>Resources</w:t>
      </w:r>
      <w:bookmarkEnd w:id="21"/>
      <w:r w:rsidRPr="00B2494E">
        <w:t xml:space="preserve"> </w:t>
      </w:r>
    </w:p>
    <w:p w14:paraId="3BF48546" w14:textId="2E4BEBBE" w:rsidR="00574B33" w:rsidRPr="00574B33" w:rsidRDefault="00574B33" w:rsidP="00B6194D">
      <w:pPr>
        <w:pStyle w:val="Textlistindented-bullet"/>
      </w:pPr>
      <w:r w:rsidRPr="00574B33">
        <w:t xml:space="preserve">Emergency Disaster Management Plan Form </w:t>
      </w:r>
    </w:p>
    <w:p w14:paraId="744112AE" w14:textId="319FB1DD" w:rsidR="00574B33" w:rsidRDefault="00574B33" w:rsidP="00B6194D">
      <w:pPr>
        <w:pStyle w:val="Textlistindented-bullet"/>
      </w:pPr>
      <w:r w:rsidRPr="00574B33">
        <w:t xml:space="preserve">Emergency Supply Contacts Form </w:t>
      </w:r>
    </w:p>
    <w:p w14:paraId="65467AC9" w14:textId="56773CF5" w:rsidR="00852000" w:rsidRDefault="00B35591" w:rsidP="00852000">
      <w:pPr>
        <w:pStyle w:val="Textlistindented-bullet"/>
      </w:pPr>
      <w:r w:rsidRPr="00B35591">
        <w:t>Emergency Grab Bag Checklist Form</w:t>
      </w:r>
      <w:r>
        <w:t xml:space="preserve"> </w:t>
      </w:r>
    </w:p>
    <w:p w14:paraId="0FEE8855" w14:textId="06675CEC" w:rsidR="0007452B" w:rsidRDefault="0007452B" w:rsidP="00852000">
      <w:pPr>
        <w:pStyle w:val="Textlistindented-bullet"/>
      </w:pPr>
      <w:r>
        <w:t>F</w:t>
      </w:r>
      <w:r w:rsidRPr="0007452B">
        <w:t xml:space="preserve">ire policy </w:t>
      </w:r>
      <w:r>
        <w:t xml:space="preserve">and procedure </w:t>
      </w:r>
    </w:p>
    <w:p w14:paraId="67910E15" w14:textId="46646F20" w:rsidR="0007452B" w:rsidRDefault="0007452B" w:rsidP="00852000">
      <w:pPr>
        <w:pStyle w:val="Textlistindented-bullet"/>
      </w:pPr>
      <w:r w:rsidRPr="0007452B">
        <w:t xml:space="preserve">Risk Management policy </w:t>
      </w:r>
    </w:p>
    <w:p w14:paraId="26317EF9" w14:textId="77B322D3" w:rsidR="0007452B" w:rsidRPr="0007452B" w:rsidRDefault="00A5434A" w:rsidP="0007452B">
      <w:pPr>
        <w:pStyle w:val="Textlistindented-bullet"/>
      </w:pPr>
      <w:r>
        <w:t xml:space="preserve">Incident Response and Escalation Policy </w:t>
      </w:r>
    </w:p>
    <w:p w14:paraId="3B34EA51" w14:textId="12AA95FC" w:rsidR="0007452B" w:rsidRDefault="0007452B" w:rsidP="002E4B12">
      <w:pPr>
        <w:pStyle w:val="Heading1Numbered"/>
      </w:pPr>
      <w:bookmarkStart w:id="22" w:name="_Toc158208224"/>
      <w:r>
        <w:t>Appendices</w:t>
      </w:r>
      <w:bookmarkEnd w:id="22"/>
    </w:p>
    <w:p w14:paraId="4212E8D6" w14:textId="482F81FB" w:rsidR="0007452B" w:rsidRPr="0007452B" w:rsidRDefault="0007452B" w:rsidP="0007452B">
      <w:pPr>
        <w:pStyle w:val="Text1Numbered"/>
        <w:rPr>
          <w:b/>
          <w:bCs/>
        </w:rPr>
      </w:pPr>
      <w:r w:rsidRPr="0007452B">
        <w:rPr>
          <w:b/>
          <w:bCs/>
        </w:rPr>
        <w:t>Appendix 1: Business Continuity Threat Examples</w:t>
      </w:r>
    </w:p>
    <w:tbl>
      <w:tblPr>
        <w:tblStyle w:val="TableGrid"/>
        <w:tblW w:w="0" w:type="auto"/>
        <w:tblInd w:w="-5" w:type="dxa"/>
        <w:tblLook w:val="04A0" w:firstRow="1" w:lastRow="0" w:firstColumn="1" w:lastColumn="0" w:noHBand="0" w:noVBand="1"/>
      </w:tblPr>
      <w:tblGrid>
        <w:gridCol w:w="1563"/>
        <w:gridCol w:w="3945"/>
        <w:gridCol w:w="4046"/>
      </w:tblGrid>
      <w:tr w:rsidR="0007452B" w14:paraId="37812CDF" w14:textId="77777777" w:rsidTr="00705ABB">
        <w:trPr>
          <w:tblHeader/>
        </w:trPr>
        <w:tc>
          <w:tcPr>
            <w:tcW w:w="1563" w:type="dxa"/>
            <w:shd w:val="clear" w:color="auto" w:fill="217593"/>
          </w:tcPr>
          <w:p w14:paraId="3F2EA77C" w14:textId="171FBED3" w:rsidR="0007452B" w:rsidRPr="0007452B" w:rsidRDefault="0007452B" w:rsidP="0007452B">
            <w:pPr>
              <w:pStyle w:val="Text2Numbered"/>
              <w:numPr>
                <w:ilvl w:val="0"/>
                <w:numId w:val="0"/>
              </w:numPr>
              <w:rPr>
                <w:b/>
                <w:bCs/>
                <w:color w:val="FFFFFF" w:themeColor="background1"/>
              </w:rPr>
            </w:pPr>
            <w:r w:rsidRPr="0007452B">
              <w:rPr>
                <w:b/>
                <w:bCs/>
                <w:color w:val="FFFFFF" w:themeColor="background1"/>
              </w:rPr>
              <w:t>Threat</w:t>
            </w:r>
          </w:p>
        </w:tc>
        <w:tc>
          <w:tcPr>
            <w:tcW w:w="3945" w:type="dxa"/>
            <w:shd w:val="clear" w:color="auto" w:fill="217593"/>
          </w:tcPr>
          <w:p w14:paraId="7BDC2499" w14:textId="25F1D0F8" w:rsidR="0007452B" w:rsidRPr="0007452B" w:rsidRDefault="0007452B" w:rsidP="0007452B">
            <w:pPr>
              <w:pStyle w:val="Text2Numbered"/>
              <w:numPr>
                <w:ilvl w:val="0"/>
                <w:numId w:val="0"/>
              </w:numPr>
              <w:rPr>
                <w:b/>
                <w:bCs/>
                <w:color w:val="FFFFFF" w:themeColor="background1"/>
              </w:rPr>
            </w:pPr>
            <w:r w:rsidRPr="0007452B">
              <w:rPr>
                <w:b/>
                <w:bCs/>
                <w:color w:val="FFFFFF" w:themeColor="background1"/>
              </w:rPr>
              <w:t>Pre-Incident</w:t>
            </w:r>
          </w:p>
        </w:tc>
        <w:tc>
          <w:tcPr>
            <w:tcW w:w="4046" w:type="dxa"/>
            <w:shd w:val="clear" w:color="auto" w:fill="217593"/>
          </w:tcPr>
          <w:p w14:paraId="4774F8A5" w14:textId="4FFB9D50" w:rsidR="0007452B" w:rsidRPr="0007452B" w:rsidRDefault="0007452B" w:rsidP="0007452B">
            <w:pPr>
              <w:pStyle w:val="Text2Numbered"/>
              <w:numPr>
                <w:ilvl w:val="0"/>
                <w:numId w:val="0"/>
              </w:numPr>
              <w:rPr>
                <w:b/>
                <w:bCs/>
                <w:color w:val="FFFFFF" w:themeColor="background1"/>
              </w:rPr>
            </w:pPr>
            <w:r w:rsidRPr="0007452B">
              <w:rPr>
                <w:b/>
                <w:bCs/>
                <w:color w:val="FFFFFF" w:themeColor="background1"/>
              </w:rPr>
              <w:t>Response</w:t>
            </w:r>
          </w:p>
        </w:tc>
      </w:tr>
      <w:tr w:rsidR="0007452B" w14:paraId="0E01A180" w14:textId="77777777" w:rsidTr="0007452B">
        <w:tc>
          <w:tcPr>
            <w:tcW w:w="1563" w:type="dxa"/>
          </w:tcPr>
          <w:p w14:paraId="71A334EF" w14:textId="10C55A95" w:rsidR="0007452B" w:rsidRPr="0007452B" w:rsidRDefault="0007452B" w:rsidP="0007452B">
            <w:pPr>
              <w:pStyle w:val="Text2Numbered"/>
              <w:numPr>
                <w:ilvl w:val="0"/>
                <w:numId w:val="0"/>
              </w:numPr>
              <w:rPr>
                <w:b/>
                <w:bCs/>
              </w:rPr>
            </w:pPr>
            <w:r w:rsidRPr="0007452B">
              <w:rPr>
                <w:b/>
                <w:bCs/>
              </w:rPr>
              <w:t>Flooding</w:t>
            </w:r>
          </w:p>
        </w:tc>
        <w:tc>
          <w:tcPr>
            <w:tcW w:w="3945" w:type="dxa"/>
          </w:tcPr>
          <w:p w14:paraId="16F8595E" w14:textId="6F537D85" w:rsidR="0007452B" w:rsidRPr="0007452B" w:rsidRDefault="0007452B" w:rsidP="0007452B">
            <w:pPr>
              <w:pStyle w:val="Textlist-bullet"/>
            </w:pPr>
            <w:r>
              <w:t xml:space="preserve">Be aware of the realistic flood risk to your </w:t>
            </w:r>
            <w:r w:rsidRPr="0007452B">
              <w:t>premises, a postcode based ‘flood risk’ search is available on the Environment Agency website which considers the threat from river and coastal flooding</w:t>
            </w:r>
            <w:r w:rsidR="004F25C1" w:rsidRPr="0007452B">
              <w:t xml:space="preserve">. </w:t>
            </w:r>
            <w:r w:rsidRPr="0007452B">
              <w:t>www.environment-agency.gov.uk</w:t>
            </w:r>
          </w:p>
          <w:p w14:paraId="3A962D33" w14:textId="2442091B" w:rsidR="0007452B" w:rsidRPr="0007452B" w:rsidRDefault="0007452B" w:rsidP="0007452B">
            <w:pPr>
              <w:pStyle w:val="Textlist-bullet"/>
            </w:pPr>
            <w:r w:rsidRPr="0007452B">
              <w:lastRenderedPageBreak/>
              <w:t xml:space="preserve">If your premises are within a flood risk </w:t>
            </w:r>
            <w:r w:rsidR="004F25C1" w:rsidRPr="0007452B">
              <w:t>area,</w:t>
            </w:r>
            <w:r w:rsidRPr="0007452B">
              <w:t xml:space="preserve"> then it is wise the register with the Environment Agencies Flood line system</w:t>
            </w:r>
            <w:r w:rsidR="004F25C1" w:rsidRPr="0007452B">
              <w:t xml:space="preserve">. </w:t>
            </w:r>
            <w:r w:rsidRPr="0007452B">
              <w:t>This will give you early warning of any live flood threat.</w:t>
            </w:r>
          </w:p>
          <w:p w14:paraId="538B40FE" w14:textId="5E669AC6" w:rsidR="0007452B" w:rsidRPr="0007452B" w:rsidRDefault="0007452B" w:rsidP="0007452B">
            <w:pPr>
              <w:pStyle w:val="Textlist-bullet"/>
            </w:pPr>
            <w:r w:rsidRPr="0007452B">
              <w:t>Be aware that the EA’s flood maps do not show any areas which may be at risk due to flash flooding (rainfall in excess of the capacity of the drainage system), these happen with little or no warning</w:t>
            </w:r>
            <w:r w:rsidR="004F25C1" w:rsidRPr="0007452B">
              <w:t xml:space="preserve">. </w:t>
            </w:r>
          </w:p>
          <w:p w14:paraId="6C047E1B" w14:textId="20492758" w:rsidR="0007452B" w:rsidRPr="0007452B" w:rsidRDefault="0007452B" w:rsidP="0007452B">
            <w:pPr>
              <w:pStyle w:val="Textlist-bullet"/>
            </w:pPr>
            <w:r w:rsidRPr="0007452B">
              <w:t>Drainage flooding is difficult to predict, but identifying historic evidence of flood problems or looking at the local lay of the land may be an indication, premises that sit at the base of even gentle slopes could be prone to surface water run off flooding.</w:t>
            </w:r>
          </w:p>
          <w:p w14:paraId="1896C5CE" w14:textId="77777777" w:rsidR="0007452B" w:rsidRPr="0007452B" w:rsidRDefault="0007452B" w:rsidP="0007452B">
            <w:pPr>
              <w:pStyle w:val="Textlist-bullet"/>
            </w:pPr>
            <w:r w:rsidRPr="0007452B">
              <w:t xml:space="preserve">Be aware that where there are drainage problems flooding can also enter the premises from ground floor drains (sinks and bath plugholes) and toilets. </w:t>
            </w:r>
          </w:p>
          <w:p w14:paraId="1D32B16F" w14:textId="0C840D8E" w:rsidR="0007452B" w:rsidRDefault="0007452B" w:rsidP="0007452B">
            <w:pPr>
              <w:pStyle w:val="Textlist-bullet"/>
            </w:pPr>
            <w:r w:rsidRPr="0007452B">
              <w:lastRenderedPageBreak/>
              <w:t>Also remember that flooding can also come from burst</w:t>
            </w:r>
            <w:r>
              <w:t xml:space="preserve"> pipes (internal flooding).</w:t>
            </w:r>
          </w:p>
        </w:tc>
        <w:tc>
          <w:tcPr>
            <w:tcW w:w="4046" w:type="dxa"/>
          </w:tcPr>
          <w:p w14:paraId="714119EE" w14:textId="0ED7C404" w:rsidR="0007452B" w:rsidRPr="0007452B" w:rsidRDefault="0007452B" w:rsidP="0007452B">
            <w:pPr>
              <w:pStyle w:val="Textlist-bullet"/>
            </w:pPr>
            <w:r>
              <w:lastRenderedPageBreak/>
              <w:t xml:space="preserve">If in a flood risk area, discuss and liaise with area manager and estates to keep a stock of sandbags or other flood defence measures (flood boards, gel filled </w:t>
            </w:r>
            <w:r w:rsidRPr="0007452B">
              <w:t>bags)</w:t>
            </w:r>
            <w:r w:rsidR="004F25C1" w:rsidRPr="0007452B">
              <w:t xml:space="preserve">. </w:t>
            </w:r>
            <w:r w:rsidRPr="0007452B">
              <w:t>Make sure that you know how to fill and lay traditional sandbags correctly.</w:t>
            </w:r>
          </w:p>
          <w:p w14:paraId="56993A67" w14:textId="4FECB65D" w:rsidR="0007452B" w:rsidRDefault="0007452B" w:rsidP="0007452B">
            <w:pPr>
              <w:pStyle w:val="Textlist-bullet"/>
            </w:pPr>
            <w:r w:rsidRPr="0007452B">
              <w:lastRenderedPageBreak/>
              <w:t>Formulate emergency procedures</w:t>
            </w:r>
            <w:r>
              <w:t xml:space="preserve"> with clear trigger points:</w:t>
            </w:r>
          </w:p>
          <w:p w14:paraId="283410D3" w14:textId="77777777" w:rsidR="0007452B" w:rsidRDefault="0007452B" w:rsidP="003A0135">
            <w:pPr>
              <w:pStyle w:val="Textlist-bullet"/>
              <w:numPr>
                <w:ilvl w:val="0"/>
                <w:numId w:val="35"/>
              </w:numPr>
            </w:pPr>
            <w:r>
              <w:t>Safeguard people - make sure people are away from any risk of contact with flood water and that they are ready to evacuate if required.</w:t>
            </w:r>
          </w:p>
          <w:p w14:paraId="420DCF91" w14:textId="77777777" w:rsidR="0007452B" w:rsidRDefault="0007452B" w:rsidP="00A2046A">
            <w:pPr>
              <w:pStyle w:val="Textlist-bullet"/>
              <w:numPr>
                <w:ilvl w:val="0"/>
                <w:numId w:val="35"/>
              </w:numPr>
            </w:pPr>
            <w:r>
              <w:t>Safeguard premises - protect premises using flood defence products such as sandbags.</w:t>
            </w:r>
          </w:p>
          <w:p w14:paraId="62D7095D" w14:textId="2C43D9F8" w:rsidR="0007452B" w:rsidRDefault="0007452B" w:rsidP="00A2046A">
            <w:pPr>
              <w:pStyle w:val="Textlist-bullet"/>
              <w:numPr>
                <w:ilvl w:val="0"/>
                <w:numId w:val="35"/>
              </w:numPr>
            </w:pPr>
            <w:r>
              <w:t>Safeguard property - ensure that as much property as possible is moved to higher levels particularly valuable and irreplaceable items.</w:t>
            </w:r>
          </w:p>
          <w:p w14:paraId="0213F796" w14:textId="1866F0C1" w:rsidR="0007452B" w:rsidRPr="0007452B" w:rsidRDefault="0007452B" w:rsidP="0007452B">
            <w:pPr>
              <w:pStyle w:val="Textlist-bullet"/>
            </w:pPr>
            <w:r>
              <w:t>Consider evacuation at all times when flood threat is imminent</w:t>
            </w:r>
            <w:r w:rsidR="004F25C1">
              <w:t xml:space="preserve">. </w:t>
            </w:r>
            <w:r>
              <w:t xml:space="preserve">(Your flood </w:t>
            </w:r>
            <w:r w:rsidRPr="0007452B">
              <w:t>evacuation may need to be different to your fire evacuation procedures).</w:t>
            </w:r>
          </w:p>
          <w:p w14:paraId="54D5249E" w14:textId="769AD62C" w:rsidR="0007452B" w:rsidRPr="0007452B" w:rsidRDefault="0007452B" w:rsidP="0007452B">
            <w:pPr>
              <w:pStyle w:val="Textlist-bullet"/>
            </w:pPr>
            <w:r w:rsidRPr="0007452B">
              <w:t xml:space="preserve">Also make sure that your potential evacuation premises are not within a flood risk </w:t>
            </w:r>
            <w:r w:rsidR="004F25C1" w:rsidRPr="0007452B">
              <w:t>area,</w:t>
            </w:r>
            <w:r w:rsidRPr="0007452B">
              <w:t xml:space="preserve"> or they may be equally affected when you come to need them.</w:t>
            </w:r>
          </w:p>
          <w:p w14:paraId="3CCDA57F" w14:textId="35976D3D" w:rsidR="0007452B" w:rsidRDefault="0007452B" w:rsidP="0007452B">
            <w:pPr>
              <w:pStyle w:val="Textlist-bullet"/>
            </w:pPr>
            <w:r w:rsidRPr="0007452B">
              <w:lastRenderedPageBreak/>
              <w:t>Many properties are higher than the internal base, flood water can remain long after the flood has gone, therefore</w:t>
            </w:r>
            <w:r>
              <w:t xml:space="preserve"> increasing the damage caused.</w:t>
            </w:r>
          </w:p>
        </w:tc>
      </w:tr>
      <w:tr w:rsidR="0007452B" w14:paraId="5A6FAEB7" w14:textId="77777777" w:rsidTr="0007452B">
        <w:tc>
          <w:tcPr>
            <w:tcW w:w="1563" w:type="dxa"/>
          </w:tcPr>
          <w:p w14:paraId="6F9D63B2" w14:textId="5F5F22AD" w:rsidR="0007452B" w:rsidRPr="0007452B" w:rsidRDefault="0007452B" w:rsidP="0007452B">
            <w:pPr>
              <w:pStyle w:val="Text2Numbered"/>
              <w:numPr>
                <w:ilvl w:val="0"/>
                <w:numId w:val="0"/>
              </w:numPr>
              <w:rPr>
                <w:b/>
                <w:bCs/>
              </w:rPr>
            </w:pPr>
            <w:r>
              <w:rPr>
                <w:b/>
                <w:bCs/>
              </w:rPr>
              <w:lastRenderedPageBreak/>
              <w:t xml:space="preserve">Water and Heating Supply Interruption </w:t>
            </w:r>
          </w:p>
        </w:tc>
        <w:tc>
          <w:tcPr>
            <w:tcW w:w="7991" w:type="dxa"/>
            <w:gridSpan w:val="2"/>
          </w:tcPr>
          <w:p w14:paraId="52F22FF4" w14:textId="77777777" w:rsidR="0007452B" w:rsidRDefault="0007452B" w:rsidP="0007452B">
            <w:pPr>
              <w:pStyle w:val="Textlist-bullet"/>
            </w:pPr>
            <w:r>
              <w:t>If heating / water loss occurs, assess the effect of the failure related to time of year and weather temperature / forecast.</w:t>
            </w:r>
          </w:p>
          <w:p w14:paraId="4208525C" w14:textId="0D80EDED" w:rsidR="0007452B" w:rsidRDefault="00705ABB" w:rsidP="0007452B">
            <w:pPr>
              <w:pStyle w:val="Textlist-bullet"/>
            </w:pPr>
            <w:r>
              <w:t>Contact the heating engineer as soon as possible.</w:t>
            </w:r>
          </w:p>
          <w:p w14:paraId="544C59C7" w14:textId="41E6D359" w:rsidR="0007452B" w:rsidRDefault="00705ABB" w:rsidP="0007452B">
            <w:pPr>
              <w:pStyle w:val="Textlist-bullet"/>
            </w:pPr>
            <w:r>
              <w:t xml:space="preserve">Try to find out the cause for water </w:t>
            </w:r>
            <w:r w:rsidR="0007452B">
              <w:t>disruption and the probable length of shut down.</w:t>
            </w:r>
          </w:p>
          <w:p w14:paraId="101D16A4" w14:textId="6B634889" w:rsidR="0007452B" w:rsidRDefault="00705ABB" w:rsidP="0007452B">
            <w:pPr>
              <w:pStyle w:val="Textlist-bullet"/>
            </w:pPr>
            <w:r>
              <w:t>Seek advice from the water company / local health protection unit.</w:t>
            </w:r>
          </w:p>
          <w:p w14:paraId="46FA41E8" w14:textId="40FC6974" w:rsidR="0007452B" w:rsidRDefault="00705ABB" w:rsidP="0007452B">
            <w:pPr>
              <w:pStyle w:val="Textlist-bullet"/>
            </w:pPr>
            <w:r>
              <w:t xml:space="preserve">Assess the risk to people using our services and the </w:t>
            </w:r>
            <w:r w:rsidR="004F25C1">
              <w:t>colleagues</w:t>
            </w:r>
            <w:r w:rsidR="0007452B">
              <w:t xml:space="preserve"> that have to work in such conditions.</w:t>
            </w:r>
          </w:p>
          <w:p w14:paraId="26CBFBA2" w14:textId="26280B70" w:rsidR="0007452B" w:rsidRDefault="00705ABB" w:rsidP="0007452B">
            <w:pPr>
              <w:pStyle w:val="Textlist-bullet"/>
            </w:pPr>
            <w:r>
              <w:t>Move people to warmer areas of building.</w:t>
            </w:r>
          </w:p>
          <w:p w14:paraId="7A8130E4" w14:textId="13F0FBB2" w:rsidR="0007452B" w:rsidRDefault="00705ABB" w:rsidP="0007452B">
            <w:pPr>
              <w:pStyle w:val="Textlist-bullet"/>
            </w:pPr>
            <w:r>
              <w:t xml:space="preserve">Ask people (and other </w:t>
            </w:r>
            <w:r w:rsidR="004F25C1">
              <w:t>colleagues</w:t>
            </w:r>
            <w:r w:rsidR="0007452B">
              <w:t>) to put on additional layers of clothing.</w:t>
            </w:r>
          </w:p>
          <w:p w14:paraId="493DA020" w14:textId="26AE4F0E" w:rsidR="0007452B" w:rsidRDefault="00705ABB" w:rsidP="0007452B">
            <w:pPr>
              <w:pStyle w:val="Textlist-bullet"/>
            </w:pPr>
            <w:r>
              <w:t>Have extra blankets available to keep people as warm as possible.</w:t>
            </w:r>
          </w:p>
          <w:p w14:paraId="5C34CADC" w14:textId="243B4EFE" w:rsidR="0007452B" w:rsidRDefault="00705ABB" w:rsidP="0007452B">
            <w:pPr>
              <w:pStyle w:val="Textlist-bullet"/>
            </w:pPr>
            <w:r>
              <w:t>Make sure additional hot drinks are available.</w:t>
            </w:r>
          </w:p>
          <w:p w14:paraId="70572E97" w14:textId="74FA322A" w:rsidR="0007452B" w:rsidRDefault="00705ABB" w:rsidP="0007452B">
            <w:pPr>
              <w:pStyle w:val="Textlist-bullet"/>
            </w:pPr>
            <w:r>
              <w:t>Use hot water flasks for storing and moving hot water (be careful when filling from boilers).</w:t>
            </w:r>
          </w:p>
          <w:p w14:paraId="5BA33A6F" w14:textId="2CA95583" w:rsidR="0007452B" w:rsidRDefault="00705ABB" w:rsidP="0007452B">
            <w:pPr>
              <w:pStyle w:val="Textlist-bullet"/>
            </w:pPr>
            <w:r>
              <w:t>Take steps to reduce heat loss from building – close windows / doors and curtains.</w:t>
            </w:r>
          </w:p>
          <w:p w14:paraId="20059D9A" w14:textId="47DDD9C3" w:rsidR="0007452B" w:rsidRDefault="00705ABB" w:rsidP="0007452B">
            <w:pPr>
              <w:pStyle w:val="Textlist-bullet"/>
            </w:pPr>
            <w:r>
              <w:t>Keep an eye on people for signs of hypothermia.</w:t>
            </w:r>
          </w:p>
          <w:p w14:paraId="127BD84B" w14:textId="560F896A" w:rsidR="0007452B" w:rsidRDefault="00705ABB" w:rsidP="0007452B">
            <w:pPr>
              <w:pStyle w:val="Textlist-bullet"/>
            </w:pPr>
            <w:r>
              <w:t>Use disposable dishes and utensils.</w:t>
            </w:r>
          </w:p>
          <w:p w14:paraId="34256354" w14:textId="7D565C22" w:rsidR="0007452B" w:rsidRDefault="00705ABB" w:rsidP="0007452B">
            <w:pPr>
              <w:pStyle w:val="Textlist-bullet"/>
            </w:pPr>
            <w:r>
              <w:t>Take additional temperature readings and if necessary, rent / buy additional equipment (risk assess the use of any additional equipment).</w:t>
            </w:r>
          </w:p>
          <w:p w14:paraId="19605C31" w14:textId="6F3E4A7C" w:rsidR="0007452B" w:rsidRDefault="00705ABB" w:rsidP="0007452B">
            <w:pPr>
              <w:pStyle w:val="Textlist-bullet"/>
            </w:pPr>
            <w:r>
              <w:lastRenderedPageBreak/>
              <w:t>Watch out for burst water pipes in cold weather.</w:t>
            </w:r>
          </w:p>
          <w:p w14:paraId="23BD409E" w14:textId="2F1DF0AC" w:rsidR="0007452B" w:rsidRDefault="0007452B" w:rsidP="0007452B">
            <w:pPr>
              <w:pStyle w:val="Textlist-bullet"/>
            </w:pPr>
            <w:r>
              <w:t xml:space="preserve">In addition to the above, if the water supply fails, </w:t>
            </w:r>
            <w:r w:rsidR="004F25C1">
              <w:t>colleagues</w:t>
            </w:r>
            <w:r w:rsidR="00705ABB">
              <w:t xml:space="preserve"> must assess the impact on, for example, cleaning the home / scheme, </w:t>
            </w:r>
            <w:r w:rsidR="004F25C1">
              <w:t>colleagues</w:t>
            </w:r>
            <w:r>
              <w:t xml:space="preserve"> hand hygiene, drinking water, toilets, medication rounds and heating systems.</w:t>
            </w:r>
          </w:p>
          <w:p w14:paraId="095CC05A" w14:textId="61F24217" w:rsidR="0007452B" w:rsidRDefault="004F25C1" w:rsidP="0007452B">
            <w:pPr>
              <w:pStyle w:val="Textlist-bullet"/>
            </w:pPr>
            <w:r>
              <w:t>Colleagues</w:t>
            </w:r>
            <w:r w:rsidR="0007452B">
              <w:t xml:space="preserve"> may need to use bottled water</w:t>
            </w:r>
            <w:r>
              <w:t xml:space="preserve">. </w:t>
            </w:r>
            <w:r w:rsidR="0007452B">
              <w:t xml:space="preserve">In extreme circumstances, the local water company may provide water bowsers </w:t>
            </w:r>
          </w:p>
        </w:tc>
      </w:tr>
      <w:tr w:rsidR="0007452B" w14:paraId="435D6378" w14:textId="77777777" w:rsidTr="0007452B">
        <w:tc>
          <w:tcPr>
            <w:tcW w:w="1563" w:type="dxa"/>
          </w:tcPr>
          <w:p w14:paraId="098E90DA" w14:textId="2A098377" w:rsidR="0007452B" w:rsidRPr="0007452B" w:rsidRDefault="0007452B" w:rsidP="0007452B">
            <w:pPr>
              <w:pStyle w:val="Text2Numbered"/>
              <w:numPr>
                <w:ilvl w:val="0"/>
                <w:numId w:val="0"/>
              </w:numPr>
              <w:rPr>
                <w:b/>
                <w:bCs/>
              </w:rPr>
            </w:pPr>
            <w:r>
              <w:rPr>
                <w:b/>
                <w:bCs/>
              </w:rPr>
              <w:lastRenderedPageBreak/>
              <w:t>Electricity Outage</w:t>
            </w:r>
          </w:p>
        </w:tc>
        <w:tc>
          <w:tcPr>
            <w:tcW w:w="3945" w:type="dxa"/>
          </w:tcPr>
          <w:p w14:paraId="21DC04FE" w14:textId="77777777" w:rsidR="004F25C1" w:rsidRDefault="004F25C1" w:rsidP="004F25C1">
            <w:pPr>
              <w:pStyle w:val="Textlist-bullet"/>
            </w:pPr>
            <w:r>
              <w:t>Ensure that detailed site records are held and made available to any contractors who are planning to dig near utilities routes.</w:t>
            </w:r>
          </w:p>
          <w:p w14:paraId="10B845B0" w14:textId="77777777" w:rsidR="004F25C1" w:rsidRDefault="004F25C1" w:rsidP="004F25C1">
            <w:pPr>
              <w:pStyle w:val="Textlist-bullet"/>
            </w:pPr>
            <w:r>
              <w:t>Be aware of the additional risks of outages during local building work, work on electrical/water systems etc. and ensure you are prepared for possible disruptions.</w:t>
            </w:r>
          </w:p>
          <w:p w14:paraId="6F0A0249" w14:textId="71809622" w:rsidR="004F25C1" w:rsidRDefault="004F25C1" w:rsidP="004F25C1">
            <w:pPr>
              <w:pStyle w:val="Textlist-bullet"/>
            </w:pPr>
            <w:r>
              <w:t>If funding allows then consider alternate power supplies – for example, backup generators.</w:t>
            </w:r>
          </w:p>
          <w:p w14:paraId="6E069810" w14:textId="77777777" w:rsidR="004F25C1" w:rsidRDefault="004F25C1" w:rsidP="004F25C1">
            <w:pPr>
              <w:pStyle w:val="Textlist-bullet"/>
            </w:pPr>
            <w:r>
              <w:t>Know what in the premises, including equipment, is dependent on electricity.</w:t>
            </w:r>
          </w:p>
          <w:p w14:paraId="5FAAEE2B" w14:textId="5A980D14" w:rsidR="004F25C1" w:rsidRDefault="004F25C1" w:rsidP="004F25C1">
            <w:pPr>
              <w:pStyle w:val="Textlist-bullet"/>
            </w:pPr>
            <w:r>
              <w:t xml:space="preserve">Consider keeping stocks or having emergency access to alternate sources of heating, cooking, and lighting </w:t>
            </w:r>
            <w:r>
              <w:lastRenderedPageBreak/>
              <w:t>(including torches, head torches, camping LED lights, blankets)</w:t>
            </w:r>
          </w:p>
          <w:p w14:paraId="3083AE27" w14:textId="611DE2B9" w:rsidR="004F25C1" w:rsidRDefault="004F25C1" w:rsidP="004F25C1">
            <w:pPr>
              <w:pStyle w:val="Textlist-bullet"/>
            </w:pPr>
            <w:r>
              <w:t>Make sure that colleagues know about the use of emergency items such as emergency lighting, portable generators, and other electricity generators.</w:t>
            </w:r>
          </w:p>
          <w:p w14:paraId="46BCC983" w14:textId="77777777" w:rsidR="004F25C1" w:rsidRDefault="004F25C1" w:rsidP="004F25C1">
            <w:pPr>
              <w:pStyle w:val="Textlist-bullet"/>
            </w:pPr>
            <w:r>
              <w:t>Most commercially used premises will have emergency lighting to ensure all evacuation routes remain lit, as well as this the premises fire alarm will have a battery back up in the event of power failure.</w:t>
            </w:r>
          </w:p>
          <w:p w14:paraId="28FBD6F2" w14:textId="14831395" w:rsidR="004F25C1" w:rsidRDefault="004F25C1" w:rsidP="004F25C1">
            <w:pPr>
              <w:pStyle w:val="Textlist-bullet"/>
            </w:pPr>
            <w:r>
              <w:t>Where emergency lighting and battery backed alarm systems are in use make sure that you know the life of the battery backups.</w:t>
            </w:r>
          </w:p>
          <w:p w14:paraId="3D57C407" w14:textId="39CF5FD7" w:rsidR="0007452B" w:rsidRDefault="004F25C1" w:rsidP="004F25C1">
            <w:pPr>
              <w:pStyle w:val="Textlist-bullet"/>
            </w:pPr>
            <w:r>
              <w:t>Plan specific actions around the battery life within these systems – for example, based on a premise with a 12-hour battery back up on emergency lighting and fire alarm system.</w:t>
            </w:r>
          </w:p>
        </w:tc>
        <w:tc>
          <w:tcPr>
            <w:tcW w:w="4046" w:type="dxa"/>
          </w:tcPr>
          <w:p w14:paraId="55C8999D" w14:textId="719ED31C" w:rsidR="004F25C1" w:rsidRDefault="004F25C1" w:rsidP="004F25C1">
            <w:pPr>
              <w:pStyle w:val="Textlist-bullet"/>
            </w:pPr>
            <w:r>
              <w:lastRenderedPageBreak/>
              <w:t>Initial power cut - contact electricity supplier to obtain information about the likely duration of cut off.</w:t>
            </w:r>
          </w:p>
          <w:p w14:paraId="0BB9ECF6" w14:textId="5373A4F3" w:rsidR="004F25C1" w:rsidRDefault="004F25C1" w:rsidP="004F25C1">
            <w:pPr>
              <w:pStyle w:val="Textlist-bullet"/>
            </w:pPr>
            <w:r>
              <w:t>First Hour - Gather together emergency supplies.</w:t>
            </w:r>
          </w:p>
          <w:p w14:paraId="76C4536F" w14:textId="77777777" w:rsidR="004F25C1" w:rsidRDefault="004F25C1" w:rsidP="004F25C1">
            <w:pPr>
              <w:pStyle w:val="Textlist-bullet"/>
            </w:pPr>
            <w:r>
              <w:t>Consider bringing all residents into one area.</w:t>
            </w:r>
          </w:p>
          <w:p w14:paraId="64C1C0C2" w14:textId="3FE80EB1" w:rsidR="004F25C1" w:rsidRDefault="004F25C1" w:rsidP="004F25C1">
            <w:pPr>
              <w:pStyle w:val="Textlist-bullet"/>
            </w:pPr>
            <w:r>
              <w:t>4 Hours in - Standby emergency evacuation premises and transport.</w:t>
            </w:r>
          </w:p>
          <w:p w14:paraId="780CC0FE" w14:textId="77777777" w:rsidR="004F25C1" w:rsidRDefault="004F25C1" w:rsidP="004F25C1">
            <w:pPr>
              <w:pStyle w:val="Textlist-bullet"/>
            </w:pPr>
            <w:r>
              <w:t>Contact relatives of residents to assist with potential evacuation.</w:t>
            </w:r>
          </w:p>
          <w:p w14:paraId="1C54CD68" w14:textId="7E4763F1" w:rsidR="004F25C1" w:rsidRDefault="004F25C1" w:rsidP="004F25C1">
            <w:pPr>
              <w:pStyle w:val="Textlist-bullet"/>
            </w:pPr>
            <w:r>
              <w:t>6 Hours in - Contact electricity supplier to obtain information about the likely duration of cut off.</w:t>
            </w:r>
          </w:p>
          <w:p w14:paraId="7C58CF71" w14:textId="77777777" w:rsidR="004F25C1" w:rsidRDefault="004F25C1" w:rsidP="004F25C1">
            <w:pPr>
              <w:pStyle w:val="Textlist-bullet"/>
            </w:pPr>
            <w:r>
              <w:t>Contact alternate premises.</w:t>
            </w:r>
          </w:p>
          <w:p w14:paraId="761B18E2" w14:textId="77777777" w:rsidR="004F25C1" w:rsidRDefault="004F25C1" w:rsidP="004F25C1">
            <w:pPr>
              <w:pStyle w:val="Textlist-bullet"/>
            </w:pPr>
            <w:r>
              <w:t>Contact transport providers.</w:t>
            </w:r>
          </w:p>
          <w:p w14:paraId="2054AC39" w14:textId="77777777" w:rsidR="0007452B" w:rsidRDefault="004F25C1" w:rsidP="004F25C1">
            <w:pPr>
              <w:pStyle w:val="Textlist-bullet"/>
            </w:pPr>
            <w:r>
              <w:t>Evacuation to place of safety if required.</w:t>
            </w:r>
          </w:p>
          <w:p w14:paraId="6B08094C" w14:textId="6632C3F0" w:rsidR="004F25C1" w:rsidRDefault="004F25C1" w:rsidP="004F25C1">
            <w:pPr>
              <w:pStyle w:val="Textlist-bullet"/>
            </w:pPr>
            <w:r w:rsidRPr="004F25C1">
              <w:lastRenderedPageBreak/>
              <w:t>If a power failure is suffered, make sure you understand the cause, and what, if anything is done to prevent a recurrence.</w:t>
            </w:r>
          </w:p>
        </w:tc>
      </w:tr>
      <w:tr w:rsidR="004F25C1" w14:paraId="4ABACA8E" w14:textId="77777777" w:rsidTr="005108FA">
        <w:tc>
          <w:tcPr>
            <w:tcW w:w="1563" w:type="dxa"/>
          </w:tcPr>
          <w:p w14:paraId="70BDC756" w14:textId="427E4070" w:rsidR="004F25C1" w:rsidRPr="0007452B" w:rsidRDefault="004F25C1" w:rsidP="0007452B">
            <w:pPr>
              <w:pStyle w:val="Text2Numbered"/>
              <w:numPr>
                <w:ilvl w:val="0"/>
                <w:numId w:val="0"/>
              </w:numPr>
              <w:rPr>
                <w:b/>
                <w:bCs/>
              </w:rPr>
            </w:pPr>
            <w:r>
              <w:rPr>
                <w:b/>
                <w:bCs/>
              </w:rPr>
              <w:lastRenderedPageBreak/>
              <w:t>Snow Incident</w:t>
            </w:r>
          </w:p>
        </w:tc>
        <w:tc>
          <w:tcPr>
            <w:tcW w:w="7991" w:type="dxa"/>
            <w:gridSpan w:val="2"/>
          </w:tcPr>
          <w:p w14:paraId="5C23105F" w14:textId="77777777" w:rsidR="004F25C1" w:rsidRDefault="004F25C1" w:rsidP="004F25C1">
            <w:pPr>
              <w:pStyle w:val="Textlist-bullet"/>
            </w:pPr>
            <w:r>
              <w:t>Make arrangements to receive early warnings of severe weather either directly from the Met Office or through the county council.</w:t>
            </w:r>
          </w:p>
          <w:p w14:paraId="26A078EF" w14:textId="7CC5BCBD" w:rsidR="004F25C1" w:rsidRDefault="004F25C1" w:rsidP="004F25C1">
            <w:pPr>
              <w:pStyle w:val="Textlist-bullet"/>
            </w:pPr>
            <w:r>
              <w:t>Cascade warnings to all colleagues, those currently on shift and those who are at home.</w:t>
            </w:r>
          </w:p>
          <w:p w14:paraId="0716E2EB" w14:textId="46723A63" w:rsidR="004F25C1" w:rsidRDefault="004F25C1" w:rsidP="004F25C1">
            <w:pPr>
              <w:pStyle w:val="Textlist-bullet"/>
            </w:pPr>
            <w:r>
              <w:t>Consider colleagues shortage contingency actions, the main impacts of a heavy snow incident will be the inability for colleagues and essential contractors to get to and from your place of business.</w:t>
            </w:r>
          </w:p>
          <w:p w14:paraId="2EEBAA6F" w14:textId="77777777" w:rsidR="004F25C1" w:rsidRDefault="004F25C1" w:rsidP="004F25C1">
            <w:pPr>
              <w:pStyle w:val="Textlist-bullet"/>
            </w:pPr>
            <w:r>
              <w:t>Minimise travel to essential journeys only.</w:t>
            </w:r>
          </w:p>
          <w:p w14:paraId="7AFB8E1F" w14:textId="6D3933AB" w:rsidR="004F25C1" w:rsidRDefault="004F25C1" w:rsidP="004F25C1">
            <w:pPr>
              <w:pStyle w:val="Textlist-bullet"/>
            </w:pPr>
            <w:r>
              <w:t>Take emergency provisions inside your organisations vehicles - warm clothing, warm blanket, hot drink. Encourage colleagues to do the same with their personal vehicles.</w:t>
            </w:r>
          </w:p>
          <w:p w14:paraId="61E4E29C" w14:textId="479A9EC5" w:rsidR="004F25C1" w:rsidRDefault="004F25C1" w:rsidP="004F25C1">
            <w:pPr>
              <w:pStyle w:val="Textlist-bullet"/>
            </w:pPr>
            <w:r>
              <w:t>Be prepared for potential power failures.</w:t>
            </w:r>
          </w:p>
        </w:tc>
      </w:tr>
    </w:tbl>
    <w:p w14:paraId="7A902516" w14:textId="77777777" w:rsidR="0007452B" w:rsidRPr="0007452B" w:rsidRDefault="0007452B" w:rsidP="0007452B">
      <w:pPr>
        <w:pStyle w:val="Text2Numbered"/>
        <w:numPr>
          <w:ilvl w:val="0"/>
          <w:numId w:val="0"/>
        </w:numPr>
        <w:ind w:left="1135"/>
      </w:pPr>
    </w:p>
    <w:p w14:paraId="5BE14D08" w14:textId="486A9076" w:rsidR="00DF67AA" w:rsidRDefault="009A0ED4" w:rsidP="002E4B12">
      <w:pPr>
        <w:pStyle w:val="Heading1Numbered"/>
      </w:pPr>
      <w:bookmarkStart w:id="23" w:name="_Toc158208225"/>
      <w:r w:rsidRPr="00DC7F16">
        <w:t>Version Control</w:t>
      </w:r>
      <w:bookmarkEnd w:id="23"/>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177"/>
        <w:gridCol w:w="4119"/>
        <w:gridCol w:w="1715"/>
        <w:gridCol w:w="1390"/>
      </w:tblGrid>
      <w:tr w:rsidR="00B6194D" w:rsidRPr="00C20FF4" w14:paraId="3A5D3DB1" w14:textId="77777777" w:rsidTr="00705ABB">
        <w:trPr>
          <w:trHeight w:val="830"/>
        </w:trPr>
        <w:tc>
          <w:tcPr>
            <w:tcW w:w="1126" w:type="dxa"/>
            <w:shd w:val="clear" w:color="auto" w:fill="217593"/>
          </w:tcPr>
          <w:p w14:paraId="54CB0B1E" w14:textId="77777777" w:rsidR="00B6194D" w:rsidRPr="00C20FF4" w:rsidRDefault="00B6194D" w:rsidP="000B11BA">
            <w:pPr>
              <w:spacing w:before="60"/>
              <w:rPr>
                <w:rFonts w:eastAsia="Arial" w:cs="Arial"/>
                <w:b/>
                <w:color w:val="FFFFFF"/>
              </w:rPr>
            </w:pPr>
            <w:r w:rsidRPr="00C20FF4">
              <w:rPr>
                <w:rFonts w:eastAsia="Arial" w:cs="Arial"/>
                <w:b/>
                <w:color w:val="FFFFFF"/>
              </w:rPr>
              <w:t>Version</w:t>
            </w:r>
          </w:p>
        </w:tc>
        <w:tc>
          <w:tcPr>
            <w:tcW w:w="1177" w:type="dxa"/>
            <w:shd w:val="clear" w:color="auto" w:fill="217593"/>
          </w:tcPr>
          <w:p w14:paraId="0C765A11" w14:textId="77777777" w:rsidR="00B6194D" w:rsidRPr="00C20FF4" w:rsidRDefault="00B6194D" w:rsidP="000B11BA">
            <w:pPr>
              <w:spacing w:before="60"/>
              <w:rPr>
                <w:rFonts w:eastAsia="Arial" w:cs="Arial"/>
                <w:b/>
                <w:color w:val="FFFFFF"/>
              </w:rPr>
            </w:pPr>
            <w:r w:rsidRPr="00C20FF4">
              <w:rPr>
                <w:rFonts w:eastAsia="Arial" w:cs="Arial"/>
                <w:b/>
                <w:color w:val="FFFFFF"/>
              </w:rPr>
              <w:t>Version Date</w:t>
            </w:r>
          </w:p>
        </w:tc>
        <w:tc>
          <w:tcPr>
            <w:tcW w:w="4214" w:type="dxa"/>
            <w:shd w:val="clear" w:color="auto" w:fill="217593"/>
          </w:tcPr>
          <w:p w14:paraId="3369F254" w14:textId="77777777" w:rsidR="00B6194D" w:rsidRPr="00C20FF4" w:rsidRDefault="00B6194D" w:rsidP="000B11BA">
            <w:pPr>
              <w:spacing w:before="60"/>
              <w:rPr>
                <w:rFonts w:eastAsia="Arial" w:cs="Arial"/>
                <w:b/>
                <w:color w:val="FFFFFF"/>
              </w:rPr>
            </w:pPr>
            <w:r w:rsidRPr="00C20FF4">
              <w:rPr>
                <w:rFonts w:eastAsia="Arial" w:cs="Arial"/>
                <w:b/>
                <w:color w:val="FFFFFF"/>
              </w:rPr>
              <w:t xml:space="preserve">Revision Description / Summary of Changes </w:t>
            </w:r>
          </w:p>
        </w:tc>
        <w:tc>
          <w:tcPr>
            <w:tcW w:w="1734" w:type="dxa"/>
            <w:shd w:val="clear" w:color="auto" w:fill="217593"/>
          </w:tcPr>
          <w:p w14:paraId="0282442E" w14:textId="77777777" w:rsidR="00B6194D" w:rsidRPr="00C20FF4" w:rsidRDefault="00B6194D" w:rsidP="000B11BA">
            <w:pPr>
              <w:spacing w:before="60"/>
              <w:rPr>
                <w:rFonts w:eastAsia="Arial" w:cs="Arial"/>
                <w:b/>
                <w:color w:val="FFFFFF"/>
              </w:rPr>
            </w:pPr>
            <w:r w:rsidRPr="00C20FF4">
              <w:rPr>
                <w:rFonts w:eastAsia="Arial" w:cs="Arial"/>
                <w:b/>
                <w:color w:val="FFFFFF"/>
              </w:rPr>
              <w:t>Author</w:t>
            </w:r>
          </w:p>
        </w:tc>
        <w:tc>
          <w:tcPr>
            <w:tcW w:w="1275" w:type="dxa"/>
            <w:shd w:val="clear" w:color="auto" w:fill="217593"/>
          </w:tcPr>
          <w:p w14:paraId="5A7E4D02" w14:textId="77777777" w:rsidR="00B6194D" w:rsidRPr="00C20FF4" w:rsidRDefault="00B6194D" w:rsidP="000B11BA">
            <w:pPr>
              <w:spacing w:before="60"/>
              <w:rPr>
                <w:rFonts w:eastAsia="Arial" w:cs="Arial"/>
                <w:b/>
                <w:color w:val="FFFFFF"/>
              </w:rPr>
            </w:pPr>
            <w:r w:rsidRPr="00C20FF4">
              <w:rPr>
                <w:rFonts w:eastAsia="Arial" w:cs="Arial"/>
                <w:b/>
                <w:color w:val="FFFFFF"/>
              </w:rPr>
              <w:t>Next Review Date</w:t>
            </w:r>
          </w:p>
        </w:tc>
      </w:tr>
      <w:tr w:rsidR="00B6194D" w:rsidRPr="00C20FF4" w14:paraId="0267319D" w14:textId="77777777" w:rsidTr="00B6194D">
        <w:trPr>
          <w:trHeight w:val="407"/>
        </w:trPr>
        <w:tc>
          <w:tcPr>
            <w:tcW w:w="1126" w:type="dxa"/>
            <w:shd w:val="clear" w:color="auto" w:fill="auto"/>
          </w:tcPr>
          <w:p w14:paraId="2614725D" w14:textId="13EB7F0A" w:rsidR="00B6194D" w:rsidRPr="00C20FF4" w:rsidRDefault="00B6194D" w:rsidP="000B11BA">
            <w:pPr>
              <w:spacing w:before="60"/>
              <w:rPr>
                <w:rFonts w:eastAsia="Arial" w:cs="Arial"/>
              </w:rPr>
            </w:pPr>
            <w:r>
              <w:rPr>
                <w:rFonts w:eastAsia="Arial" w:cs="Arial"/>
              </w:rPr>
              <w:t>4</w:t>
            </w:r>
          </w:p>
        </w:tc>
        <w:tc>
          <w:tcPr>
            <w:tcW w:w="1177" w:type="dxa"/>
            <w:shd w:val="clear" w:color="auto" w:fill="auto"/>
          </w:tcPr>
          <w:p w14:paraId="79742310" w14:textId="77777777" w:rsidR="00B6194D" w:rsidRPr="00C20FF4" w:rsidRDefault="00B6194D" w:rsidP="000B11BA">
            <w:pPr>
              <w:spacing w:before="60"/>
              <w:rPr>
                <w:rFonts w:eastAsia="Arial" w:cs="Arial"/>
              </w:rPr>
            </w:pPr>
            <w:r>
              <w:rPr>
                <w:rFonts w:eastAsia="Arial" w:cs="Arial"/>
              </w:rPr>
              <w:t>June 2022</w:t>
            </w:r>
          </w:p>
        </w:tc>
        <w:tc>
          <w:tcPr>
            <w:tcW w:w="4214" w:type="dxa"/>
            <w:shd w:val="clear" w:color="auto" w:fill="auto"/>
          </w:tcPr>
          <w:p w14:paraId="77720F60" w14:textId="77777777" w:rsidR="00B6194D" w:rsidRPr="00C20FF4" w:rsidRDefault="00B6194D" w:rsidP="00B6194D">
            <w:pPr>
              <w:pStyle w:val="Textlist-bullet"/>
            </w:pPr>
            <w:r>
              <w:t>No changes. Due to expected new ways / systems of working, the review date has been extended.</w:t>
            </w:r>
          </w:p>
        </w:tc>
        <w:tc>
          <w:tcPr>
            <w:tcW w:w="1734" w:type="dxa"/>
            <w:shd w:val="clear" w:color="auto" w:fill="auto"/>
          </w:tcPr>
          <w:p w14:paraId="6DC4CBBC" w14:textId="77777777" w:rsidR="00B6194D" w:rsidRPr="00C20FF4" w:rsidRDefault="00B6194D" w:rsidP="000B11BA">
            <w:pPr>
              <w:spacing w:before="60"/>
              <w:rPr>
                <w:rFonts w:eastAsia="Arial" w:cs="Arial"/>
              </w:rPr>
            </w:pPr>
            <w:r>
              <w:rPr>
                <w:rFonts w:eastAsia="Arial" w:cs="Arial"/>
              </w:rPr>
              <w:t>Head of H&amp;S</w:t>
            </w:r>
          </w:p>
        </w:tc>
        <w:tc>
          <w:tcPr>
            <w:tcW w:w="1275" w:type="dxa"/>
            <w:shd w:val="clear" w:color="auto" w:fill="auto"/>
          </w:tcPr>
          <w:p w14:paraId="31C8E0DC" w14:textId="77777777" w:rsidR="00B6194D" w:rsidRPr="00C20FF4" w:rsidRDefault="00B6194D" w:rsidP="000B11BA">
            <w:pPr>
              <w:spacing w:before="60"/>
              <w:rPr>
                <w:rFonts w:eastAsia="Arial" w:cs="Arial"/>
              </w:rPr>
            </w:pPr>
            <w:r>
              <w:rPr>
                <w:rFonts w:eastAsia="Arial" w:cs="Arial"/>
              </w:rPr>
              <w:t>June 2023</w:t>
            </w:r>
          </w:p>
        </w:tc>
      </w:tr>
      <w:tr w:rsidR="00B6194D" w:rsidRPr="00C20FF4" w14:paraId="6B456C1E" w14:textId="77777777" w:rsidTr="00B6194D">
        <w:trPr>
          <w:trHeight w:val="407"/>
        </w:trPr>
        <w:tc>
          <w:tcPr>
            <w:tcW w:w="1126" w:type="dxa"/>
            <w:shd w:val="clear" w:color="auto" w:fill="auto"/>
          </w:tcPr>
          <w:p w14:paraId="4BE717C5" w14:textId="4C75617F" w:rsidR="00B6194D" w:rsidRPr="00C20FF4" w:rsidRDefault="00B6194D" w:rsidP="000B11BA">
            <w:pPr>
              <w:spacing w:before="60"/>
              <w:rPr>
                <w:rFonts w:eastAsia="Arial" w:cs="Arial"/>
              </w:rPr>
            </w:pPr>
            <w:r>
              <w:rPr>
                <w:rFonts w:eastAsia="Arial" w:cs="Arial"/>
              </w:rPr>
              <w:t>5</w:t>
            </w:r>
          </w:p>
        </w:tc>
        <w:tc>
          <w:tcPr>
            <w:tcW w:w="1177" w:type="dxa"/>
            <w:shd w:val="clear" w:color="auto" w:fill="auto"/>
          </w:tcPr>
          <w:p w14:paraId="7B87C232" w14:textId="77777777" w:rsidR="00B6194D" w:rsidRPr="00C20FF4" w:rsidRDefault="00B6194D" w:rsidP="000B11BA">
            <w:pPr>
              <w:spacing w:before="60"/>
              <w:rPr>
                <w:rFonts w:eastAsia="Arial" w:cs="Arial"/>
              </w:rPr>
            </w:pPr>
            <w:r>
              <w:rPr>
                <w:rFonts w:eastAsia="Arial" w:cs="Arial"/>
              </w:rPr>
              <w:t>January 2024</w:t>
            </w:r>
          </w:p>
        </w:tc>
        <w:tc>
          <w:tcPr>
            <w:tcW w:w="4214" w:type="dxa"/>
            <w:shd w:val="clear" w:color="auto" w:fill="auto"/>
          </w:tcPr>
          <w:p w14:paraId="22320302" w14:textId="4F4AE3A7" w:rsidR="00B6194D" w:rsidRPr="00C20FF4" w:rsidRDefault="00B6194D" w:rsidP="00B6194D">
            <w:pPr>
              <w:pStyle w:val="Textlist-bullet"/>
              <w:rPr>
                <w:rFonts w:eastAsia="Calibri"/>
                <w:iCs/>
              </w:rPr>
            </w:pPr>
            <w:r>
              <w:rPr>
                <w:rFonts w:eastAsia="Calibri"/>
                <w:iCs/>
              </w:rPr>
              <w:t>No changes</w:t>
            </w:r>
            <w:r w:rsidR="00C8433A">
              <w:rPr>
                <w:rFonts w:eastAsia="Calibri"/>
                <w:iCs/>
              </w:rPr>
              <w:t>,</w:t>
            </w:r>
            <w:r>
              <w:rPr>
                <w:rFonts w:eastAsia="Calibri"/>
                <w:iCs/>
              </w:rPr>
              <w:t xml:space="preserve"> the review date has been extended. This policy is currently under active review.</w:t>
            </w:r>
          </w:p>
        </w:tc>
        <w:tc>
          <w:tcPr>
            <w:tcW w:w="1734" w:type="dxa"/>
            <w:shd w:val="clear" w:color="auto" w:fill="auto"/>
          </w:tcPr>
          <w:p w14:paraId="73AA2D87" w14:textId="77777777" w:rsidR="00B6194D" w:rsidRPr="00C20FF4" w:rsidRDefault="00B6194D" w:rsidP="000B11BA">
            <w:pPr>
              <w:spacing w:before="60"/>
              <w:rPr>
                <w:rFonts w:eastAsia="Arial" w:cs="Arial"/>
              </w:rPr>
            </w:pPr>
            <w:r>
              <w:rPr>
                <w:rFonts w:eastAsia="Arial" w:cs="Arial"/>
              </w:rPr>
              <w:t>Standards and Policy Manager</w:t>
            </w:r>
          </w:p>
        </w:tc>
        <w:tc>
          <w:tcPr>
            <w:tcW w:w="1275" w:type="dxa"/>
            <w:shd w:val="clear" w:color="auto" w:fill="auto"/>
          </w:tcPr>
          <w:p w14:paraId="62A19106" w14:textId="77777777" w:rsidR="00B6194D" w:rsidRPr="00C20FF4" w:rsidRDefault="00B6194D" w:rsidP="000B11BA">
            <w:pPr>
              <w:spacing w:before="60"/>
              <w:rPr>
                <w:rFonts w:eastAsia="Arial" w:cs="Arial"/>
              </w:rPr>
            </w:pPr>
            <w:r>
              <w:rPr>
                <w:rFonts w:eastAsia="Arial" w:cs="Arial"/>
              </w:rPr>
              <w:t>May 2024</w:t>
            </w:r>
          </w:p>
        </w:tc>
      </w:tr>
      <w:tr w:rsidR="00B6194D" w:rsidRPr="00C20FF4" w14:paraId="76106A9E" w14:textId="77777777" w:rsidTr="00B6194D">
        <w:trPr>
          <w:trHeight w:val="407"/>
        </w:trPr>
        <w:tc>
          <w:tcPr>
            <w:tcW w:w="1126" w:type="dxa"/>
            <w:shd w:val="clear" w:color="auto" w:fill="auto"/>
          </w:tcPr>
          <w:p w14:paraId="6151AC0A" w14:textId="4E2A2E30" w:rsidR="00B6194D" w:rsidRPr="00C20FF4" w:rsidRDefault="00B6194D" w:rsidP="000B11BA">
            <w:pPr>
              <w:spacing w:before="60"/>
              <w:rPr>
                <w:rFonts w:eastAsia="Arial" w:cs="Arial"/>
              </w:rPr>
            </w:pPr>
            <w:r>
              <w:rPr>
                <w:rFonts w:eastAsia="Arial" w:cs="Arial"/>
              </w:rPr>
              <w:lastRenderedPageBreak/>
              <w:t>6</w:t>
            </w:r>
          </w:p>
        </w:tc>
        <w:tc>
          <w:tcPr>
            <w:tcW w:w="1177" w:type="dxa"/>
            <w:shd w:val="clear" w:color="auto" w:fill="auto"/>
          </w:tcPr>
          <w:p w14:paraId="1541E044" w14:textId="73AFBFBA" w:rsidR="00B6194D" w:rsidRPr="00C20FF4" w:rsidRDefault="00B6194D" w:rsidP="000B11BA">
            <w:pPr>
              <w:spacing w:before="60"/>
              <w:rPr>
                <w:rFonts w:eastAsia="Arial" w:cs="Arial"/>
              </w:rPr>
            </w:pPr>
            <w:r>
              <w:rPr>
                <w:rFonts w:eastAsia="Arial" w:cs="Arial"/>
              </w:rPr>
              <w:t>February 2024</w:t>
            </w:r>
          </w:p>
        </w:tc>
        <w:tc>
          <w:tcPr>
            <w:tcW w:w="4214" w:type="dxa"/>
            <w:shd w:val="clear" w:color="auto" w:fill="auto"/>
          </w:tcPr>
          <w:p w14:paraId="43318836" w14:textId="77777777" w:rsidR="00B6194D" w:rsidRDefault="00B6194D" w:rsidP="00B6194D">
            <w:pPr>
              <w:pStyle w:val="Textlist-bullet"/>
              <w:rPr>
                <w:rFonts w:eastAsia="Calibri"/>
                <w:iCs/>
              </w:rPr>
            </w:pPr>
            <w:r>
              <w:rPr>
                <w:rFonts w:eastAsia="Calibri"/>
                <w:iCs/>
              </w:rPr>
              <w:t>S</w:t>
            </w:r>
            <w:r w:rsidRPr="00B6194D">
              <w:rPr>
                <w:rFonts w:eastAsia="Calibri"/>
                <w:iCs/>
              </w:rPr>
              <w:t>tatutory review completed; regular compliance review required including a review of standard operating procedure.</w:t>
            </w:r>
          </w:p>
          <w:p w14:paraId="1B454202" w14:textId="456A7B06" w:rsidR="00684147" w:rsidRPr="00C20FF4" w:rsidRDefault="00684147" w:rsidP="00B6194D">
            <w:pPr>
              <w:pStyle w:val="Textlist-bullet"/>
              <w:rPr>
                <w:rFonts w:eastAsia="Calibri"/>
                <w:iCs/>
              </w:rPr>
            </w:pPr>
            <w:r>
              <w:rPr>
                <w:rFonts w:eastAsia="Calibri"/>
                <w:iCs/>
              </w:rPr>
              <w:t>Continuous improvement section added ready for regular compliance review.</w:t>
            </w:r>
          </w:p>
        </w:tc>
        <w:tc>
          <w:tcPr>
            <w:tcW w:w="1734" w:type="dxa"/>
            <w:shd w:val="clear" w:color="auto" w:fill="auto"/>
          </w:tcPr>
          <w:p w14:paraId="4B020E22" w14:textId="16B94D3D" w:rsidR="00B6194D" w:rsidRPr="00C20FF4" w:rsidRDefault="00B6194D" w:rsidP="000B11BA">
            <w:pPr>
              <w:spacing w:before="60"/>
              <w:rPr>
                <w:rFonts w:eastAsia="Arial" w:cs="Arial"/>
              </w:rPr>
            </w:pPr>
            <w:r>
              <w:rPr>
                <w:rFonts w:eastAsia="Arial" w:cs="Arial"/>
              </w:rPr>
              <w:t>Standards and Policy Manager</w:t>
            </w:r>
          </w:p>
        </w:tc>
        <w:tc>
          <w:tcPr>
            <w:tcW w:w="1275" w:type="dxa"/>
            <w:shd w:val="clear" w:color="auto" w:fill="auto"/>
          </w:tcPr>
          <w:p w14:paraId="28E50C2A" w14:textId="7A3FF777" w:rsidR="00B6194D" w:rsidRPr="00C20FF4" w:rsidRDefault="008110AF" w:rsidP="000B11BA">
            <w:pPr>
              <w:spacing w:before="60"/>
              <w:rPr>
                <w:rFonts w:eastAsia="Arial" w:cs="Arial"/>
              </w:rPr>
            </w:pPr>
            <w:r>
              <w:rPr>
                <w:rFonts w:eastAsia="Arial" w:cs="Arial"/>
              </w:rPr>
              <w:t>September</w:t>
            </w:r>
            <w:r w:rsidR="00B6194D">
              <w:rPr>
                <w:rFonts w:eastAsia="Arial" w:cs="Arial"/>
              </w:rPr>
              <w:t xml:space="preserve"> 2024</w:t>
            </w:r>
          </w:p>
        </w:tc>
      </w:tr>
      <w:tr w:rsidR="00A5434A" w:rsidRPr="00C20FF4" w14:paraId="51BB33B1" w14:textId="77777777" w:rsidTr="00B6194D">
        <w:trPr>
          <w:trHeight w:val="407"/>
        </w:trPr>
        <w:tc>
          <w:tcPr>
            <w:tcW w:w="1126" w:type="dxa"/>
            <w:shd w:val="clear" w:color="auto" w:fill="auto"/>
          </w:tcPr>
          <w:p w14:paraId="633005A1" w14:textId="15BAE113" w:rsidR="00A5434A" w:rsidRDefault="00A5434A" w:rsidP="000B11BA">
            <w:pPr>
              <w:spacing w:before="60"/>
              <w:rPr>
                <w:rFonts w:eastAsia="Arial" w:cs="Arial"/>
              </w:rPr>
            </w:pPr>
            <w:r>
              <w:rPr>
                <w:rFonts w:eastAsia="Arial" w:cs="Arial"/>
              </w:rPr>
              <w:t>7</w:t>
            </w:r>
          </w:p>
        </w:tc>
        <w:tc>
          <w:tcPr>
            <w:tcW w:w="1177" w:type="dxa"/>
            <w:shd w:val="clear" w:color="auto" w:fill="auto"/>
          </w:tcPr>
          <w:p w14:paraId="4454DF1C" w14:textId="45E36D5B" w:rsidR="00A5434A" w:rsidRDefault="00A5434A" w:rsidP="000B11BA">
            <w:pPr>
              <w:spacing w:before="60"/>
              <w:rPr>
                <w:rFonts w:eastAsia="Arial" w:cs="Arial"/>
              </w:rPr>
            </w:pPr>
            <w:r>
              <w:rPr>
                <w:rFonts w:eastAsia="Arial" w:cs="Arial"/>
              </w:rPr>
              <w:t>June 2024</w:t>
            </w:r>
          </w:p>
        </w:tc>
        <w:tc>
          <w:tcPr>
            <w:tcW w:w="4214" w:type="dxa"/>
            <w:shd w:val="clear" w:color="auto" w:fill="auto"/>
          </w:tcPr>
          <w:p w14:paraId="0700050D" w14:textId="1A66B481" w:rsidR="00A5434A" w:rsidRDefault="00A5434A" w:rsidP="00B6194D">
            <w:pPr>
              <w:pStyle w:val="Textlist-bullet"/>
              <w:rPr>
                <w:rFonts w:eastAsia="Calibri"/>
                <w:iCs/>
              </w:rPr>
            </w:pPr>
            <w:r>
              <w:rPr>
                <w:rFonts w:eastAsia="Calibri"/>
                <w:iCs/>
              </w:rPr>
              <w:t xml:space="preserve">Updated policy reference to new Incident Response and Escalation Policy </w:t>
            </w:r>
          </w:p>
        </w:tc>
        <w:tc>
          <w:tcPr>
            <w:tcW w:w="1734" w:type="dxa"/>
            <w:shd w:val="clear" w:color="auto" w:fill="auto"/>
          </w:tcPr>
          <w:p w14:paraId="26CE68F7" w14:textId="5DB2E45A" w:rsidR="00A5434A" w:rsidRDefault="00A5434A" w:rsidP="000B11BA">
            <w:pPr>
              <w:spacing w:before="60"/>
              <w:rPr>
                <w:rFonts w:eastAsia="Arial" w:cs="Arial"/>
              </w:rPr>
            </w:pPr>
            <w:r>
              <w:rPr>
                <w:rFonts w:eastAsia="Arial" w:cs="Arial"/>
              </w:rPr>
              <w:t xml:space="preserve">Head of Standards and Policy </w:t>
            </w:r>
          </w:p>
        </w:tc>
        <w:tc>
          <w:tcPr>
            <w:tcW w:w="1275" w:type="dxa"/>
            <w:shd w:val="clear" w:color="auto" w:fill="auto"/>
          </w:tcPr>
          <w:p w14:paraId="579D89C5" w14:textId="22073CB1" w:rsidR="00A5434A" w:rsidRDefault="00A5434A" w:rsidP="000B11BA">
            <w:pPr>
              <w:spacing w:before="60"/>
              <w:rPr>
                <w:rFonts w:eastAsia="Arial" w:cs="Arial"/>
              </w:rPr>
            </w:pPr>
            <w:r>
              <w:rPr>
                <w:rFonts w:eastAsia="Arial" w:cs="Arial"/>
              </w:rPr>
              <w:t>September 2024</w:t>
            </w:r>
          </w:p>
        </w:tc>
      </w:tr>
      <w:tr w:rsidR="00746D25" w:rsidRPr="00C20FF4" w14:paraId="5C3BE91F" w14:textId="77777777" w:rsidTr="00B6194D">
        <w:trPr>
          <w:trHeight w:val="407"/>
        </w:trPr>
        <w:tc>
          <w:tcPr>
            <w:tcW w:w="1126" w:type="dxa"/>
            <w:shd w:val="clear" w:color="auto" w:fill="auto"/>
          </w:tcPr>
          <w:p w14:paraId="686159C8" w14:textId="016B2754" w:rsidR="00746D25" w:rsidRDefault="00746D25" w:rsidP="000B11BA">
            <w:pPr>
              <w:spacing w:before="60"/>
              <w:rPr>
                <w:rFonts w:eastAsia="Arial" w:cs="Arial"/>
              </w:rPr>
            </w:pPr>
            <w:r>
              <w:rPr>
                <w:rFonts w:eastAsia="Arial" w:cs="Arial"/>
              </w:rPr>
              <w:t>8</w:t>
            </w:r>
          </w:p>
        </w:tc>
        <w:tc>
          <w:tcPr>
            <w:tcW w:w="1177" w:type="dxa"/>
            <w:shd w:val="clear" w:color="auto" w:fill="auto"/>
          </w:tcPr>
          <w:p w14:paraId="79BE43E4" w14:textId="41A6BD03" w:rsidR="00746D25" w:rsidRDefault="00746D25" w:rsidP="000B11BA">
            <w:pPr>
              <w:spacing w:before="60"/>
              <w:rPr>
                <w:rFonts w:eastAsia="Arial" w:cs="Arial"/>
              </w:rPr>
            </w:pPr>
            <w:r>
              <w:rPr>
                <w:rFonts w:eastAsia="Arial" w:cs="Arial"/>
              </w:rPr>
              <w:t>July 2024</w:t>
            </w:r>
          </w:p>
        </w:tc>
        <w:tc>
          <w:tcPr>
            <w:tcW w:w="4214" w:type="dxa"/>
            <w:shd w:val="clear" w:color="auto" w:fill="auto"/>
          </w:tcPr>
          <w:p w14:paraId="133F73CC" w14:textId="7230595B" w:rsidR="00746D25" w:rsidRDefault="00746D25" w:rsidP="00B6194D">
            <w:pPr>
              <w:pStyle w:val="Textlist-bullet"/>
              <w:rPr>
                <w:rFonts w:eastAsia="Calibri"/>
                <w:iCs/>
              </w:rPr>
            </w:pPr>
            <w:r>
              <w:rPr>
                <w:rFonts w:eastAsia="Calibri"/>
                <w:iCs/>
              </w:rPr>
              <w:t>Review date extended.</w:t>
            </w:r>
          </w:p>
        </w:tc>
        <w:tc>
          <w:tcPr>
            <w:tcW w:w="1734" w:type="dxa"/>
            <w:shd w:val="clear" w:color="auto" w:fill="auto"/>
          </w:tcPr>
          <w:p w14:paraId="044A173B" w14:textId="0FF74630" w:rsidR="00746D25" w:rsidRDefault="00746D25" w:rsidP="000B11BA">
            <w:pPr>
              <w:spacing w:before="60"/>
              <w:rPr>
                <w:rFonts w:eastAsia="Arial" w:cs="Arial"/>
              </w:rPr>
            </w:pPr>
            <w:r>
              <w:rPr>
                <w:rFonts w:eastAsia="Arial" w:cs="Arial"/>
              </w:rPr>
              <w:t>Standards and Policy Manager</w:t>
            </w:r>
          </w:p>
        </w:tc>
        <w:tc>
          <w:tcPr>
            <w:tcW w:w="1275" w:type="dxa"/>
            <w:shd w:val="clear" w:color="auto" w:fill="auto"/>
          </w:tcPr>
          <w:p w14:paraId="2969D5CD" w14:textId="6D55EEB1" w:rsidR="00746D25" w:rsidRDefault="00746D25" w:rsidP="000B11BA">
            <w:pPr>
              <w:spacing w:before="60"/>
              <w:rPr>
                <w:rFonts w:eastAsia="Arial" w:cs="Arial"/>
              </w:rPr>
            </w:pPr>
            <w:r>
              <w:rPr>
                <w:rFonts w:eastAsia="Arial" w:cs="Arial"/>
              </w:rPr>
              <w:t>November 2024</w:t>
            </w:r>
          </w:p>
        </w:tc>
      </w:tr>
      <w:tr w:rsidR="00705ABB" w:rsidRPr="00C20FF4" w14:paraId="0D2B05F8" w14:textId="77777777" w:rsidTr="00B6194D">
        <w:trPr>
          <w:trHeight w:val="407"/>
        </w:trPr>
        <w:tc>
          <w:tcPr>
            <w:tcW w:w="1126" w:type="dxa"/>
            <w:shd w:val="clear" w:color="auto" w:fill="auto"/>
          </w:tcPr>
          <w:p w14:paraId="6128EC90" w14:textId="4690B2D7" w:rsidR="00705ABB" w:rsidRDefault="00705ABB" w:rsidP="000B11BA">
            <w:pPr>
              <w:spacing w:before="60"/>
              <w:rPr>
                <w:rFonts w:eastAsia="Arial" w:cs="Arial"/>
              </w:rPr>
            </w:pPr>
            <w:r>
              <w:rPr>
                <w:rFonts w:eastAsia="Arial" w:cs="Arial"/>
              </w:rPr>
              <w:t>9</w:t>
            </w:r>
          </w:p>
        </w:tc>
        <w:tc>
          <w:tcPr>
            <w:tcW w:w="1177" w:type="dxa"/>
            <w:shd w:val="clear" w:color="auto" w:fill="auto"/>
          </w:tcPr>
          <w:p w14:paraId="7A084785" w14:textId="535171E9" w:rsidR="00705ABB" w:rsidRDefault="00705ABB" w:rsidP="000B11BA">
            <w:pPr>
              <w:spacing w:before="60"/>
              <w:rPr>
                <w:rFonts w:eastAsia="Arial" w:cs="Arial"/>
              </w:rPr>
            </w:pPr>
            <w:r>
              <w:rPr>
                <w:rFonts w:eastAsia="Arial" w:cs="Arial"/>
              </w:rPr>
              <w:t>October 2024</w:t>
            </w:r>
          </w:p>
        </w:tc>
        <w:tc>
          <w:tcPr>
            <w:tcW w:w="4214" w:type="dxa"/>
            <w:shd w:val="clear" w:color="auto" w:fill="auto"/>
          </w:tcPr>
          <w:p w14:paraId="4ABBA2A0" w14:textId="77777777" w:rsidR="00705ABB" w:rsidRDefault="00DF7ACF" w:rsidP="00B6194D">
            <w:pPr>
              <w:pStyle w:val="Textlist-bullet"/>
              <w:rPr>
                <w:rFonts w:eastAsia="Calibri"/>
                <w:iCs/>
              </w:rPr>
            </w:pPr>
            <w:r>
              <w:rPr>
                <w:rFonts w:eastAsia="Calibri"/>
                <w:iCs/>
              </w:rPr>
              <w:t>Amended links to out of hours reporting.</w:t>
            </w:r>
          </w:p>
          <w:p w14:paraId="2AACB925" w14:textId="6250BFB3" w:rsidR="00DF7ACF" w:rsidRDefault="00DF7ACF" w:rsidP="00B6194D">
            <w:pPr>
              <w:pStyle w:val="Textlist-bullet"/>
              <w:rPr>
                <w:rFonts w:eastAsia="Calibri"/>
                <w:iCs/>
              </w:rPr>
            </w:pPr>
            <w:r>
              <w:rPr>
                <w:rFonts w:eastAsia="Calibri"/>
                <w:iCs/>
              </w:rPr>
              <w:t>Included reference in section 3 Definitions to cyber and information security</w:t>
            </w:r>
          </w:p>
        </w:tc>
        <w:tc>
          <w:tcPr>
            <w:tcW w:w="1734" w:type="dxa"/>
            <w:shd w:val="clear" w:color="auto" w:fill="auto"/>
          </w:tcPr>
          <w:p w14:paraId="3F4795C9" w14:textId="011E4AEA" w:rsidR="00705ABB" w:rsidRDefault="00DF7ACF" w:rsidP="000B11BA">
            <w:pPr>
              <w:spacing w:before="60"/>
              <w:rPr>
                <w:rFonts w:eastAsia="Arial" w:cs="Arial"/>
              </w:rPr>
            </w:pPr>
            <w:r>
              <w:rPr>
                <w:rFonts w:eastAsia="Arial" w:cs="Arial"/>
              </w:rPr>
              <w:t>Head of Standards and Policy</w:t>
            </w:r>
          </w:p>
        </w:tc>
        <w:tc>
          <w:tcPr>
            <w:tcW w:w="1275" w:type="dxa"/>
            <w:shd w:val="clear" w:color="auto" w:fill="auto"/>
          </w:tcPr>
          <w:p w14:paraId="384A1597" w14:textId="02434859" w:rsidR="00705ABB" w:rsidRDefault="00DF7ACF" w:rsidP="000B11BA">
            <w:pPr>
              <w:spacing w:before="60"/>
              <w:rPr>
                <w:rFonts w:eastAsia="Arial" w:cs="Arial"/>
              </w:rPr>
            </w:pPr>
            <w:r>
              <w:rPr>
                <w:rFonts w:eastAsia="Arial" w:cs="Arial"/>
              </w:rPr>
              <w:t>November 202</w:t>
            </w:r>
            <w:r w:rsidR="00C8433A">
              <w:rPr>
                <w:rFonts w:eastAsia="Arial" w:cs="Arial"/>
              </w:rPr>
              <w:t>5</w:t>
            </w:r>
          </w:p>
        </w:tc>
      </w:tr>
    </w:tbl>
    <w:p w14:paraId="76F7575E" w14:textId="77777777" w:rsidR="002D47FD" w:rsidRPr="004C3545" w:rsidRDefault="002D47FD" w:rsidP="00265378">
      <w:pPr>
        <w:pStyle w:val="Text"/>
      </w:pPr>
    </w:p>
    <w:sectPr w:rsidR="002D47FD" w:rsidRPr="004C3545" w:rsidSect="005345EC">
      <w:headerReference w:type="default" r:id="rId11"/>
      <w:footerReference w:type="default" r:id="rId1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15A5B" w14:textId="77777777" w:rsidR="00F85EA6" w:rsidRDefault="00F85EA6" w:rsidP="001876E7">
      <w:pPr>
        <w:spacing w:line="240" w:lineRule="auto"/>
      </w:pPr>
      <w:r>
        <w:separator/>
      </w:r>
    </w:p>
  </w:endnote>
  <w:endnote w:type="continuationSeparator" w:id="0">
    <w:p w14:paraId="5DD4926C" w14:textId="77777777" w:rsidR="00F85EA6" w:rsidRDefault="00F85EA6"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1BC5E137" w14:textId="77777777" w:rsidR="00764B4C" w:rsidRPr="00764B4C" w:rsidRDefault="00764B4C" w:rsidP="002E4B12">
            <w:pPr>
              <w:pStyle w:val="FooterText"/>
              <w:jc w:val="center"/>
              <w:rPr>
                <w:rFonts w:cs="Arial"/>
                <w:spacing w:val="7"/>
              </w:rPr>
            </w:pPr>
          </w:p>
          <w:p w14:paraId="115DB3DB" w14:textId="57A770CD" w:rsidR="003865D9" w:rsidRDefault="00155F25" w:rsidP="00454821">
            <w:pPr>
              <w:pStyle w:val="FooterText"/>
              <w:tabs>
                <w:tab w:val="right" w:pos="9498"/>
              </w:tabs>
              <w:jc w:val="left"/>
            </w:pPr>
            <w:r w:rsidRPr="00155F25">
              <w:t>Business Continuity and Emergency Planning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06F82" w14:textId="77777777" w:rsidR="00F85EA6" w:rsidRDefault="00F85EA6" w:rsidP="001876E7">
      <w:pPr>
        <w:spacing w:line="240" w:lineRule="auto"/>
      </w:pPr>
      <w:r>
        <w:separator/>
      </w:r>
    </w:p>
  </w:footnote>
  <w:footnote w:type="continuationSeparator" w:id="0">
    <w:p w14:paraId="7C403A47" w14:textId="77777777" w:rsidR="00F85EA6" w:rsidRDefault="00F85EA6"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2947E"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11329A7D" wp14:editId="5D5D61C9">
          <wp:simplePos x="0" y="0"/>
          <wp:positionH relativeFrom="column">
            <wp:posOffset>0</wp:posOffset>
          </wp:positionH>
          <wp:positionV relativeFrom="page">
            <wp:posOffset>154940</wp:posOffset>
          </wp:positionV>
          <wp:extent cx="1076400" cy="759600"/>
          <wp:effectExtent l="0" t="0" r="0" b="2540"/>
          <wp:wrapSquare wrapText="bothSides"/>
          <wp:docPr id="1096729961" name="Picture 109672996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612D5E"/>
    <w:multiLevelType w:val="multilevel"/>
    <w:tmpl w:val="81EA5882"/>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95208C"/>
    <w:multiLevelType w:val="hybridMultilevel"/>
    <w:tmpl w:val="C41A986A"/>
    <w:lvl w:ilvl="0" w:tplc="D7CAF572">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0" w15:restartNumberingAfterBreak="0">
    <w:nsid w:val="29CB17E9"/>
    <w:multiLevelType w:val="multilevel"/>
    <w:tmpl w:val="75CA547C"/>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94"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20"/>
  </w:num>
  <w:num w:numId="7" w16cid:durableId="139810974">
    <w:abstractNumId w:val="5"/>
  </w:num>
  <w:num w:numId="8" w16cid:durableId="478111977">
    <w:abstractNumId w:val="16"/>
  </w:num>
  <w:num w:numId="9" w16cid:durableId="672680783">
    <w:abstractNumId w:val="15"/>
  </w:num>
  <w:num w:numId="10" w16cid:durableId="582229400">
    <w:abstractNumId w:val="23"/>
  </w:num>
  <w:num w:numId="11" w16cid:durableId="1068845125">
    <w:abstractNumId w:val="17"/>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3"/>
  </w:num>
  <w:num w:numId="20" w16cid:durableId="1927031610">
    <w:abstractNumId w:val="7"/>
  </w:num>
  <w:num w:numId="21" w16cid:durableId="149368801">
    <w:abstractNumId w:val="10"/>
  </w:num>
  <w:num w:numId="22" w16cid:durableId="537015620">
    <w:abstractNumId w:val="24"/>
  </w:num>
  <w:num w:numId="23" w16cid:durableId="673651929">
    <w:abstractNumId w:val="22"/>
  </w:num>
  <w:num w:numId="24" w16cid:durableId="1700010823">
    <w:abstractNumId w:val="0"/>
  </w:num>
  <w:num w:numId="25" w16cid:durableId="1459950268">
    <w:abstractNumId w:val="25"/>
  </w:num>
  <w:num w:numId="26" w16cid:durableId="2024210744">
    <w:abstractNumId w:val="12"/>
  </w:num>
  <w:num w:numId="27" w16cid:durableId="731196969">
    <w:abstractNumId w:val="6"/>
  </w:num>
  <w:num w:numId="28" w16cid:durableId="1159078511">
    <w:abstractNumId w:val="21"/>
  </w:num>
  <w:num w:numId="29" w16cid:durableId="580483559">
    <w:abstractNumId w:val="19"/>
  </w:num>
  <w:num w:numId="30" w16cid:durableId="1034160516">
    <w:abstractNumId w:val="11"/>
  </w:num>
  <w:num w:numId="31" w16cid:durableId="1233661081">
    <w:abstractNumId w:val="14"/>
  </w:num>
  <w:num w:numId="32" w16cid:durableId="1166898073">
    <w:abstractNumId w:val="4"/>
  </w:num>
  <w:num w:numId="33" w16cid:durableId="191504904">
    <w:abstractNumId w:val="18"/>
  </w:num>
  <w:num w:numId="34" w16cid:durableId="120463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126737">
    <w:abstractNumId w:val="9"/>
  </w:num>
  <w:num w:numId="36" w16cid:durableId="14172392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3464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5730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018025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352303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025544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25"/>
    <w:rsid w:val="00010148"/>
    <w:rsid w:val="00011E5A"/>
    <w:rsid w:val="0002533A"/>
    <w:rsid w:val="00036895"/>
    <w:rsid w:val="00051520"/>
    <w:rsid w:val="000553E0"/>
    <w:rsid w:val="000646E5"/>
    <w:rsid w:val="00066761"/>
    <w:rsid w:val="00070650"/>
    <w:rsid w:val="0007452B"/>
    <w:rsid w:val="000771AD"/>
    <w:rsid w:val="00082857"/>
    <w:rsid w:val="000874DF"/>
    <w:rsid w:val="000C7997"/>
    <w:rsid w:val="000D41D5"/>
    <w:rsid w:val="000F25D4"/>
    <w:rsid w:val="000F64C5"/>
    <w:rsid w:val="001155F8"/>
    <w:rsid w:val="001248CF"/>
    <w:rsid w:val="001310BB"/>
    <w:rsid w:val="0013340B"/>
    <w:rsid w:val="00140C68"/>
    <w:rsid w:val="00147C3B"/>
    <w:rsid w:val="00155F25"/>
    <w:rsid w:val="001876E7"/>
    <w:rsid w:val="00194A22"/>
    <w:rsid w:val="001A3CB9"/>
    <w:rsid w:val="001B5C40"/>
    <w:rsid w:val="001C1A88"/>
    <w:rsid w:val="001E4229"/>
    <w:rsid w:val="00244765"/>
    <w:rsid w:val="00247E69"/>
    <w:rsid w:val="002543A7"/>
    <w:rsid w:val="00261059"/>
    <w:rsid w:val="00263D11"/>
    <w:rsid w:val="00265378"/>
    <w:rsid w:val="00273C90"/>
    <w:rsid w:val="00276188"/>
    <w:rsid w:val="00276732"/>
    <w:rsid w:val="00283169"/>
    <w:rsid w:val="002915AA"/>
    <w:rsid w:val="002A538B"/>
    <w:rsid w:val="002B5CDA"/>
    <w:rsid w:val="002C0EC0"/>
    <w:rsid w:val="002D47FD"/>
    <w:rsid w:val="002E11DD"/>
    <w:rsid w:val="002E4B12"/>
    <w:rsid w:val="00302641"/>
    <w:rsid w:val="00306ED7"/>
    <w:rsid w:val="00315B0F"/>
    <w:rsid w:val="00322ED2"/>
    <w:rsid w:val="003256F1"/>
    <w:rsid w:val="003266FD"/>
    <w:rsid w:val="00345825"/>
    <w:rsid w:val="0035054F"/>
    <w:rsid w:val="003510EE"/>
    <w:rsid w:val="003865D9"/>
    <w:rsid w:val="00386B5D"/>
    <w:rsid w:val="0038720A"/>
    <w:rsid w:val="003B2431"/>
    <w:rsid w:val="003C04D5"/>
    <w:rsid w:val="003C59CC"/>
    <w:rsid w:val="003F52EA"/>
    <w:rsid w:val="004128E7"/>
    <w:rsid w:val="00417A4A"/>
    <w:rsid w:val="0042795E"/>
    <w:rsid w:val="0043268D"/>
    <w:rsid w:val="004428C9"/>
    <w:rsid w:val="00443869"/>
    <w:rsid w:val="00451A46"/>
    <w:rsid w:val="00454821"/>
    <w:rsid w:val="0045562B"/>
    <w:rsid w:val="00471203"/>
    <w:rsid w:val="00471BCF"/>
    <w:rsid w:val="004726A7"/>
    <w:rsid w:val="00480B30"/>
    <w:rsid w:val="004924CF"/>
    <w:rsid w:val="0049379A"/>
    <w:rsid w:val="004A48AB"/>
    <w:rsid w:val="004A5F05"/>
    <w:rsid w:val="004B36CD"/>
    <w:rsid w:val="004C3545"/>
    <w:rsid w:val="004F25C1"/>
    <w:rsid w:val="004F5E04"/>
    <w:rsid w:val="00507AF2"/>
    <w:rsid w:val="00512916"/>
    <w:rsid w:val="0051530E"/>
    <w:rsid w:val="0052519E"/>
    <w:rsid w:val="005345EC"/>
    <w:rsid w:val="00545C38"/>
    <w:rsid w:val="005518A9"/>
    <w:rsid w:val="00564D73"/>
    <w:rsid w:val="005711B3"/>
    <w:rsid w:val="00572560"/>
    <w:rsid w:val="00574B33"/>
    <w:rsid w:val="0057717F"/>
    <w:rsid w:val="0059266A"/>
    <w:rsid w:val="00594E14"/>
    <w:rsid w:val="005A508B"/>
    <w:rsid w:val="005D0374"/>
    <w:rsid w:val="005D62C0"/>
    <w:rsid w:val="005E08A1"/>
    <w:rsid w:val="005F1BBF"/>
    <w:rsid w:val="00610B2B"/>
    <w:rsid w:val="00626355"/>
    <w:rsid w:val="0063081A"/>
    <w:rsid w:val="0063326C"/>
    <w:rsid w:val="006423BB"/>
    <w:rsid w:val="0066591C"/>
    <w:rsid w:val="00667C4A"/>
    <w:rsid w:val="00684147"/>
    <w:rsid w:val="006B0609"/>
    <w:rsid w:val="006B41E2"/>
    <w:rsid w:val="00705ABB"/>
    <w:rsid w:val="00717A8D"/>
    <w:rsid w:val="00723627"/>
    <w:rsid w:val="007256EF"/>
    <w:rsid w:val="00730CA5"/>
    <w:rsid w:val="00744A83"/>
    <w:rsid w:val="00746D25"/>
    <w:rsid w:val="007539BA"/>
    <w:rsid w:val="00764B4C"/>
    <w:rsid w:val="00772CA5"/>
    <w:rsid w:val="00776701"/>
    <w:rsid w:val="00784932"/>
    <w:rsid w:val="0078642D"/>
    <w:rsid w:val="007A7447"/>
    <w:rsid w:val="007B2919"/>
    <w:rsid w:val="007C2DAF"/>
    <w:rsid w:val="007E1123"/>
    <w:rsid w:val="007F0FB6"/>
    <w:rsid w:val="008110AF"/>
    <w:rsid w:val="0081228C"/>
    <w:rsid w:val="00831235"/>
    <w:rsid w:val="00832C4B"/>
    <w:rsid w:val="0084471B"/>
    <w:rsid w:val="00847753"/>
    <w:rsid w:val="00852000"/>
    <w:rsid w:val="00861EB0"/>
    <w:rsid w:val="0087097E"/>
    <w:rsid w:val="008874B0"/>
    <w:rsid w:val="00893D07"/>
    <w:rsid w:val="008A7363"/>
    <w:rsid w:val="008B0A37"/>
    <w:rsid w:val="008B1D97"/>
    <w:rsid w:val="008C1BDC"/>
    <w:rsid w:val="008D1B9A"/>
    <w:rsid w:val="008D3C32"/>
    <w:rsid w:val="008D5DD4"/>
    <w:rsid w:val="008D6213"/>
    <w:rsid w:val="008D791B"/>
    <w:rsid w:val="008F09EB"/>
    <w:rsid w:val="008F41A1"/>
    <w:rsid w:val="00903AA2"/>
    <w:rsid w:val="009050C4"/>
    <w:rsid w:val="00914FC1"/>
    <w:rsid w:val="00921168"/>
    <w:rsid w:val="00922DB3"/>
    <w:rsid w:val="00932409"/>
    <w:rsid w:val="00947D46"/>
    <w:rsid w:val="009655E2"/>
    <w:rsid w:val="00973E48"/>
    <w:rsid w:val="009A0ED4"/>
    <w:rsid w:val="009E3487"/>
    <w:rsid w:val="00A07A3F"/>
    <w:rsid w:val="00A17E0E"/>
    <w:rsid w:val="00A2438D"/>
    <w:rsid w:val="00A24DA1"/>
    <w:rsid w:val="00A34D37"/>
    <w:rsid w:val="00A36714"/>
    <w:rsid w:val="00A43329"/>
    <w:rsid w:val="00A52F66"/>
    <w:rsid w:val="00A5434A"/>
    <w:rsid w:val="00A61E40"/>
    <w:rsid w:val="00A65F66"/>
    <w:rsid w:val="00A92CD7"/>
    <w:rsid w:val="00AA0D99"/>
    <w:rsid w:val="00AB4A71"/>
    <w:rsid w:val="00AC3248"/>
    <w:rsid w:val="00AD5FD5"/>
    <w:rsid w:val="00AE5E04"/>
    <w:rsid w:val="00AF1001"/>
    <w:rsid w:val="00B148E6"/>
    <w:rsid w:val="00B148FF"/>
    <w:rsid w:val="00B22399"/>
    <w:rsid w:val="00B2494E"/>
    <w:rsid w:val="00B275B1"/>
    <w:rsid w:val="00B35591"/>
    <w:rsid w:val="00B3697A"/>
    <w:rsid w:val="00B46F84"/>
    <w:rsid w:val="00B56F75"/>
    <w:rsid w:val="00B6194D"/>
    <w:rsid w:val="00B8132B"/>
    <w:rsid w:val="00BA22C2"/>
    <w:rsid w:val="00C108E0"/>
    <w:rsid w:val="00C114D1"/>
    <w:rsid w:val="00C143CB"/>
    <w:rsid w:val="00C20301"/>
    <w:rsid w:val="00C26C7B"/>
    <w:rsid w:val="00C27093"/>
    <w:rsid w:val="00C41ACB"/>
    <w:rsid w:val="00C44824"/>
    <w:rsid w:val="00C57E03"/>
    <w:rsid w:val="00C81C94"/>
    <w:rsid w:val="00C8433A"/>
    <w:rsid w:val="00C93C14"/>
    <w:rsid w:val="00CB43C5"/>
    <w:rsid w:val="00CB6415"/>
    <w:rsid w:val="00CD5DBF"/>
    <w:rsid w:val="00CD6C47"/>
    <w:rsid w:val="00CF646D"/>
    <w:rsid w:val="00CF6C46"/>
    <w:rsid w:val="00CF7537"/>
    <w:rsid w:val="00D10E87"/>
    <w:rsid w:val="00D232C1"/>
    <w:rsid w:val="00D4040D"/>
    <w:rsid w:val="00D40DD9"/>
    <w:rsid w:val="00D47ABA"/>
    <w:rsid w:val="00D558F5"/>
    <w:rsid w:val="00D77D91"/>
    <w:rsid w:val="00DB113F"/>
    <w:rsid w:val="00DB2058"/>
    <w:rsid w:val="00DB24AA"/>
    <w:rsid w:val="00DC7F16"/>
    <w:rsid w:val="00DD2234"/>
    <w:rsid w:val="00DF67AA"/>
    <w:rsid w:val="00DF7ACF"/>
    <w:rsid w:val="00E04B72"/>
    <w:rsid w:val="00E06E01"/>
    <w:rsid w:val="00E328EE"/>
    <w:rsid w:val="00E3506D"/>
    <w:rsid w:val="00E365D6"/>
    <w:rsid w:val="00E40653"/>
    <w:rsid w:val="00E561CE"/>
    <w:rsid w:val="00E755AD"/>
    <w:rsid w:val="00E75D27"/>
    <w:rsid w:val="00E86F23"/>
    <w:rsid w:val="00E87F15"/>
    <w:rsid w:val="00EA17A7"/>
    <w:rsid w:val="00EB4016"/>
    <w:rsid w:val="00EC4F61"/>
    <w:rsid w:val="00ED047B"/>
    <w:rsid w:val="00EE7121"/>
    <w:rsid w:val="00EF3699"/>
    <w:rsid w:val="00EF60A6"/>
    <w:rsid w:val="00F12A9F"/>
    <w:rsid w:val="00F22D39"/>
    <w:rsid w:val="00F30A5F"/>
    <w:rsid w:val="00F42A5B"/>
    <w:rsid w:val="00F85EA6"/>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B481B"/>
  <w15:chartTrackingRefBased/>
  <w15:docId w15:val="{CC0A2B63-FDDB-4C21-9DCC-0F0385FB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8320">
      <w:bodyDiv w:val="1"/>
      <w:marLeft w:val="0"/>
      <w:marRight w:val="0"/>
      <w:marTop w:val="0"/>
      <w:marBottom w:val="0"/>
      <w:divBdr>
        <w:top w:val="none" w:sz="0" w:space="0" w:color="auto"/>
        <w:left w:val="none" w:sz="0" w:space="0" w:color="auto"/>
        <w:bottom w:val="none" w:sz="0" w:space="0" w:color="auto"/>
        <w:right w:val="none" w:sz="0" w:space="0" w:color="auto"/>
      </w:divBdr>
    </w:div>
    <w:div w:id="897209573">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388140135">
      <w:bodyDiv w:val="1"/>
      <w:marLeft w:val="0"/>
      <w:marRight w:val="0"/>
      <w:marTop w:val="0"/>
      <w:marBottom w:val="0"/>
      <w:divBdr>
        <w:top w:val="none" w:sz="0" w:space="0" w:color="auto"/>
        <w:left w:val="none" w:sz="0" w:space="0" w:color="auto"/>
        <w:bottom w:val="none" w:sz="0" w:space="0" w:color="auto"/>
        <w:right w:val="none" w:sz="0" w:space="0" w:color="auto"/>
      </w:divBdr>
    </w:div>
    <w:div w:id="1451515782">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policies@mha.org.uk" TargetMode="External"/><Relationship Id="rId4" Type="http://schemas.openxmlformats.org/officeDocument/2006/relationships/settings" Target="settings.xml"/><Relationship Id="rId9" Type="http://schemas.openxmlformats.org/officeDocument/2006/relationships/hyperlink" Target="https://intranet.mha.org.uk/page/15765?SearchId=269845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9959\Documents\Custom%20Office%20Templates\Non-Clinical%20Policy%20TEMPLATE.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6AE2E024-0DF1-4213-9910-39292C261DB9}"/>
</file>

<file path=customXml/itemProps3.xml><?xml version="1.0" encoding="utf-8"?>
<ds:datastoreItem xmlns:ds="http://schemas.openxmlformats.org/officeDocument/2006/customXml" ds:itemID="{614AECF9-5B5A-44FD-B382-43804C157387}"/>
</file>

<file path=customXml/itemProps4.xml><?xml version="1.0" encoding="utf-8"?>
<ds:datastoreItem xmlns:ds="http://schemas.openxmlformats.org/officeDocument/2006/customXml" ds:itemID="{BD774126-8EAB-41C2-89AA-C23F4CDAFD0B}"/>
</file>

<file path=docProps/app.xml><?xml version="1.0" encoding="utf-8"?>
<Properties xmlns="http://schemas.openxmlformats.org/officeDocument/2006/extended-properties" xmlns:vt="http://schemas.openxmlformats.org/officeDocument/2006/docPropsVTypes">
  <Template>Non-Clinical Policy TEMPLATE</Template>
  <TotalTime>3</TotalTime>
  <Pages>19</Pages>
  <Words>3724</Words>
  <Characters>21230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2</cp:revision>
  <dcterms:created xsi:type="dcterms:W3CDTF">2025-01-13T10:01:00Z</dcterms:created>
  <dcterms:modified xsi:type="dcterms:W3CDTF">2025-01-13T10:01:00Z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