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13F9F" w14:textId="77777777" w:rsidR="00AB4A71" w:rsidRPr="00AB4A71" w:rsidRDefault="00AB4A71" w:rsidP="00AB4A71">
      <w:bookmarkStart w:id="0" w:name="TOC"/>
      <w:bookmarkEnd w:id="0"/>
    </w:p>
    <w:p w14:paraId="47427B2C" w14:textId="4FDB35AD" w:rsidR="00DF67AA" w:rsidRDefault="00DF67AA">
      <w:pPr>
        <w:rPr>
          <w:rFonts w:eastAsiaTheme="majorEastAsia" w:cstheme="majorBidi"/>
          <w:b/>
          <w:color w:val="000000" w:themeColor="text1"/>
          <w:spacing w:val="7"/>
          <w:sz w:val="28"/>
          <w:szCs w:val="32"/>
        </w:rPr>
      </w:pPr>
    </w:p>
    <w:p w14:paraId="2EE2E365" w14:textId="77777777" w:rsidR="00287484" w:rsidRDefault="00287484" w:rsidP="00287484">
      <w:pPr>
        <w:rPr>
          <w:spacing w:val="10"/>
        </w:rPr>
      </w:pPr>
    </w:p>
    <w:p w14:paraId="513A7242" w14:textId="77777777" w:rsidR="00287484" w:rsidRDefault="00287484" w:rsidP="00287484">
      <w:pPr>
        <w:rPr>
          <w:spacing w:val="10"/>
        </w:rPr>
      </w:pPr>
    </w:p>
    <w:p w14:paraId="4A3E1C47" w14:textId="77777777" w:rsidR="00287484" w:rsidRDefault="00287484" w:rsidP="00287484">
      <w:pPr>
        <w:rPr>
          <w:noProof/>
          <w:spacing w:val="10"/>
        </w:rPr>
      </w:pPr>
      <w:r>
        <w:rPr>
          <w:noProof/>
          <w:spacing w:val="10"/>
        </w:rPr>
        <w:drawing>
          <wp:anchor distT="0" distB="0" distL="114300" distR="114300" simplePos="0" relativeHeight="251660288" behindDoc="0" locked="0" layoutInCell="1" allowOverlap="1" wp14:anchorId="0BBDB8E4" wp14:editId="086ABBA1">
            <wp:simplePos x="914400" y="1676400"/>
            <wp:positionH relativeFrom="column">
              <wp:align>left</wp:align>
            </wp:positionH>
            <wp:positionV relativeFrom="page">
              <wp:posOffset>474980</wp:posOffset>
            </wp:positionV>
            <wp:extent cx="1702800" cy="1364400"/>
            <wp:effectExtent l="0" t="0" r="0" b="7620"/>
            <wp:wrapNone/>
            <wp:docPr id="1399896451" name="Picture 139989645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800" cy="1364400"/>
                    </a:xfrm>
                    <a:prstGeom prst="rect">
                      <a:avLst/>
                    </a:prstGeom>
                  </pic:spPr>
                </pic:pic>
              </a:graphicData>
            </a:graphic>
            <wp14:sizeRelH relativeFrom="margin">
              <wp14:pctWidth>0</wp14:pctWidth>
            </wp14:sizeRelH>
            <wp14:sizeRelV relativeFrom="margin">
              <wp14:pctHeight>0</wp14:pctHeight>
            </wp14:sizeRelV>
          </wp:anchor>
        </w:drawing>
      </w:r>
      <w:r w:rsidRPr="0063326C">
        <w:rPr>
          <w:noProof/>
          <w:spacing w:val="10"/>
        </w:rPr>
        <mc:AlternateContent>
          <mc:Choice Requires="wps">
            <w:drawing>
              <wp:inline distT="0" distB="0" distL="0" distR="0" wp14:anchorId="01ACB6D4" wp14:editId="59EEA45A">
                <wp:extent cx="6058894" cy="1932167"/>
                <wp:effectExtent l="0" t="0" r="18415" b="15240"/>
                <wp:docPr id="1390112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58A20E54" w14:textId="77777777" w:rsidR="00287484" w:rsidRPr="00847753" w:rsidRDefault="00287484" w:rsidP="00287484">
                            <w:pPr>
                              <w:pStyle w:val="PolicyTitle"/>
                            </w:pPr>
                            <w:r>
                              <w:t>Caldicott Guardianship Principles</w:t>
                            </w:r>
                          </w:p>
                          <w:p w14:paraId="5C0CA2E7" w14:textId="77777777" w:rsidR="00287484" w:rsidRPr="00847753" w:rsidRDefault="00287484" w:rsidP="00287484">
                            <w:pPr>
                              <w:pStyle w:val="PolicyCode"/>
                            </w:pPr>
                            <w:r>
                              <w:t>IG101 Information Governance</w:t>
                            </w:r>
                          </w:p>
                          <w:p w14:paraId="6BD25174" w14:textId="77777777" w:rsidR="00287484" w:rsidRPr="00847753" w:rsidRDefault="00287484" w:rsidP="00287484">
                            <w:pPr>
                              <w:pStyle w:val="PolicyDate"/>
                            </w:pPr>
                            <w:r>
                              <w:t>March 2024</w:t>
                            </w:r>
                          </w:p>
                        </w:txbxContent>
                      </wps:txbx>
                      <wps:bodyPr rot="0" vert="horz" wrap="square" lIns="91440" tIns="45720" rIns="91440" bIns="45720" anchor="t" anchorCtr="0">
                        <a:spAutoFit/>
                      </wps:bodyPr>
                    </wps:wsp>
                  </a:graphicData>
                </a:graphic>
              </wp:inline>
            </w:drawing>
          </mc:Choice>
          <mc:Fallback>
            <w:pict>
              <v:shapetype w14:anchorId="01ACB6D4"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217593 [3204]">
                <v:textbox style="mso-fit-shape-to-text:t">
                  <w:txbxContent>
                    <w:p w14:paraId="58A20E54" w14:textId="77777777" w:rsidR="00287484" w:rsidRPr="00847753" w:rsidRDefault="00287484" w:rsidP="00287484">
                      <w:pPr>
                        <w:pStyle w:val="PolicyTitle"/>
                      </w:pPr>
                      <w:r>
                        <w:t>Caldicott Guardianship Principles</w:t>
                      </w:r>
                    </w:p>
                    <w:p w14:paraId="5C0CA2E7" w14:textId="77777777" w:rsidR="00287484" w:rsidRPr="00847753" w:rsidRDefault="00287484" w:rsidP="00287484">
                      <w:pPr>
                        <w:pStyle w:val="PolicyCode"/>
                      </w:pPr>
                      <w:r>
                        <w:t>IG101 Information Governance</w:t>
                      </w:r>
                    </w:p>
                    <w:p w14:paraId="6BD25174" w14:textId="77777777" w:rsidR="00287484" w:rsidRPr="00847753" w:rsidRDefault="00287484" w:rsidP="00287484">
                      <w:pPr>
                        <w:pStyle w:val="PolicyDate"/>
                      </w:pPr>
                      <w:r>
                        <w:t>March 2024</w:t>
                      </w:r>
                    </w:p>
                  </w:txbxContent>
                </v:textbox>
                <w10:anchorlock/>
              </v:shape>
            </w:pict>
          </mc:Fallback>
        </mc:AlternateContent>
      </w:r>
    </w:p>
    <w:p w14:paraId="4BCFA283" w14:textId="77777777" w:rsidR="00287484" w:rsidRDefault="00287484" w:rsidP="00287484">
      <w:pPr>
        <w:rPr>
          <w:noProof/>
        </w:rPr>
      </w:pPr>
    </w:p>
    <w:sdt>
      <w:sdtPr>
        <w:rPr>
          <w:rFonts w:cs="Arial"/>
          <w:b/>
          <w:bCs/>
          <w:noProof/>
          <w:sz w:val="28"/>
          <w:szCs w:val="28"/>
        </w:rPr>
        <w:id w:val="1365404286"/>
        <w:docPartObj>
          <w:docPartGallery w:val="Table of Contents"/>
          <w:docPartUnique/>
        </w:docPartObj>
      </w:sdtPr>
      <w:sdtEndPr>
        <w:rPr>
          <w:rFonts w:cstheme="minorBidi"/>
          <w:b w:val="0"/>
          <w:bCs w:val="0"/>
          <w:sz w:val="24"/>
          <w:szCs w:val="24"/>
        </w:rPr>
      </w:sdtEndPr>
      <w:sdtContent>
        <w:p w14:paraId="779A69CE" w14:textId="77777777" w:rsidR="00287484" w:rsidRDefault="00287484" w:rsidP="00287484">
          <w:pPr>
            <w:rPr>
              <w:rFonts w:cs="Arial"/>
              <w:b/>
              <w:bCs/>
              <w:sz w:val="28"/>
              <w:szCs w:val="28"/>
            </w:rPr>
          </w:pPr>
          <w:r w:rsidRPr="00070650">
            <w:rPr>
              <w:rFonts w:cs="Arial"/>
              <w:b/>
              <w:bCs/>
              <w:sz w:val="28"/>
              <w:szCs w:val="28"/>
            </w:rPr>
            <w:t>Contents</w:t>
          </w:r>
        </w:p>
        <w:p w14:paraId="79DA0B74" w14:textId="77777777" w:rsidR="00287484" w:rsidRDefault="00287484" w:rsidP="00287484">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62263878" w:history="1">
            <w:r w:rsidRPr="00EB307B">
              <w:rPr>
                <w:rStyle w:val="Hyperlink"/>
              </w:rPr>
              <w:t>1</w:t>
            </w:r>
            <w:r>
              <w:rPr>
                <w:rFonts w:asciiTheme="minorHAnsi" w:eastAsiaTheme="minorEastAsia" w:hAnsiTheme="minorHAnsi"/>
                <w:kern w:val="2"/>
                <w:lang w:eastAsia="en-GB"/>
                <w14:ligatures w14:val="standardContextual"/>
              </w:rPr>
              <w:tab/>
            </w:r>
            <w:r w:rsidRPr="00EB307B">
              <w:rPr>
                <w:rStyle w:val="Hyperlink"/>
              </w:rPr>
              <w:t>Introduction</w:t>
            </w:r>
            <w:r>
              <w:rPr>
                <w:webHidden/>
              </w:rPr>
              <w:tab/>
            </w:r>
            <w:r>
              <w:rPr>
                <w:webHidden/>
              </w:rPr>
              <w:fldChar w:fldCharType="begin"/>
            </w:r>
            <w:r>
              <w:rPr>
                <w:webHidden/>
              </w:rPr>
              <w:instrText xml:space="preserve"> PAGEREF _Toc162263878 \h </w:instrText>
            </w:r>
            <w:r>
              <w:rPr>
                <w:webHidden/>
              </w:rPr>
            </w:r>
            <w:r>
              <w:rPr>
                <w:webHidden/>
              </w:rPr>
              <w:fldChar w:fldCharType="separate"/>
            </w:r>
            <w:r>
              <w:rPr>
                <w:webHidden/>
              </w:rPr>
              <w:t>4</w:t>
            </w:r>
            <w:r>
              <w:rPr>
                <w:webHidden/>
              </w:rPr>
              <w:fldChar w:fldCharType="end"/>
            </w:r>
          </w:hyperlink>
        </w:p>
        <w:p w14:paraId="3CF658A7" w14:textId="77777777" w:rsidR="00287484" w:rsidRDefault="00000000" w:rsidP="00287484">
          <w:pPr>
            <w:pStyle w:val="TOC1"/>
            <w:rPr>
              <w:rFonts w:asciiTheme="minorHAnsi" w:eastAsiaTheme="minorEastAsia" w:hAnsiTheme="minorHAnsi"/>
              <w:kern w:val="2"/>
              <w:lang w:eastAsia="en-GB"/>
              <w14:ligatures w14:val="standardContextual"/>
            </w:rPr>
          </w:pPr>
          <w:hyperlink w:anchor="_Toc162263879" w:history="1">
            <w:r w:rsidR="00287484" w:rsidRPr="00EB307B">
              <w:rPr>
                <w:rStyle w:val="Hyperlink"/>
              </w:rPr>
              <w:t>2</w:t>
            </w:r>
            <w:r w:rsidR="00287484">
              <w:rPr>
                <w:rFonts w:asciiTheme="minorHAnsi" w:eastAsiaTheme="minorEastAsia" w:hAnsiTheme="minorHAnsi"/>
                <w:kern w:val="2"/>
                <w:lang w:eastAsia="en-GB"/>
                <w14:ligatures w14:val="standardContextual"/>
              </w:rPr>
              <w:tab/>
            </w:r>
            <w:r w:rsidR="00287484" w:rsidRPr="00EB307B">
              <w:rPr>
                <w:rStyle w:val="Hyperlink"/>
              </w:rPr>
              <w:t>Scope and Purpose</w:t>
            </w:r>
            <w:r w:rsidR="00287484">
              <w:rPr>
                <w:webHidden/>
              </w:rPr>
              <w:tab/>
            </w:r>
            <w:r w:rsidR="00287484">
              <w:rPr>
                <w:webHidden/>
              </w:rPr>
              <w:fldChar w:fldCharType="begin"/>
            </w:r>
            <w:r w:rsidR="00287484">
              <w:rPr>
                <w:webHidden/>
              </w:rPr>
              <w:instrText xml:space="preserve"> PAGEREF _Toc162263879 \h </w:instrText>
            </w:r>
            <w:r w:rsidR="00287484">
              <w:rPr>
                <w:webHidden/>
              </w:rPr>
            </w:r>
            <w:r w:rsidR="00287484">
              <w:rPr>
                <w:webHidden/>
              </w:rPr>
              <w:fldChar w:fldCharType="separate"/>
            </w:r>
            <w:r w:rsidR="00287484">
              <w:rPr>
                <w:webHidden/>
              </w:rPr>
              <w:t>4</w:t>
            </w:r>
            <w:r w:rsidR="00287484">
              <w:rPr>
                <w:webHidden/>
              </w:rPr>
              <w:fldChar w:fldCharType="end"/>
            </w:r>
          </w:hyperlink>
        </w:p>
        <w:p w14:paraId="51B3CDB7" w14:textId="77777777" w:rsidR="00287484" w:rsidRDefault="00000000" w:rsidP="00287484">
          <w:pPr>
            <w:pStyle w:val="TOC1"/>
            <w:rPr>
              <w:rFonts w:asciiTheme="minorHAnsi" w:eastAsiaTheme="minorEastAsia" w:hAnsiTheme="minorHAnsi"/>
              <w:kern w:val="2"/>
              <w:lang w:eastAsia="en-GB"/>
              <w14:ligatures w14:val="standardContextual"/>
            </w:rPr>
          </w:pPr>
          <w:hyperlink w:anchor="_Toc162263880" w:history="1">
            <w:r w:rsidR="00287484" w:rsidRPr="00EB307B">
              <w:rPr>
                <w:rStyle w:val="Hyperlink"/>
              </w:rPr>
              <w:t>3</w:t>
            </w:r>
            <w:r w:rsidR="00287484">
              <w:rPr>
                <w:rFonts w:asciiTheme="minorHAnsi" w:eastAsiaTheme="minorEastAsia" w:hAnsiTheme="minorHAnsi"/>
                <w:kern w:val="2"/>
                <w:lang w:eastAsia="en-GB"/>
                <w14:ligatures w14:val="standardContextual"/>
              </w:rPr>
              <w:tab/>
            </w:r>
            <w:r w:rsidR="00287484" w:rsidRPr="00EB307B">
              <w:rPr>
                <w:rStyle w:val="Hyperlink"/>
              </w:rPr>
              <w:t>Caldicott Guardian Arrangements</w:t>
            </w:r>
            <w:r w:rsidR="00287484">
              <w:rPr>
                <w:webHidden/>
              </w:rPr>
              <w:tab/>
            </w:r>
            <w:r w:rsidR="00287484">
              <w:rPr>
                <w:webHidden/>
              </w:rPr>
              <w:fldChar w:fldCharType="begin"/>
            </w:r>
            <w:r w:rsidR="00287484">
              <w:rPr>
                <w:webHidden/>
              </w:rPr>
              <w:instrText xml:space="preserve"> PAGEREF _Toc162263880 \h </w:instrText>
            </w:r>
            <w:r w:rsidR="00287484">
              <w:rPr>
                <w:webHidden/>
              </w:rPr>
            </w:r>
            <w:r w:rsidR="00287484">
              <w:rPr>
                <w:webHidden/>
              </w:rPr>
              <w:fldChar w:fldCharType="separate"/>
            </w:r>
            <w:r w:rsidR="00287484">
              <w:rPr>
                <w:webHidden/>
              </w:rPr>
              <w:t>5</w:t>
            </w:r>
            <w:r w:rsidR="00287484">
              <w:rPr>
                <w:webHidden/>
              </w:rPr>
              <w:fldChar w:fldCharType="end"/>
            </w:r>
          </w:hyperlink>
        </w:p>
        <w:p w14:paraId="79E7D785" w14:textId="77777777" w:rsidR="00287484" w:rsidRDefault="00000000" w:rsidP="00287484">
          <w:pPr>
            <w:pStyle w:val="TOC1"/>
            <w:rPr>
              <w:rFonts w:asciiTheme="minorHAnsi" w:eastAsiaTheme="minorEastAsia" w:hAnsiTheme="minorHAnsi"/>
              <w:kern w:val="2"/>
              <w:lang w:eastAsia="en-GB"/>
              <w14:ligatures w14:val="standardContextual"/>
            </w:rPr>
          </w:pPr>
          <w:hyperlink w:anchor="_Toc162263881" w:history="1">
            <w:r w:rsidR="00287484" w:rsidRPr="00EB307B">
              <w:rPr>
                <w:rStyle w:val="Hyperlink"/>
              </w:rPr>
              <w:t>4</w:t>
            </w:r>
            <w:r w:rsidR="00287484">
              <w:rPr>
                <w:rFonts w:asciiTheme="minorHAnsi" w:eastAsiaTheme="minorEastAsia" w:hAnsiTheme="minorHAnsi"/>
                <w:kern w:val="2"/>
                <w:lang w:eastAsia="en-GB"/>
                <w14:ligatures w14:val="standardContextual"/>
              </w:rPr>
              <w:tab/>
            </w:r>
            <w:r w:rsidR="00287484" w:rsidRPr="00EB307B">
              <w:rPr>
                <w:rStyle w:val="Hyperlink"/>
              </w:rPr>
              <w:t>Roles and Responsibilities</w:t>
            </w:r>
            <w:r w:rsidR="00287484">
              <w:rPr>
                <w:webHidden/>
              </w:rPr>
              <w:tab/>
            </w:r>
            <w:r w:rsidR="00287484">
              <w:rPr>
                <w:webHidden/>
              </w:rPr>
              <w:fldChar w:fldCharType="begin"/>
            </w:r>
            <w:r w:rsidR="00287484">
              <w:rPr>
                <w:webHidden/>
              </w:rPr>
              <w:instrText xml:space="preserve"> PAGEREF _Toc162263881 \h </w:instrText>
            </w:r>
            <w:r w:rsidR="00287484">
              <w:rPr>
                <w:webHidden/>
              </w:rPr>
            </w:r>
            <w:r w:rsidR="00287484">
              <w:rPr>
                <w:webHidden/>
              </w:rPr>
              <w:fldChar w:fldCharType="separate"/>
            </w:r>
            <w:r w:rsidR="00287484">
              <w:rPr>
                <w:webHidden/>
              </w:rPr>
              <w:t>7</w:t>
            </w:r>
            <w:r w:rsidR="00287484">
              <w:rPr>
                <w:webHidden/>
              </w:rPr>
              <w:fldChar w:fldCharType="end"/>
            </w:r>
          </w:hyperlink>
        </w:p>
        <w:p w14:paraId="4E43F4B0" w14:textId="77777777" w:rsidR="00287484" w:rsidRDefault="00000000" w:rsidP="00287484">
          <w:pPr>
            <w:pStyle w:val="TOC1"/>
            <w:rPr>
              <w:rFonts w:asciiTheme="minorHAnsi" w:eastAsiaTheme="minorEastAsia" w:hAnsiTheme="minorHAnsi"/>
              <w:kern w:val="2"/>
              <w:lang w:eastAsia="en-GB"/>
              <w14:ligatures w14:val="standardContextual"/>
            </w:rPr>
          </w:pPr>
          <w:hyperlink w:anchor="_Toc162263882" w:history="1">
            <w:r w:rsidR="00287484" w:rsidRPr="00EB307B">
              <w:rPr>
                <w:rStyle w:val="Hyperlink"/>
              </w:rPr>
              <w:t>5</w:t>
            </w:r>
            <w:r w:rsidR="00287484">
              <w:rPr>
                <w:rFonts w:asciiTheme="minorHAnsi" w:eastAsiaTheme="minorEastAsia" w:hAnsiTheme="minorHAnsi"/>
                <w:kern w:val="2"/>
                <w:lang w:eastAsia="en-GB"/>
                <w14:ligatures w14:val="standardContextual"/>
              </w:rPr>
              <w:tab/>
            </w:r>
            <w:r w:rsidR="00287484" w:rsidRPr="00EB307B">
              <w:rPr>
                <w:rStyle w:val="Hyperlink"/>
              </w:rPr>
              <w:t>Training and Monitoring</w:t>
            </w:r>
            <w:r w:rsidR="00287484">
              <w:rPr>
                <w:webHidden/>
              </w:rPr>
              <w:tab/>
            </w:r>
            <w:r w:rsidR="00287484">
              <w:rPr>
                <w:webHidden/>
              </w:rPr>
              <w:fldChar w:fldCharType="begin"/>
            </w:r>
            <w:r w:rsidR="00287484">
              <w:rPr>
                <w:webHidden/>
              </w:rPr>
              <w:instrText xml:space="preserve"> PAGEREF _Toc162263882 \h </w:instrText>
            </w:r>
            <w:r w:rsidR="00287484">
              <w:rPr>
                <w:webHidden/>
              </w:rPr>
            </w:r>
            <w:r w:rsidR="00287484">
              <w:rPr>
                <w:webHidden/>
              </w:rPr>
              <w:fldChar w:fldCharType="separate"/>
            </w:r>
            <w:r w:rsidR="00287484">
              <w:rPr>
                <w:webHidden/>
              </w:rPr>
              <w:t>7</w:t>
            </w:r>
            <w:r w:rsidR="00287484">
              <w:rPr>
                <w:webHidden/>
              </w:rPr>
              <w:fldChar w:fldCharType="end"/>
            </w:r>
          </w:hyperlink>
        </w:p>
        <w:p w14:paraId="200EE905" w14:textId="77777777" w:rsidR="00287484" w:rsidRDefault="00000000" w:rsidP="00287484">
          <w:pPr>
            <w:pStyle w:val="TOC1"/>
            <w:rPr>
              <w:rFonts w:asciiTheme="minorHAnsi" w:eastAsiaTheme="minorEastAsia" w:hAnsiTheme="minorHAnsi"/>
              <w:kern w:val="2"/>
              <w:lang w:eastAsia="en-GB"/>
              <w14:ligatures w14:val="standardContextual"/>
            </w:rPr>
          </w:pPr>
          <w:hyperlink w:anchor="_Toc162263883" w:history="1">
            <w:r w:rsidR="00287484" w:rsidRPr="00EB307B">
              <w:rPr>
                <w:rStyle w:val="Hyperlink"/>
              </w:rPr>
              <w:t>6</w:t>
            </w:r>
            <w:r w:rsidR="00287484">
              <w:rPr>
                <w:rFonts w:asciiTheme="minorHAnsi" w:eastAsiaTheme="minorEastAsia" w:hAnsiTheme="minorHAnsi"/>
                <w:kern w:val="2"/>
                <w:lang w:eastAsia="en-GB"/>
                <w14:ligatures w14:val="standardContextual"/>
              </w:rPr>
              <w:tab/>
            </w:r>
            <w:r w:rsidR="00287484" w:rsidRPr="00EB307B">
              <w:rPr>
                <w:rStyle w:val="Hyperlink"/>
              </w:rPr>
              <w:t>Communication and Dissemination</w:t>
            </w:r>
            <w:r w:rsidR="00287484">
              <w:rPr>
                <w:webHidden/>
              </w:rPr>
              <w:tab/>
            </w:r>
            <w:r w:rsidR="00287484">
              <w:rPr>
                <w:webHidden/>
              </w:rPr>
              <w:fldChar w:fldCharType="begin"/>
            </w:r>
            <w:r w:rsidR="00287484">
              <w:rPr>
                <w:webHidden/>
              </w:rPr>
              <w:instrText xml:space="preserve"> PAGEREF _Toc162263883 \h </w:instrText>
            </w:r>
            <w:r w:rsidR="00287484">
              <w:rPr>
                <w:webHidden/>
              </w:rPr>
            </w:r>
            <w:r w:rsidR="00287484">
              <w:rPr>
                <w:webHidden/>
              </w:rPr>
              <w:fldChar w:fldCharType="separate"/>
            </w:r>
            <w:r w:rsidR="00287484">
              <w:rPr>
                <w:webHidden/>
              </w:rPr>
              <w:t>7</w:t>
            </w:r>
            <w:r w:rsidR="00287484">
              <w:rPr>
                <w:webHidden/>
              </w:rPr>
              <w:fldChar w:fldCharType="end"/>
            </w:r>
          </w:hyperlink>
        </w:p>
        <w:p w14:paraId="770E1990" w14:textId="77777777" w:rsidR="00287484" w:rsidRDefault="00000000" w:rsidP="00287484">
          <w:pPr>
            <w:pStyle w:val="TOC1"/>
            <w:rPr>
              <w:rFonts w:asciiTheme="minorHAnsi" w:eastAsiaTheme="minorEastAsia" w:hAnsiTheme="minorHAnsi"/>
              <w:kern w:val="2"/>
              <w:lang w:eastAsia="en-GB"/>
              <w14:ligatures w14:val="standardContextual"/>
            </w:rPr>
          </w:pPr>
          <w:hyperlink w:anchor="_Toc162263884" w:history="1">
            <w:r w:rsidR="00287484" w:rsidRPr="00EB307B">
              <w:rPr>
                <w:rStyle w:val="Hyperlink"/>
              </w:rPr>
              <w:t>7</w:t>
            </w:r>
            <w:r w:rsidR="00287484">
              <w:rPr>
                <w:rFonts w:asciiTheme="minorHAnsi" w:eastAsiaTheme="minorEastAsia" w:hAnsiTheme="minorHAnsi"/>
                <w:kern w:val="2"/>
                <w:lang w:eastAsia="en-GB"/>
                <w14:ligatures w14:val="standardContextual"/>
              </w:rPr>
              <w:tab/>
            </w:r>
            <w:r w:rsidR="00287484" w:rsidRPr="00EB307B">
              <w:rPr>
                <w:rStyle w:val="Hyperlink"/>
              </w:rPr>
              <w:t>Impact Assessments (Inc. EDI)</w:t>
            </w:r>
            <w:r w:rsidR="00287484">
              <w:rPr>
                <w:webHidden/>
              </w:rPr>
              <w:tab/>
            </w:r>
            <w:r w:rsidR="00287484">
              <w:rPr>
                <w:webHidden/>
              </w:rPr>
              <w:fldChar w:fldCharType="begin"/>
            </w:r>
            <w:r w:rsidR="00287484">
              <w:rPr>
                <w:webHidden/>
              </w:rPr>
              <w:instrText xml:space="preserve"> PAGEREF _Toc162263884 \h </w:instrText>
            </w:r>
            <w:r w:rsidR="00287484">
              <w:rPr>
                <w:webHidden/>
              </w:rPr>
            </w:r>
            <w:r w:rsidR="00287484">
              <w:rPr>
                <w:webHidden/>
              </w:rPr>
              <w:fldChar w:fldCharType="separate"/>
            </w:r>
            <w:r w:rsidR="00287484">
              <w:rPr>
                <w:webHidden/>
              </w:rPr>
              <w:t>8</w:t>
            </w:r>
            <w:r w:rsidR="00287484">
              <w:rPr>
                <w:webHidden/>
              </w:rPr>
              <w:fldChar w:fldCharType="end"/>
            </w:r>
          </w:hyperlink>
        </w:p>
        <w:p w14:paraId="72F7A4B7" w14:textId="77777777" w:rsidR="00287484" w:rsidRDefault="00000000" w:rsidP="00287484">
          <w:pPr>
            <w:pStyle w:val="TOC1"/>
            <w:rPr>
              <w:rFonts w:asciiTheme="minorHAnsi" w:eastAsiaTheme="minorEastAsia" w:hAnsiTheme="minorHAnsi"/>
              <w:kern w:val="2"/>
              <w:lang w:eastAsia="en-GB"/>
              <w14:ligatures w14:val="standardContextual"/>
            </w:rPr>
          </w:pPr>
          <w:hyperlink w:anchor="_Toc162263885" w:history="1">
            <w:r w:rsidR="00287484" w:rsidRPr="00EB307B">
              <w:rPr>
                <w:rStyle w:val="Hyperlink"/>
              </w:rPr>
              <w:t>8</w:t>
            </w:r>
            <w:r w:rsidR="00287484">
              <w:rPr>
                <w:rFonts w:asciiTheme="minorHAnsi" w:eastAsiaTheme="minorEastAsia" w:hAnsiTheme="minorHAnsi"/>
                <w:kern w:val="2"/>
                <w:lang w:eastAsia="en-GB"/>
                <w14:ligatures w14:val="standardContextual"/>
              </w:rPr>
              <w:tab/>
            </w:r>
            <w:r w:rsidR="00287484" w:rsidRPr="00EB307B">
              <w:rPr>
                <w:rStyle w:val="Hyperlink"/>
              </w:rPr>
              <w:t>Resources</w:t>
            </w:r>
            <w:r w:rsidR="00287484">
              <w:rPr>
                <w:webHidden/>
              </w:rPr>
              <w:tab/>
            </w:r>
            <w:r w:rsidR="00287484">
              <w:rPr>
                <w:webHidden/>
              </w:rPr>
              <w:fldChar w:fldCharType="begin"/>
            </w:r>
            <w:r w:rsidR="00287484">
              <w:rPr>
                <w:webHidden/>
              </w:rPr>
              <w:instrText xml:space="preserve"> PAGEREF _Toc162263885 \h </w:instrText>
            </w:r>
            <w:r w:rsidR="00287484">
              <w:rPr>
                <w:webHidden/>
              </w:rPr>
            </w:r>
            <w:r w:rsidR="00287484">
              <w:rPr>
                <w:webHidden/>
              </w:rPr>
              <w:fldChar w:fldCharType="separate"/>
            </w:r>
            <w:r w:rsidR="00287484">
              <w:rPr>
                <w:webHidden/>
              </w:rPr>
              <w:t>8</w:t>
            </w:r>
            <w:r w:rsidR="00287484">
              <w:rPr>
                <w:webHidden/>
              </w:rPr>
              <w:fldChar w:fldCharType="end"/>
            </w:r>
          </w:hyperlink>
        </w:p>
        <w:p w14:paraId="217706FB" w14:textId="77777777" w:rsidR="00287484" w:rsidRDefault="00000000" w:rsidP="00287484">
          <w:pPr>
            <w:pStyle w:val="TOC1"/>
            <w:rPr>
              <w:rFonts w:asciiTheme="minorHAnsi" w:eastAsiaTheme="minorEastAsia" w:hAnsiTheme="minorHAnsi"/>
              <w:kern w:val="2"/>
              <w:lang w:eastAsia="en-GB"/>
              <w14:ligatures w14:val="standardContextual"/>
            </w:rPr>
          </w:pPr>
          <w:hyperlink w:anchor="_Toc162263887" w:history="1">
            <w:r w:rsidR="00287484" w:rsidRPr="00EB307B">
              <w:rPr>
                <w:rStyle w:val="Hyperlink"/>
              </w:rPr>
              <w:t>9</w:t>
            </w:r>
            <w:r w:rsidR="00287484">
              <w:rPr>
                <w:rFonts w:asciiTheme="minorHAnsi" w:eastAsiaTheme="minorEastAsia" w:hAnsiTheme="minorHAnsi"/>
                <w:kern w:val="2"/>
                <w:lang w:eastAsia="en-GB"/>
                <w14:ligatures w14:val="standardContextual"/>
              </w:rPr>
              <w:tab/>
            </w:r>
            <w:r w:rsidR="00287484" w:rsidRPr="00EB307B">
              <w:rPr>
                <w:rStyle w:val="Hyperlink"/>
              </w:rPr>
              <w:t>Appendices</w:t>
            </w:r>
            <w:r w:rsidR="00287484">
              <w:rPr>
                <w:webHidden/>
              </w:rPr>
              <w:tab/>
            </w:r>
            <w:r w:rsidR="00287484">
              <w:rPr>
                <w:webHidden/>
              </w:rPr>
              <w:fldChar w:fldCharType="begin"/>
            </w:r>
            <w:r w:rsidR="00287484">
              <w:rPr>
                <w:webHidden/>
              </w:rPr>
              <w:instrText xml:space="preserve"> PAGEREF _Toc162263887 \h </w:instrText>
            </w:r>
            <w:r w:rsidR="00287484">
              <w:rPr>
                <w:webHidden/>
              </w:rPr>
            </w:r>
            <w:r w:rsidR="00287484">
              <w:rPr>
                <w:webHidden/>
              </w:rPr>
              <w:fldChar w:fldCharType="separate"/>
            </w:r>
            <w:r w:rsidR="00287484">
              <w:rPr>
                <w:webHidden/>
              </w:rPr>
              <w:t>8</w:t>
            </w:r>
            <w:r w:rsidR="00287484">
              <w:rPr>
                <w:webHidden/>
              </w:rPr>
              <w:fldChar w:fldCharType="end"/>
            </w:r>
          </w:hyperlink>
        </w:p>
        <w:p w14:paraId="6E538075" w14:textId="77777777" w:rsidR="00287484" w:rsidRDefault="00000000" w:rsidP="00287484">
          <w:pPr>
            <w:pStyle w:val="TOC1"/>
            <w:rPr>
              <w:rFonts w:asciiTheme="minorHAnsi" w:eastAsiaTheme="minorEastAsia" w:hAnsiTheme="minorHAnsi"/>
              <w:kern w:val="2"/>
              <w:lang w:eastAsia="en-GB"/>
              <w14:ligatures w14:val="standardContextual"/>
            </w:rPr>
          </w:pPr>
          <w:hyperlink w:anchor="_Toc162263907" w:history="1">
            <w:r w:rsidR="00287484" w:rsidRPr="00EB307B">
              <w:rPr>
                <w:rStyle w:val="Hyperlink"/>
              </w:rPr>
              <w:t>10</w:t>
            </w:r>
            <w:r w:rsidR="00287484">
              <w:rPr>
                <w:rFonts w:asciiTheme="minorHAnsi" w:eastAsiaTheme="minorEastAsia" w:hAnsiTheme="minorHAnsi"/>
                <w:kern w:val="2"/>
                <w:lang w:eastAsia="en-GB"/>
                <w14:ligatures w14:val="standardContextual"/>
              </w:rPr>
              <w:tab/>
            </w:r>
            <w:r w:rsidR="00287484" w:rsidRPr="00EB307B">
              <w:rPr>
                <w:rStyle w:val="Hyperlink"/>
              </w:rPr>
              <w:t>Version Control</w:t>
            </w:r>
            <w:r w:rsidR="00287484">
              <w:rPr>
                <w:webHidden/>
              </w:rPr>
              <w:tab/>
            </w:r>
            <w:r w:rsidR="00287484">
              <w:rPr>
                <w:webHidden/>
              </w:rPr>
              <w:fldChar w:fldCharType="begin"/>
            </w:r>
            <w:r w:rsidR="00287484">
              <w:rPr>
                <w:webHidden/>
              </w:rPr>
              <w:instrText xml:space="preserve"> PAGEREF _Toc162263907 \h </w:instrText>
            </w:r>
            <w:r w:rsidR="00287484">
              <w:rPr>
                <w:webHidden/>
              </w:rPr>
            </w:r>
            <w:r w:rsidR="00287484">
              <w:rPr>
                <w:webHidden/>
              </w:rPr>
              <w:fldChar w:fldCharType="separate"/>
            </w:r>
            <w:r w:rsidR="00287484">
              <w:rPr>
                <w:webHidden/>
              </w:rPr>
              <w:t>12</w:t>
            </w:r>
            <w:r w:rsidR="00287484">
              <w:rPr>
                <w:webHidden/>
              </w:rPr>
              <w:fldChar w:fldCharType="end"/>
            </w:r>
          </w:hyperlink>
        </w:p>
        <w:p w14:paraId="1473E7F7" w14:textId="77777777" w:rsidR="00287484" w:rsidRDefault="00287484" w:rsidP="00287484">
          <w:pPr>
            <w:pStyle w:val="TOC1"/>
          </w:pPr>
          <w:r>
            <w:rPr>
              <w:rFonts w:cs="Arial"/>
              <w:spacing w:val="7"/>
            </w:rPr>
            <w:fldChar w:fldCharType="end"/>
          </w:r>
        </w:p>
      </w:sdtContent>
    </w:sdt>
    <w:p w14:paraId="3D96B217" w14:textId="77777777" w:rsidR="00287484" w:rsidRPr="00AB4A71" w:rsidRDefault="00287484" w:rsidP="00287484"/>
    <w:p w14:paraId="593B0182" w14:textId="77777777" w:rsidR="00287484" w:rsidRDefault="00287484" w:rsidP="00287484">
      <w:r>
        <w:br w:type="page"/>
      </w:r>
    </w:p>
    <w:p w14:paraId="47B5BA4F" w14:textId="77777777" w:rsidR="00287484" w:rsidRDefault="00287484" w:rsidP="00287484">
      <w:pPr>
        <w:pStyle w:val="ListParagraph"/>
      </w:pPr>
    </w:p>
    <w:p w14:paraId="21B939A0" w14:textId="77777777" w:rsidR="00287484" w:rsidRPr="007A06A2" w:rsidRDefault="00287484" w:rsidP="00287484">
      <w:pPr>
        <w:pStyle w:val="Heading1Numbered"/>
      </w:pPr>
      <w:bookmarkStart w:id="1" w:name="_Toc162263878"/>
      <w:r w:rsidRPr="00D558F5">
        <w:t>Introduction</w:t>
      </w:r>
      <w:bookmarkEnd w:id="1"/>
    </w:p>
    <w:p w14:paraId="59E46931" w14:textId="77777777" w:rsidR="00287484" w:rsidRDefault="00287484" w:rsidP="00287484">
      <w:pPr>
        <w:pStyle w:val="Text1Numbered"/>
      </w:pPr>
      <w:r w:rsidRPr="00FB7F01">
        <w:t xml:space="preserve">Caldicott Guardians have been in place across the NHS for many years, however government guidance has recently changed and from June 2023, all health and social care bodies in England are required to have an identified individual in this role. </w:t>
      </w:r>
    </w:p>
    <w:p w14:paraId="2AA4743D" w14:textId="77777777" w:rsidR="00287484" w:rsidRPr="00FB7F01" w:rsidRDefault="00287484" w:rsidP="00287484">
      <w:pPr>
        <w:pStyle w:val="Text1Numbered"/>
        <w:numPr>
          <w:ilvl w:val="0"/>
          <w:numId w:val="0"/>
        </w:numPr>
        <w:ind w:left="576"/>
      </w:pPr>
    </w:p>
    <w:p w14:paraId="020C102C" w14:textId="77777777" w:rsidR="00287484" w:rsidRDefault="00287484" w:rsidP="00287484">
      <w:pPr>
        <w:pStyle w:val="Text1Numbered"/>
      </w:pPr>
      <w:r w:rsidRPr="00FB7F01">
        <w:t>A Caldicott Guardian is a senior person responsible for protecting the confidentiality of people’s health and care information and making sure it’s used properly. Caldicott Guardians make sure that the personal information about those who use the organisation’s services is used legally, ethically and appropriately, and that confidentiality is maintained.</w:t>
      </w:r>
    </w:p>
    <w:p w14:paraId="23D50A74" w14:textId="77777777" w:rsidR="00287484" w:rsidRDefault="00287484" w:rsidP="00287484">
      <w:pPr>
        <w:pStyle w:val="Text1Numbered"/>
        <w:numPr>
          <w:ilvl w:val="0"/>
          <w:numId w:val="0"/>
        </w:numPr>
      </w:pPr>
    </w:p>
    <w:p w14:paraId="3EFECCE6" w14:textId="77777777" w:rsidR="00287484" w:rsidRDefault="00287484" w:rsidP="00287484">
      <w:pPr>
        <w:pStyle w:val="Text1Numbered"/>
      </w:pPr>
      <w:r w:rsidRPr="00640FC1">
        <w:t xml:space="preserve">Caldicott Guardians use the Caldicott principles to inform decision making and these principles are outlined in </w:t>
      </w:r>
      <w:r w:rsidRPr="00566C49">
        <w:t>Appendix 1</w:t>
      </w:r>
      <w:r>
        <w:t>. A checklist to support decision making can be found in Appendix 2.</w:t>
      </w:r>
    </w:p>
    <w:p w14:paraId="50076C58" w14:textId="77777777" w:rsidR="00287484" w:rsidRDefault="00287484" w:rsidP="00287484">
      <w:pPr>
        <w:pStyle w:val="Text1Numbered"/>
        <w:numPr>
          <w:ilvl w:val="0"/>
          <w:numId w:val="0"/>
        </w:numPr>
      </w:pPr>
    </w:p>
    <w:p w14:paraId="47D44F2C" w14:textId="77777777" w:rsidR="00287484" w:rsidRPr="003F0648" w:rsidRDefault="00287484" w:rsidP="00287484">
      <w:pPr>
        <w:pStyle w:val="Text1Numbered"/>
        <w:rPr>
          <w:rFonts w:cs="Arial"/>
          <w:spacing w:val="7"/>
        </w:rPr>
      </w:pPr>
      <w:r>
        <w:t xml:space="preserve">The Data Protection Officer (DPO) is responsible for all personal data processing activities. The Caldicott Guardian acts as a conscience in matters of data confidentiality and sharing. </w:t>
      </w:r>
    </w:p>
    <w:p w14:paraId="36EE37B5" w14:textId="77777777" w:rsidR="00287484" w:rsidRDefault="00287484" w:rsidP="00287484">
      <w:pPr>
        <w:pStyle w:val="Text1Numbered"/>
        <w:numPr>
          <w:ilvl w:val="0"/>
          <w:numId w:val="0"/>
        </w:numPr>
      </w:pPr>
    </w:p>
    <w:p w14:paraId="6DBC79FD" w14:textId="5FD7E2C4" w:rsidR="00287484" w:rsidRPr="00E92778" w:rsidRDefault="00287484" w:rsidP="00287484">
      <w:pPr>
        <w:pStyle w:val="Text1Numbered"/>
        <w:rPr>
          <w:rFonts w:cs="Arial"/>
          <w:spacing w:val="7"/>
        </w:rPr>
      </w:pPr>
      <w:r w:rsidRPr="00FB7F01">
        <w:t>Caldicott Guardians are primarily responsible for maintaining the confidentiality of personal information and there are some similarities to the role of the DPO. The Senior Information Risk Owner (SIRO</w:t>
      </w:r>
      <w:r>
        <w:t xml:space="preserve"> – ELT Member</w:t>
      </w:r>
      <w:r w:rsidRPr="00FB7F01">
        <w:t>) has a responsibility for understanding how the strategic business goals of the organisation may be impacted by any information risks, and for taking steps to mitigate them.</w:t>
      </w:r>
    </w:p>
    <w:p w14:paraId="72A0BEE4" w14:textId="77777777" w:rsidR="00287484" w:rsidRPr="00640FC1" w:rsidRDefault="00287484" w:rsidP="00287484">
      <w:pPr>
        <w:pStyle w:val="Heading1Numbered"/>
      </w:pPr>
      <w:bookmarkStart w:id="2" w:name="_Toc162263879"/>
      <w:r w:rsidRPr="00640FC1">
        <w:t>Scope and Purpose</w:t>
      </w:r>
      <w:bookmarkEnd w:id="2"/>
    </w:p>
    <w:p w14:paraId="683C269A" w14:textId="1D8CD9B5" w:rsidR="00287484" w:rsidRDefault="00287484" w:rsidP="00E92778">
      <w:pPr>
        <w:pStyle w:val="Text1Numbered"/>
      </w:pPr>
      <w:r>
        <w:t>These Caldicott Guardianship Principles are designed to be read in conjunction with MHA Information Governance Policies and associated documents. They are applicable to the Caldicott Guardian and all colleagues who handle the health and care records of anyone who uses MHA services.</w:t>
      </w:r>
    </w:p>
    <w:p w14:paraId="66A1D1BC" w14:textId="77777777" w:rsidR="00287484" w:rsidRPr="001D4ADD" w:rsidRDefault="00287484" w:rsidP="00E92778">
      <w:pPr>
        <w:pStyle w:val="Text1Numbered"/>
      </w:pPr>
      <w:r>
        <w:lastRenderedPageBreak/>
        <w:t xml:space="preserve">These principles align to legislation that is applicable to both England, Wales and Scotland i.e. </w:t>
      </w:r>
      <w:hyperlink r:id="rId9" w:history="1">
        <w:r w:rsidRPr="00640FC1">
          <w:t>UK Data Protection Act</w:t>
        </w:r>
      </w:hyperlink>
      <w:r w:rsidRPr="00640FC1">
        <w:t> and the </w:t>
      </w:r>
      <w:hyperlink r:id="rId10" w:history="1">
        <w:r w:rsidRPr="00640FC1">
          <w:t>UK General Data Protection Regulation (UK GDPR)</w:t>
        </w:r>
      </w:hyperlink>
      <w:r>
        <w:t>.</w:t>
      </w:r>
    </w:p>
    <w:p w14:paraId="68F819CC" w14:textId="77777777" w:rsidR="00287484" w:rsidRDefault="00287484" w:rsidP="00287484">
      <w:pPr>
        <w:pStyle w:val="Heading1Numbered"/>
      </w:pPr>
      <w:bookmarkStart w:id="3" w:name="_Toc162263880"/>
      <w:r>
        <w:t>Caldicott Guardian Arrangements</w:t>
      </w:r>
      <w:bookmarkEnd w:id="3"/>
    </w:p>
    <w:p w14:paraId="110294A8" w14:textId="77777777" w:rsidR="00287484" w:rsidRDefault="00287484" w:rsidP="00E92778">
      <w:pPr>
        <w:pStyle w:val="Text1Numbered"/>
      </w:pPr>
      <w:r>
        <w:t>The MHA Caldicott Guardian is the Senior Nurse Advisor. The Senior Nurse Advisor reports into the Chief Operating Officer who is a member of the MHA Executive Leadership Team.</w:t>
      </w:r>
    </w:p>
    <w:p w14:paraId="2B0DB9F0" w14:textId="77777777" w:rsidR="00287484" w:rsidRDefault="00287484" w:rsidP="00287484">
      <w:pPr>
        <w:pStyle w:val="Text1Numbered"/>
        <w:numPr>
          <w:ilvl w:val="0"/>
          <w:numId w:val="0"/>
        </w:numPr>
        <w:ind w:left="576"/>
      </w:pPr>
    </w:p>
    <w:p w14:paraId="48A2FBE9" w14:textId="77777777" w:rsidR="00287484" w:rsidRDefault="00287484" w:rsidP="00E92778">
      <w:pPr>
        <w:pStyle w:val="Text1Numbered"/>
      </w:pPr>
      <w:r>
        <w:t>The Data Protection Officer (DPO) works collaboratively with the Caldicott Guardian however, to maintain a support and challenge relationship, the DPO reports into the General Counsel/Company Secretary (Senor Information Risk Owner) who is also a member of the MHA Executive Leadership Team.</w:t>
      </w:r>
    </w:p>
    <w:p w14:paraId="2FA6FDAD" w14:textId="77777777" w:rsidR="00287484" w:rsidRDefault="00287484" w:rsidP="00287484">
      <w:pPr>
        <w:pStyle w:val="Text1Numbered"/>
        <w:numPr>
          <w:ilvl w:val="0"/>
          <w:numId w:val="0"/>
        </w:numPr>
      </w:pPr>
    </w:p>
    <w:p w14:paraId="345E9C22" w14:textId="77777777" w:rsidR="00287484" w:rsidRDefault="00287484" w:rsidP="00E92778">
      <w:pPr>
        <w:pStyle w:val="Text1Numbered"/>
      </w:pPr>
      <w:r>
        <w:t xml:space="preserve">A system is in place to ensure that </w:t>
      </w:r>
      <w:r w:rsidRPr="00640FC1">
        <w:t>advice offered</w:t>
      </w:r>
      <w:r>
        <w:t>,</w:t>
      </w:r>
      <w:r w:rsidRPr="00640FC1">
        <w:t xml:space="preserve"> and decisions made</w:t>
      </w:r>
      <w:r>
        <w:t xml:space="preserve"> by the Caldicott Guardian</w:t>
      </w:r>
      <w:r w:rsidRPr="00640FC1">
        <w:t xml:space="preserve"> are contemporaneously documented with associated communications saved.</w:t>
      </w:r>
    </w:p>
    <w:p w14:paraId="2C98865D" w14:textId="77777777" w:rsidR="00287484" w:rsidRPr="008462E3" w:rsidRDefault="00287484" w:rsidP="00287484">
      <w:pPr>
        <w:pStyle w:val="Text1Numbered"/>
        <w:numPr>
          <w:ilvl w:val="0"/>
          <w:numId w:val="0"/>
        </w:numPr>
      </w:pPr>
    </w:p>
    <w:p w14:paraId="72677898" w14:textId="77777777" w:rsidR="00287484" w:rsidRDefault="00287484" w:rsidP="00E92778">
      <w:pPr>
        <w:pStyle w:val="Text1Numbered"/>
      </w:pPr>
      <w:r>
        <w:t xml:space="preserve">The Caldicott Guardian will apply the eight Caldicott Principles as outlined in </w:t>
      </w:r>
      <w:r w:rsidRPr="003F0648">
        <w:t>Appendix 1</w:t>
      </w:r>
      <w:r>
        <w:t>, acting as the ‘conscience’ of the organisation, remaining impartial and independent.</w:t>
      </w:r>
    </w:p>
    <w:p w14:paraId="068A651F" w14:textId="77777777" w:rsidR="00287484" w:rsidRDefault="00287484" w:rsidP="00287484">
      <w:pPr>
        <w:pStyle w:val="Text1Numbered"/>
        <w:numPr>
          <w:ilvl w:val="0"/>
          <w:numId w:val="0"/>
        </w:numPr>
      </w:pPr>
    </w:p>
    <w:p w14:paraId="72BEFB6B" w14:textId="77777777" w:rsidR="00E92778" w:rsidRDefault="00287484" w:rsidP="00E92778">
      <w:pPr>
        <w:pStyle w:val="Text1Numbered"/>
      </w:pPr>
      <w:r w:rsidRPr="00640FC1">
        <w:t>There is often a need for</w:t>
      </w:r>
      <w:r w:rsidRPr="00FB7F01">
        <w:t xml:space="preserve"> joined up solutions to problems</w:t>
      </w:r>
      <w:r>
        <w:t>,</w:t>
      </w:r>
      <w:r w:rsidRPr="00640FC1">
        <w:t xml:space="preserve"> and health and social care agencies being required to work together to </w:t>
      </w:r>
      <w:r>
        <w:t xml:space="preserve">improve the </w:t>
      </w:r>
      <w:r w:rsidRPr="00FB7F01">
        <w:t xml:space="preserve">support </w:t>
      </w:r>
      <w:r>
        <w:t xml:space="preserve">of </w:t>
      </w:r>
      <w:r w:rsidRPr="00FB7F01">
        <w:t xml:space="preserve">vulnerable adults. </w:t>
      </w:r>
    </w:p>
    <w:p w14:paraId="23C03FDE" w14:textId="77777777" w:rsidR="00E92778" w:rsidRDefault="00E92778" w:rsidP="00E92778">
      <w:pPr>
        <w:pStyle w:val="ListParagraph"/>
      </w:pPr>
    </w:p>
    <w:p w14:paraId="2B6A843C" w14:textId="07B6E296" w:rsidR="00287484" w:rsidRDefault="00287484" w:rsidP="00E92778">
      <w:pPr>
        <w:pStyle w:val="Text1Numbered"/>
      </w:pPr>
      <w:r w:rsidRPr="00640FC1">
        <w:t>The</w:t>
      </w:r>
      <w:r w:rsidRPr="00FB7F01">
        <w:t xml:space="preserve"> Caldicott Guardian </w:t>
      </w:r>
      <w:r w:rsidRPr="00640FC1">
        <w:t>will</w:t>
      </w:r>
      <w:r w:rsidRPr="00FB7F01">
        <w:t xml:space="preserve"> facilitate this</w:t>
      </w:r>
      <w:r>
        <w:t xml:space="preserve"> information sharing</w:t>
      </w:r>
      <w:r w:rsidRPr="00FB7F01">
        <w:t xml:space="preserve"> and ensure that </w:t>
      </w:r>
      <w:r>
        <w:t>this is</w:t>
      </w:r>
      <w:r w:rsidRPr="00FB7F01">
        <w:t xml:space="preserve"> shared appropriately and is proportionate and handled securely. This may require </w:t>
      </w:r>
      <w:r w:rsidRPr="00640FC1">
        <w:t xml:space="preserve">use of the MHA </w:t>
      </w:r>
      <w:r w:rsidRPr="00E92778">
        <w:rPr>
          <w:u w:val="single"/>
        </w:rPr>
        <w:t>Data Protection Impact Assessment Form</w:t>
      </w:r>
      <w:r w:rsidRPr="00640FC1">
        <w:t xml:space="preserve"> and</w:t>
      </w:r>
      <w:r w:rsidRPr="00FB7F01">
        <w:t xml:space="preserve"> </w:t>
      </w:r>
      <w:r w:rsidRPr="00640FC1">
        <w:t xml:space="preserve">MHA </w:t>
      </w:r>
      <w:r w:rsidRPr="00E92778">
        <w:rPr>
          <w:u w:val="single"/>
        </w:rPr>
        <w:t>Information Sharing Agreements</w:t>
      </w:r>
      <w:r w:rsidRPr="00FB7F01">
        <w:t xml:space="preserve"> </w:t>
      </w:r>
      <w:r w:rsidRPr="00640FC1">
        <w:t>along with seeking appropriate consent</w:t>
      </w:r>
      <w:r>
        <w:t>,</w:t>
      </w:r>
      <w:r w:rsidRPr="00640FC1">
        <w:t xml:space="preserve"> however it is the Caldicott Guardians role to ensure MHA do not</w:t>
      </w:r>
      <w:r w:rsidRPr="00FB7F01">
        <w:t xml:space="preserve"> impede the underlying aim to promote positive outcomes for vulnerable individuals.</w:t>
      </w:r>
    </w:p>
    <w:p w14:paraId="305FB203" w14:textId="77777777" w:rsidR="00287484" w:rsidRPr="00FB7F01" w:rsidRDefault="00287484" w:rsidP="00E92778">
      <w:pPr>
        <w:pStyle w:val="Text1Numbered"/>
      </w:pPr>
      <w:r w:rsidRPr="00640FC1">
        <w:lastRenderedPageBreak/>
        <w:t>The Caldicott Guardian will have in mind t</w:t>
      </w:r>
      <w:r w:rsidRPr="00FB7F01">
        <w:t>he ideal balance between sharing where there is good cause to do so, and withholding when there is not</w:t>
      </w:r>
      <w:r w:rsidRPr="00640FC1">
        <w:t xml:space="preserve">, thus enabling </w:t>
      </w:r>
      <w:r w:rsidRPr="00FB7F01">
        <w:t>effective, joined-up outcome</w:t>
      </w:r>
      <w:r>
        <w:t>s</w:t>
      </w:r>
      <w:r w:rsidRPr="00FB7F01">
        <w:t xml:space="preserve"> with a low risk of data breach. </w:t>
      </w:r>
    </w:p>
    <w:p w14:paraId="623CEA1D" w14:textId="77777777" w:rsidR="00287484" w:rsidRDefault="00287484" w:rsidP="00287484">
      <w:pPr>
        <w:pStyle w:val="Text1Numbered"/>
        <w:numPr>
          <w:ilvl w:val="0"/>
          <w:numId w:val="0"/>
        </w:numPr>
        <w:ind w:left="576"/>
      </w:pPr>
    </w:p>
    <w:p w14:paraId="55EE503F" w14:textId="77777777" w:rsidR="00287484" w:rsidRDefault="00287484" w:rsidP="00E92778">
      <w:pPr>
        <w:pStyle w:val="Text1Numbered"/>
        <w:rPr>
          <w:lang w:eastAsia="en-GB"/>
        </w:rPr>
      </w:pPr>
      <w:r w:rsidRPr="007A06A2">
        <w:rPr>
          <w:lang w:eastAsia="en-GB"/>
        </w:rPr>
        <w:t>The Caldicott Guardian represent</w:t>
      </w:r>
      <w:r>
        <w:rPr>
          <w:lang w:eastAsia="en-GB"/>
        </w:rPr>
        <w:t>s</w:t>
      </w:r>
      <w:r w:rsidRPr="007A06A2">
        <w:rPr>
          <w:lang w:eastAsia="en-GB"/>
        </w:rPr>
        <w:t xml:space="preserve"> and champion</w:t>
      </w:r>
      <w:r>
        <w:rPr>
          <w:lang w:eastAsia="en-GB"/>
        </w:rPr>
        <w:t>s</w:t>
      </w:r>
      <w:r w:rsidRPr="007A06A2">
        <w:rPr>
          <w:lang w:eastAsia="en-GB"/>
        </w:rPr>
        <w:t xml:space="preserve"> information governance requirements and issues at senior management team and board level </w:t>
      </w:r>
      <w:r>
        <w:rPr>
          <w:lang w:eastAsia="en-GB"/>
        </w:rPr>
        <w:t xml:space="preserve">where appropriate, playing a key role within the </w:t>
      </w:r>
      <w:r w:rsidRPr="007A06A2">
        <w:rPr>
          <w:lang w:eastAsia="en-GB"/>
        </w:rPr>
        <w:t>organisation’s overall governance framework, including the governance of information management and technology</w:t>
      </w:r>
      <w:r>
        <w:rPr>
          <w:lang w:eastAsia="en-GB"/>
        </w:rPr>
        <w:t xml:space="preserve">. </w:t>
      </w:r>
      <w:r w:rsidRPr="007A06A2">
        <w:rPr>
          <w:lang w:eastAsia="en-GB"/>
        </w:rPr>
        <w:t xml:space="preserve">This aspect of the role is </w:t>
      </w:r>
      <w:r>
        <w:rPr>
          <w:lang w:eastAsia="en-GB"/>
        </w:rPr>
        <w:t>critical</w:t>
      </w:r>
      <w:r w:rsidRPr="007A06A2">
        <w:rPr>
          <w:lang w:eastAsia="en-GB"/>
        </w:rPr>
        <w:t xml:space="preserve"> in relation to the implementation of digital and paperless systems</w:t>
      </w:r>
      <w:r>
        <w:rPr>
          <w:lang w:eastAsia="en-GB"/>
        </w:rPr>
        <w:t>.</w:t>
      </w:r>
    </w:p>
    <w:p w14:paraId="32896870" w14:textId="77777777" w:rsidR="00287484" w:rsidRDefault="00287484" w:rsidP="00287484">
      <w:pPr>
        <w:pStyle w:val="Text1Numbered"/>
        <w:numPr>
          <w:ilvl w:val="0"/>
          <w:numId w:val="0"/>
        </w:numPr>
        <w:rPr>
          <w:lang w:eastAsia="en-GB"/>
        </w:rPr>
      </w:pPr>
    </w:p>
    <w:p w14:paraId="5C786B93" w14:textId="77777777" w:rsidR="00287484" w:rsidRDefault="00287484" w:rsidP="00E92778">
      <w:pPr>
        <w:pStyle w:val="Text1Numbered"/>
      </w:pPr>
      <w:r>
        <w:rPr>
          <w:lang w:eastAsia="en-GB"/>
        </w:rPr>
        <w:t>The Caldicott Guardian will work closely with the Safeguarding Lead, providing appropriate support and advice where information is required to be shared, and ensuring that information sharing is proportionate.</w:t>
      </w:r>
    </w:p>
    <w:p w14:paraId="12C3CCE8" w14:textId="77777777" w:rsidR="00287484" w:rsidRDefault="00287484" w:rsidP="00287484">
      <w:pPr>
        <w:pStyle w:val="Text1Numbered"/>
        <w:numPr>
          <w:ilvl w:val="0"/>
          <w:numId w:val="0"/>
        </w:numPr>
      </w:pPr>
    </w:p>
    <w:p w14:paraId="630170C7" w14:textId="77777777" w:rsidR="00E92778" w:rsidRDefault="00287484" w:rsidP="00E92778">
      <w:pPr>
        <w:pStyle w:val="Text1Numbered"/>
      </w:pPr>
      <w:r w:rsidRPr="005E40A3">
        <w:rPr>
          <w:lang w:eastAsia="en-GB"/>
        </w:rPr>
        <w:t xml:space="preserve">Whilst the Data Protection Act and the UK GDPR only apply to living individuals, the Caldicott Principles also apply to records and information regarding the deceased. The Access to Health Records Act 1990 gives certain individuals formal rights to access the medical records of the deceased: there is no comparable legislation permitting access to their social care records, although the Caldicott principles may still be applied. </w:t>
      </w:r>
    </w:p>
    <w:p w14:paraId="49507801" w14:textId="77777777" w:rsidR="00E92778" w:rsidRDefault="00E92778" w:rsidP="00E92778">
      <w:pPr>
        <w:pStyle w:val="ListParagraph"/>
        <w:rPr>
          <w:lang w:eastAsia="en-GB"/>
        </w:rPr>
      </w:pPr>
    </w:p>
    <w:p w14:paraId="07322B14" w14:textId="0CB9810D" w:rsidR="00287484" w:rsidRDefault="00287484" w:rsidP="00E92778">
      <w:pPr>
        <w:pStyle w:val="Text1Numbered"/>
      </w:pPr>
      <w:r w:rsidRPr="005E40A3">
        <w:rPr>
          <w:lang w:eastAsia="en-GB"/>
        </w:rPr>
        <w:t>After a bereavement, loved ones may have a need for information to help their grieving process and Caldicott Guardians should ensure that appropriate information is not unnecessarily withheld.</w:t>
      </w:r>
    </w:p>
    <w:p w14:paraId="4C33359B" w14:textId="77777777" w:rsidR="00E92778" w:rsidRPr="005E40A3" w:rsidRDefault="00E92778" w:rsidP="00E92778">
      <w:pPr>
        <w:pStyle w:val="Text1Numbered"/>
        <w:numPr>
          <w:ilvl w:val="0"/>
          <w:numId w:val="0"/>
        </w:numPr>
      </w:pPr>
    </w:p>
    <w:p w14:paraId="5BEB68F8" w14:textId="77777777" w:rsidR="00E92778" w:rsidRDefault="00287484" w:rsidP="00E92778">
      <w:pPr>
        <w:pStyle w:val="Text1Numbered"/>
        <w:rPr>
          <w:lang w:eastAsia="en-GB"/>
        </w:rPr>
      </w:pPr>
      <w:r w:rsidRPr="005E40A3">
        <w:rPr>
          <w:lang w:eastAsia="en-GB"/>
        </w:rPr>
        <w:t xml:space="preserve">Caldicott Guardians may on occasions be asked to advise on disclosures that may be in the public interest, for example to protect individuals or society from risks of serious harm, such as serious communicable diseases or serious crime, or to enable medical research, education or other secondary uses of information that may ultimately benefit society. </w:t>
      </w:r>
    </w:p>
    <w:p w14:paraId="7126D67F" w14:textId="77777777" w:rsidR="00E92778" w:rsidRDefault="00E92778" w:rsidP="00E92778">
      <w:pPr>
        <w:pStyle w:val="ListParagraph"/>
        <w:rPr>
          <w:lang w:eastAsia="en-GB"/>
        </w:rPr>
      </w:pPr>
    </w:p>
    <w:p w14:paraId="2AAB5F3B" w14:textId="0C84C0F7" w:rsidR="00287484" w:rsidRPr="007A06A2" w:rsidRDefault="00287484" w:rsidP="00E92778">
      <w:pPr>
        <w:pStyle w:val="Text1Numbered"/>
        <w:rPr>
          <w:lang w:eastAsia="en-GB"/>
        </w:rPr>
      </w:pPr>
      <w:r w:rsidRPr="005E40A3">
        <w:rPr>
          <w:lang w:eastAsia="en-GB"/>
        </w:rPr>
        <w:lastRenderedPageBreak/>
        <w:t>Personal information may be disclosed in the public interest, without consent—and in exceptional cases where consent has been withheld— if the benefits to an individual or to society of the disclosure outweigh both the public and the patient’s interest in keeping the information confidential.</w:t>
      </w:r>
    </w:p>
    <w:p w14:paraId="0B71206C" w14:textId="77777777" w:rsidR="00287484" w:rsidRDefault="00287484" w:rsidP="00287484">
      <w:pPr>
        <w:pStyle w:val="Heading1Numbered"/>
      </w:pPr>
      <w:bookmarkStart w:id="4" w:name="_Toc162263881"/>
      <w:r w:rsidRPr="004C3545">
        <w:t xml:space="preserve">Roles </w:t>
      </w:r>
      <w:r>
        <w:t>and</w:t>
      </w:r>
      <w:r w:rsidRPr="004C3545">
        <w:t xml:space="preserve"> Responsibilities</w:t>
      </w:r>
      <w:bookmarkEnd w:id="4"/>
    </w:p>
    <w:p w14:paraId="0DF57560" w14:textId="307C2674" w:rsidR="00287484" w:rsidRDefault="00287484" w:rsidP="00287484">
      <w:r>
        <w:t>Refer also to Information Governance Responsibilities</w:t>
      </w:r>
      <w:r w:rsidR="00E92778">
        <w:t xml:space="preserve"> </w:t>
      </w:r>
      <w:r w:rsidR="00C40DDE">
        <w:t xml:space="preserve">and MHA’s Information Governance Policies and Procedures </w:t>
      </w:r>
      <w:hyperlink r:id="rId11" w:history="1">
        <w:r w:rsidR="00C40DDE">
          <w:rPr>
            <w:rStyle w:val="Hyperlink"/>
          </w:rPr>
          <w:t>Information Governance Policies</w:t>
        </w:r>
      </w:hyperlink>
      <w:r w:rsidR="00C40DDE">
        <w:t xml:space="preserve"> </w:t>
      </w:r>
    </w:p>
    <w:p w14:paraId="1CA4A8D0" w14:textId="77777777" w:rsidR="00287484" w:rsidRPr="004C3545" w:rsidRDefault="00287484" w:rsidP="00287484"/>
    <w:tbl>
      <w:tblPr>
        <w:tblStyle w:val="MHATable"/>
        <w:tblW w:w="0" w:type="auto"/>
        <w:tblLook w:val="04A0" w:firstRow="1" w:lastRow="0" w:firstColumn="1" w:lastColumn="0" w:noHBand="0" w:noVBand="1"/>
      </w:tblPr>
      <w:tblGrid>
        <w:gridCol w:w="2830"/>
        <w:gridCol w:w="6663"/>
      </w:tblGrid>
      <w:tr w:rsidR="00287484" w:rsidRPr="004C3545" w14:paraId="73457FC0" w14:textId="77777777" w:rsidTr="00235B4F">
        <w:trPr>
          <w:cnfStyle w:val="100000000000" w:firstRow="1" w:lastRow="0" w:firstColumn="0" w:lastColumn="0" w:oddVBand="0" w:evenVBand="0" w:oddHBand="0" w:evenHBand="0" w:firstRowFirstColumn="0" w:firstRowLastColumn="0" w:lastRowFirstColumn="0" w:lastRowLastColumn="0"/>
        </w:trPr>
        <w:tc>
          <w:tcPr>
            <w:tcW w:w="2830" w:type="dxa"/>
          </w:tcPr>
          <w:p w14:paraId="73ECEB3B" w14:textId="77777777" w:rsidR="00287484" w:rsidRPr="004C3545" w:rsidRDefault="00287484" w:rsidP="00235B4F">
            <w:r w:rsidRPr="004C3545">
              <w:t>Role</w:t>
            </w:r>
          </w:p>
        </w:tc>
        <w:tc>
          <w:tcPr>
            <w:tcW w:w="6663" w:type="dxa"/>
          </w:tcPr>
          <w:p w14:paraId="63093510" w14:textId="77777777" w:rsidR="00287484" w:rsidRPr="004C3545" w:rsidRDefault="00287484" w:rsidP="00235B4F">
            <w:r w:rsidRPr="004C3545">
              <w:t>Responsibilities</w:t>
            </w:r>
          </w:p>
        </w:tc>
      </w:tr>
      <w:tr w:rsidR="00287484" w:rsidRPr="004C3545" w14:paraId="197E3124" w14:textId="77777777" w:rsidTr="00235B4F">
        <w:tc>
          <w:tcPr>
            <w:tcW w:w="2830" w:type="dxa"/>
          </w:tcPr>
          <w:p w14:paraId="4C42D9E4" w14:textId="77777777" w:rsidR="00287484" w:rsidRPr="00C9668E" w:rsidRDefault="00287484" w:rsidP="00235B4F">
            <w:pPr>
              <w:rPr>
                <w:b/>
                <w:bCs/>
              </w:rPr>
            </w:pPr>
            <w:r w:rsidRPr="00C9668E">
              <w:rPr>
                <w:b/>
                <w:bCs/>
              </w:rPr>
              <w:t>All MHA Colleagues</w:t>
            </w:r>
          </w:p>
          <w:p w14:paraId="3BADE475" w14:textId="77777777" w:rsidR="00287484" w:rsidRPr="00C9668E" w:rsidRDefault="00287484" w:rsidP="00235B4F">
            <w:pPr>
              <w:rPr>
                <w:b/>
                <w:bCs/>
              </w:rPr>
            </w:pPr>
          </w:p>
        </w:tc>
        <w:tc>
          <w:tcPr>
            <w:tcW w:w="6663" w:type="dxa"/>
          </w:tcPr>
          <w:p w14:paraId="1922342C" w14:textId="77777777" w:rsidR="00287484" w:rsidRDefault="00287484" w:rsidP="00235B4F">
            <w:r>
              <w:t>Must comply with MHA Information Governance Policies and associated documents.</w:t>
            </w:r>
          </w:p>
          <w:p w14:paraId="50384364" w14:textId="77777777" w:rsidR="00287484" w:rsidRPr="004C3545" w:rsidRDefault="00287484" w:rsidP="00235B4F"/>
        </w:tc>
      </w:tr>
      <w:tr w:rsidR="00287484" w:rsidRPr="004C3545" w14:paraId="562B5030" w14:textId="77777777" w:rsidTr="00235B4F">
        <w:tc>
          <w:tcPr>
            <w:tcW w:w="2830" w:type="dxa"/>
          </w:tcPr>
          <w:p w14:paraId="192FF571" w14:textId="77777777" w:rsidR="00287484" w:rsidRPr="00C9668E" w:rsidRDefault="00287484" w:rsidP="00235B4F">
            <w:pPr>
              <w:rPr>
                <w:b/>
                <w:bCs/>
              </w:rPr>
            </w:pPr>
            <w:r w:rsidRPr="00C9668E">
              <w:rPr>
                <w:b/>
                <w:bCs/>
              </w:rPr>
              <w:t>Caldicott Guardian (Senior Nurse Advisor)</w:t>
            </w:r>
          </w:p>
        </w:tc>
        <w:tc>
          <w:tcPr>
            <w:tcW w:w="6663" w:type="dxa"/>
          </w:tcPr>
          <w:p w14:paraId="5FE7AED7" w14:textId="77777777" w:rsidR="00287484" w:rsidRDefault="00287484" w:rsidP="00235B4F">
            <w:r w:rsidRPr="005F584A">
              <w:t>The</w:t>
            </w:r>
            <w:r w:rsidRPr="007A06A2">
              <w:t xml:space="preserve"> Caldicott Guardian make</w:t>
            </w:r>
            <w:r w:rsidRPr="005F584A">
              <w:t>s</w:t>
            </w:r>
            <w:r w:rsidRPr="007A06A2">
              <w:t xml:space="preserve"> sure that the personal information about those who use the organisation’s services is used legally, ethically and appropriately, and that confidentiality is maintained. </w:t>
            </w:r>
            <w:r w:rsidRPr="005F584A">
              <w:t xml:space="preserve">The </w:t>
            </w:r>
            <w:r w:rsidRPr="007A06A2">
              <w:t xml:space="preserve">Caldicott Guardian </w:t>
            </w:r>
            <w:r w:rsidRPr="005F584A">
              <w:t>will</w:t>
            </w:r>
            <w:r w:rsidRPr="007A06A2">
              <w:t xml:space="preserve"> provide leadership and informed guidance on complex matters involving confidentiality and information sharing</w:t>
            </w:r>
            <w:r w:rsidRPr="005F584A">
              <w:t xml:space="preserve"> relating to care and incorporating that pertaining to relatives as well as to the person receiving care and support</w:t>
            </w:r>
          </w:p>
        </w:tc>
      </w:tr>
    </w:tbl>
    <w:p w14:paraId="56B0125C" w14:textId="77777777" w:rsidR="00287484" w:rsidRPr="004C3545" w:rsidRDefault="00287484" w:rsidP="00287484">
      <w:pPr>
        <w:rPr>
          <w:rFonts w:cs="Arial"/>
          <w:spacing w:val="7"/>
        </w:rPr>
      </w:pPr>
    </w:p>
    <w:p w14:paraId="3BBD33DB" w14:textId="77777777" w:rsidR="00287484" w:rsidRDefault="00287484" w:rsidP="00287484">
      <w:pPr>
        <w:pStyle w:val="Heading1Numbered"/>
      </w:pPr>
      <w:bookmarkStart w:id="5" w:name="_Toc162263882"/>
      <w:r w:rsidRPr="00B2494E">
        <w:t>Training and Monitoring</w:t>
      </w:r>
      <w:bookmarkEnd w:id="5"/>
    </w:p>
    <w:p w14:paraId="647B29A1" w14:textId="77777777" w:rsidR="00287484" w:rsidRDefault="00287484" w:rsidP="00E92778">
      <w:pPr>
        <w:pStyle w:val="Text1Numbered"/>
      </w:pPr>
      <w:r>
        <w:t>The Caldicott Guardian will be responsible for keeping up to date with UK National Guidelines and any changes to these as they happen.</w:t>
      </w:r>
    </w:p>
    <w:p w14:paraId="63F8F3DB" w14:textId="77777777" w:rsidR="00287484" w:rsidRDefault="00287484" w:rsidP="00287484">
      <w:pPr>
        <w:pStyle w:val="Text1Numbered"/>
        <w:numPr>
          <w:ilvl w:val="0"/>
          <w:numId w:val="0"/>
        </w:numPr>
        <w:ind w:left="576"/>
      </w:pPr>
    </w:p>
    <w:p w14:paraId="60B007C0" w14:textId="77777777" w:rsidR="00287484" w:rsidRDefault="00287484" w:rsidP="00E92778">
      <w:pPr>
        <w:pStyle w:val="Text1Numbered"/>
      </w:pPr>
      <w:r>
        <w:t>The Caldicott Guardian will ensure that their personal development plan incorporates the training and development that will enable them to perform to the standards required of the role.</w:t>
      </w:r>
    </w:p>
    <w:p w14:paraId="6F1FDA3D" w14:textId="77777777" w:rsidR="00E92778" w:rsidRDefault="00E92778" w:rsidP="00E92778">
      <w:pPr>
        <w:pStyle w:val="ListParagraph"/>
      </w:pPr>
    </w:p>
    <w:p w14:paraId="64F159C7" w14:textId="212BD259" w:rsidR="00E92778" w:rsidRDefault="00E92778" w:rsidP="00E92778">
      <w:pPr>
        <w:pStyle w:val="Text1Numbered"/>
      </w:pPr>
      <w:r>
        <w:lastRenderedPageBreak/>
        <w:t xml:space="preserve">Procedures within this policy will be monitored through MHA’s Quality Governance and risk framework including regulatory compliance </w:t>
      </w:r>
    </w:p>
    <w:p w14:paraId="5C263FDE" w14:textId="77777777" w:rsidR="00287484" w:rsidRDefault="00287484" w:rsidP="00287484">
      <w:pPr>
        <w:pStyle w:val="Heading1Numbered"/>
      </w:pPr>
      <w:bookmarkStart w:id="6" w:name="_Toc162263883"/>
      <w:r w:rsidRPr="000C7997">
        <w:t>Communication and Dissemination</w:t>
      </w:r>
      <w:bookmarkEnd w:id="6"/>
    </w:p>
    <w:p w14:paraId="426D0FCD" w14:textId="77777777" w:rsidR="00287484" w:rsidRDefault="00287484" w:rsidP="00E92778">
      <w:pPr>
        <w:pStyle w:val="Text1Numbered"/>
      </w:pPr>
      <w:r>
        <w:t>These Caldicott Guardianship Principles will be circulated along with any review of the overarching Information Governance Policy.</w:t>
      </w:r>
    </w:p>
    <w:p w14:paraId="244BC2CE" w14:textId="77777777" w:rsidR="00E92778" w:rsidRDefault="00E92778" w:rsidP="00E92778">
      <w:pPr>
        <w:pStyle w:val="Text1Numbered"/>
        <w:numPr>
          <w:ilvl w:val="0"/>
          <w:numId w:val="0"/>
        </w:numPr>
        <w:ind w:left="1135"/>
      </w:pPr>
    </w:p>
    <w:p w14:paraId="6D03F161" w14:textId="77777777" w:rsidR="00287484" w:rsidRDefault="00287484" w:rsidP="00E92778">
      <w:pPr>
        <w:pStyle w:val="Text1Numbered"/>
      </w:pPr>
      <w:r>
        <w:t>This policy is disseminated and implemented within all MHA services through MHA’s channels of communication</w:t>
      </w:r>
    </w:p>
    <w:p w14:paraId="4B500222" w14:textId="77777777" w:rsidR="00287484" w:rsidRDefault="00287484" w:rsidP="00287484">
      <w:pPr>
        <w:pStyle w:val="Text1Numbered"/>
        <w:numPr>
          <w:ilvl w:val="0"/>
          <w:numId w:val="0"/>
        </w:numPr>
      </w:pPr>
    </w:p>
    <w:p w14:paraId="576EC1C5" w14:textId="77777777" w:rsidR="00287484" w:rsidRDefault="00287484" w:rsidP="00E92778">
      <w:pPr>
        <w:pStyle w:val="Text1Numbered"/>
      </w:pPr>
      <w:r>
        <w:t>Each colleague’s line manager must ensure that all teams are aware of their roles, responsibilities</w:t>
      </w:r>
    </w:p>
    <w:p w14:paraId="4F0C803A" w14:textId="77777777" w:rsidR="00287484" w:rsidRDefault="00287484" w:rsidP="00287484">
      <w:pPr>
        <w:pStyle w:val="Text1Numbered"/>
        <w:numPr>
          <w:ilvl w:val="0"/>
          <w:numId w:val="0"/>
        </w:numPr>
      </w:pPr>
    </w:p>
    <w:p w14:paraId="2DA00CDC" w14:textId="77777777" w:rsidR="00287484" w:rsidRPr="00386B5D" w:rsidRDefault="00287484" w:rsidP="00E92778">
      <w:pPr>
        <w:pStyle w:val="Text1Numbered"/>
      </w:pPr>
      <w:r>
        <w:t>This policy will be available to the people we support and their representatives in alternate formats, as required</w:t>
      </w:r>
    </w:p>
    <w:p w14:paraId="701A1AF4" w14:textId="77777777" w:rsidR="00287484" w:rsidRPr="00386B5D" w:rsidRDefault="00287484" w:rsidP="00287484">
      <w:pPr>
        <w:pStyle w:val="Text1Numbered"/>
        <w:numPr>
          <w:ilvl w:val="0"/>
          <w:numId w:val="0"/>
        </w:numPr>
        <w:ind w:left="576"/>
      </w:pPr>
    </w:p>
    <w:p w14:paraId="3488E3F9" w14:textId="77777777" w:rsidR="00287484" w:rsidRDefault="00287484" w:rsidP="00287484">
      <w:pPr>
        <w:pStyle w:val="Heading1Numbered"/>
      </w:pPr>
      <w:r>
        <w:t>Equality Impact Assessment (EIA)</w:t>
      </w:r>
    </w:p>
    <w:p w14:paraId="029E9F80" w14:textId="26E90F60" w:rsidR="00287484" w:rsidRPr="004C3545" w:rsidRDefault="0074330A" w:rsidP="0074330A">
      <w:pPr>
        <w:pStyle w:val="Text1Numbered"/>
      </w:pPr>
      <w:r>
        <w:t>An Equality Impact Assessment has been completed with no identified negative</w:t>
      </w:r>
      <w:r>
        <w:t xml:space="preserve"> impact in relation to Personal Protected Characteristics as defined by the Equality Act 2010</w:t>
      </w:r>
    </w:p>
    <w:p w14:paraId="1A59B563" w14:textId="77777777" w:rsidR="00287484" w:rsidRDefault="00287484" w:rsidP="00287484">
      <w:pPr>
        <w:pStyle w:val="Text1Numbered"/>
        <w:numPr>
          <w:ilvl w:val="0"/>
          <w:numId w:val="0"/>
        </w:numPr>
        <w:ind w:left="576"/>
      </w:pPr>
    </w:p>
    <w:p w14:paraId="7E90602B" w14:textId="77777777" w:rsidR="00287484" w:rsidRDefault="00287484" w:rsidP="00287484">
      <w:pPr>
        <w:pStyle w:val="Heading1Numbered"/>
      </w:pPr>
      <w:bookmarkStart w:id="7" w:name="_Toc162263885"/>
      <w:r w:rsidRPr="00B2494E">
        <w:t>Resources</w:t>
      </w:r>
      <w:bookmarkEnd w:id="7"/>
      <w:r w:rsidRPr="00B2494E">
        <w:t xml:space="preserve"> </w:t>
      </w:r>
    </w:p>
    <w:p w14:paraId="03C6543A" w14:textId="77777777" w:rsidR="00287484" w:rsidRDefault="00287484" w:rsidP="00E92778">
      <w:pPr>
        <w:pStyle w:val="Text1Numbered"/>
      </w:pPr>
      <w:r>
        <w:t xml:space="preserve">MHA policy documents, procedures and guidance </w:t>
      </w:r>
    </w:p>
    <w:p w14:paraId="6A99D942" w14:textId="77777777" w:rsidR="00287484" w:rsidRDefault="00000000" w:rsidP="00287484">
      <w:pPr>
        <w:pStyle w:val="Textlistindented-bullet"/>
        <w:tabs>
          <w:tab w:val="left" w:pos="284"/>
        </w:tabs>
      </w:pPr>
      <w:hyperlink r:id="rId12" w:history="1">
        <w:r w:rsidR="00287484">
          <w:rPr>
            <w:rStyle w:val="Hyperlink"/>
          </w:rPr>
          <w:t>Information Governance Policies and Associated Documents</w:t>
        </w:r>
      </w:hyperlink>
    </w:p>
    <w:p w14:paraId="05B31D1B" w14:textId="0201C8F9" w:rsidR="00287484" w:rsidRDefault="00287484" w:rsidP="00C40DDE">
      <w:pPr>
        <w:pStyle w:val="Textlistindented-bullet"/>
        <w:tabs>
          <w:tab w:val="left" w:pos="284"/>
        </w:tabs>
      </w:pPr>
      <w:r>
        <w:t xml:space="preserve">Adults Safeguarding Policy  </w:t>
      </w:r>
    </w:p>
    <w:p w14:paraId="43703CF8" w14:textId="77777777" w:rsidR="00287484" w:rsidRDefault="00287484" w:rsidP="00E92778">
      <w:pPr>
        <w:pStyle w:val="Text1Numbered"/>
      </w:pPr>
      <w:r>
        <w:t>External Resources</w:t>
      </w:r>
    </w:p>
    <w:p w14:paraId="43DFDDB8" w14:textId="77777777" w:rsidR="00287484" w:rsidRDefault="00287484" w:rsidP="00287484">
      <w:pPr>
        <w:pStyle w:val="Textlistindented-bullet"/>
        <w:tabs>
          <w:tab w:val="left" w:pos="284"/>
        </w:tabs>
        <w:rPr>
          <w:rFonts w:cs="Arial"/>
          <w:b/>
          <w:spacing w:val="7"/>
        </w:rPr>
      </w:pPr>
      <w:bookmarkStart w:id="8" w:name="_Toc162263843"/>
      <w:bookmarkStart w:id="9" w:name="_Toc162263886"/>
      <w:r w:rsidRPr="00584C86">
        <w:rPr>
          <w:rFonts w:cs="Arial"/>
          <w:spacing w:val="7"/>
        </w:rPr>
        <w:t>The UK</w:t>
      </w:r>
      <w:r>
        <w:rPr>
          <w:rFonts w:cs="Arial"/>
          <w:spacing w:val="7"/>
        </w:rPr>
        <w:t xml:space="preserve"> </w:t>
      </w:r>
      <w:r w:rsidRPr="00584C86">
        <w:rPr>
          <w:rFonts w:cs="Arial"/>
          <w:spacing w:val="7"/>
        </w:rPr>
        <w:t>C</w:t>
      </w:r>
      <w:r>
        <w:rPr>
          <w:rFonts w:cs="Arial"/>
          <w:spacing w:val="7"/>
        </w:rPr>
        <w:t>aldicott Guardian Council (UKC</w:t>
      </w:r>
      <w:r w:rsidRPr="00584C86">
        <w:rPr>
          <w:rFonts w:cs="Arial"/>
          <w:spacing w:val="7"/>
        </w:rPr>
        <w:t>GC</w:t>
      </w:r>
      <w:r>
        <w:rPr>
          <w:rFonts w:cs="Arial"/>
          <w:spacing w:val="7"/>
        </w:rPr>
        <w:t>)</w:t>
      </w:r>
      <w:r w:rsidRPr="00584C86">
        <w:rPr>
          <w:rFonts w:cs="Arial"/>
          <w:spacing w:val="7"/>
        </w:rPr>
        <w:t> </w:t>
      </w:r>
      <w:hyperlink r:id="rId13" w:anchor="Manual-for-Caldicott-Guardians" w:history="1">
        <w:r w:rsidRPr="00584C86">
          <w:rPr>
            <w:spacing w:val="7"/>
          </w:rPr>
          <w:t>A Manual for Caldicott Guardians</w:t>
        </w:r>
      </w:hyperlink>
      <w:r w:rsidRPr="00584C86">
        <w:rPr>
          <w:rFonts w:cs="Arial"/>
          <w:spacing w:val="7"/>
        </w:rPr>
        <w:t>.</w:t>
      </w:r>
      <w:bookmarkEnd w:id="8"/>
      <w:bookmarkEnd w:id="9"/>
    </w:p>
    <w:p w14:paraId="7E49BDB2" w14:textId="77777777" w:rsidR="00287484" w:rsidRDefault="00287484" w:rsidP="00287484">
      <w:pPr>
        <w:pStyle w:val="Textlistindented-bullet"/>
        <w:tabs>
          <w:tab w:val="left" w:pos="284"/>
        </w:tabs>
      </w:pPr>
      <w:r>
        <w:lastRenderedPageBreak/>
        <w:t>UK Government National Data Guardian for Health and Social Care (2020) The Eight Caldicott Principles.</w:t>
      </w:r>
    </w:p>
    <w:p w14:paraId="6DFF5E68" w14:textId="77777777" w:rsidR="00287484" w:rsidRDefault="00287484" w:rsidP="00287484">
      <w:pPr>
        <w:pStyle w:val="Textlistindented-bullet"/>
        <w:tabs>
          <w:tab w:val="left" w:pos="284"/>
        </w:tabs>
      </w:pPr>
      <w:r w:rsidRPr="005E40A3">
        <w:t>The UK Caldicott Guardian Council (2024) Information sharing and disclosure.</w:t>
      </w:r>
    </w:p>
    <w:p w14:paraId="266ED854" w14:textId="37AE2130" w:rsidR="00287484" w:rsidRDefault="00000000" w:rsidP="00E92778">
      <w:pPr>
        <w:pStyle w:val="Textlistindented-bullet"/>
        <w:numPr>
          <w:ilvl w:val="0"/>
          <w:numId w:val="0"/>
        </w:numPr>
        <w:ind w:left="1559"/>
        <w:rPr>
          <w:rStyle w:val="Hyperlink"/>
        </w:rPr>
      </w:pPr>
      <w:hyperlink r:id="rId14" w:history="1">
        <w:r w:rsidR="00287484" w:rsidRPr="006C3A2E">
          <w:rPr>
            <w:rStyle w:val="Hyperlink"/>
          </w:rPr>
          <w:t>https://www.ukcgc.uk/information-sharing-and-disclosure</w:t>
        </w:r>
      </w:hyperlink>
    </w:p>
    <w:p w14:paraId="5BB481C0" w14:textId="77777777" w:rsidR="00DC24E1" w:rsidRDefault="00000000" w:rsidP="00DC24E1">
      <w:pPr>
        <w:pStyle w:val="Textlistindented-bullet"/>
      </w:pPr>
      <w:hyperlink r:id="rId15" w:history="1">
        <w:r w:rsidR="00DC24E1">
          <w:rPr>
            <w:rStyle w:val="Hyperlink"/>
          </w:rPr>
          <w:t>Human Rights Act 1998</w:t>
        </w:r>
      </w:hyperlink>
    </w:p>
    <w:p w14:paraId="7CE1F801" w14:textId="77777777" w:rsidR="00DC24E1" w:rsidRDefault="00000000" w:rsidP="00DC24E1">
      <w:pPr>
        <w:pStyle w:val="Textlistindented-bullet"/>
      </w:pPr>
      <w:hyperlink r:id="rId16" w:history="1">
        <w:r w:rsidR="00DC24E1">
          <w:rPr>
            <w:rStyle w:val="Hyperlink"/>
          </w:rPr>
          <w:t xml:space="preserve">Equality Act 2010 Guidance </w:t>
        </w:r>
      </w:hyperlink>
    </w:p>
    <w:p w14:paraId="77D8F61C" w14:textId="52ED3311" w:rsidR="00DC24E1" w:rsidRDefault="00000000" w:rsidP="00DC24E1">
      <w:pPr>
        <w:pStyle w:val="Textlistindented-bullet"/>
      </w:pPr>
      <w:hyperlink r:id="rId17" w:history="1">
        <w:r w:rsidR="00DC24E1">
          <w:rPr>
            <w:rStyle w:val="Hyperlink"/>
          </w:rPr>
          <w:t>Freedom of Information Act 2000</w:t>
        </w:r>
      </w:hyperlink>
      <w:r w:rsidR="00DC24E1">
        <w:t xml:space="preserve">   </w:t>
      </w:r>
    </w:p>
    <w:p w14:paraId="57539EEB" w14:textId="463D3654" w:rsidR="00C9668E" w:rsidRDefault="00287484" w:rsidP="00C9668E">
      <w:pPr>
        <w:pStyle w:val="Heading1Numbered"/>
      </w:pPr>
      <w:bookmarkStart w:id="10" w:name="_Toc162263887"/>
      <w:r>
        <w:t>A</w:t>
      </w:r>
      <w:r w:rsidRPr="000C7997">
        <w:t>ppendices</w:t>
      </w:r>
      <w:bookmarkEnd w:id="10"/>
    </w:p>
    <w:p w14:paraId="5A86AEFF" w14:textId="77777777" w:rsidR="00C9668E" w:rsidRPr="00C9668E" w:rsidRDefault="00C9668E" w:rsidP="00C9668E"/>
    <w:p w14:paraId="5A337325" w14:textId="5E07546B" w:rsidR="00287484" w:rsidRDefault="00287484" w:rsidP="00E92778">
      <w:pPr>
        <w:pStyle w:val="Heading1Numbered"/>
        <w:numPr>
          <w:ilvl w:val="0"/>
          <w:numId w:val="0"/>
        </w:numPr>
        <w:ind w:left="1134"/>
      </w:pPr>
      <w:bookmarkStart w:id="11" w:name="_Toc162263845"/>
      <w:bookmarkStart w:id="12" w:name="_Toc162263888"/>
      <w:r w:rsidRPr="00CF7537">
        <w:t xml:space="preserve">Appendix 1: </w:t>
      </w:r>
      <w:r>
        <w:t>The Eight Caldicott Principles</w:t>
      </w:r>
      <w:r w:rsidRPr="00AB7F32">
        <w:t xml:space="preserve"> </w:t>
      </w:r>
      <w:r>
        <w:t>(adapted for MHA)</w:t>
      </w:r>
      <w:bookmarkEnd w:id="11"/>
      <w:bookmarkEnd w:id="12"/>
    </w:p>
    <w:p w14:paraId="49D697E2" w14:textId="238A73C8" w:rsidR="00287484" w:rsidRDefault="00287484" w:rsidP="00E92778">
      <w:pPr>
        <w:pStyle w:val="Text1Numbered"/>
      </w:pPr>
      <w:bookmarkStart w:id="13" w:name="_Toc162263636"/>
      <w:bookmarkStart w:id="14" w:name="_Toc162263846"/>
      <w:bookmarkStart w:id="15" w:name="_Toc162263889"/>
      <w:r w:rsidRPr="00E92778">
        <w:t>Good information sharing is essential for providing safe and effective care. There are also important uses of information for purposes other than individual care, which contribute to the overall delivery of health and social care or serve wider public interests.</w:t>
      </w:r>
      <w:bookmarkEnd w:id="13"/>
      <w:bookmarkEnd w:id="14"/>
      <w:bookmarkEnd w:id="15"/>
      <w:r w:rsidRPr="00E92778">
        <w:t xml:space="preserve"> </w:t>
      </w:r>
    </w:p>
    <w:p w14:paraId="3F89B96A" w14:textId="77777777" w:rsidR="00E92778" w:rsidRPr="00E92778" w:rsidRDefault="00E92778" w:rsidP="00E92778">
      <w:pPr>
        <w:pStyle w:val="Text1Numbered"/>
        <w:numPr>
          <w:ilvl w:val="0"/>
          <w:numId w:val="0"/>
        </w:numPr>
        <w:ind w:left="1135"/>
      </w:pPr>
    </w:p>
    <w:p w14:paraId="7CE8D217" w14:textId="10F7F036" w:rsidR="00287484" w:rsidRDefault="00287484" w:rsidP="00E92778">
      <w:pPr>
        <w:pStyle w:val="Text1Numbered"/>
      </w:pPr>
      <w:bookmarkStart w:id="16" w:name="_Toc162263637"/>
      <w:bookmarkStart w:id="17" w:name="_Toc162263847"/>
      <w:bookmarkStart w:id="18" w:name="_Toc162263890"/>
      <w:r w:rsidRPr="00E92778">
        <w:t>These principles apply to the use of confidential information within health and social care organisations and when such information is shared with other organisations and between individuals, both for individual care and for other purposes.</w:t>
      </w:r>
      <w:bookmarkEnd w:id="16"/>
      <w:bookmarkEnd w:id="17"/>
      <w:bookmarkEnd w:id="18"/>
      <w:r w:rsidRPr="00E92778">
        <w:t xml:space="preserve"> </w:t>
      </w:r>
    </w:p>
    <w:p w14:paraId="7792CE44" w14:textId="77777777" w:rsidR="00E92778" w:rsidRPr="00E92778" w:rsidRDefault="00E92778" w:rsidP="00E92778">
      <w:pPr>
        <w:pStyle w:val="Text1Numbered"/>
        <w:numPr>
          <w:ilvl w:val="0"/>
          <w:numId w:val="0"/>
        </w:numPr>
      </w:pPr>
    </w:p>
    <w:p w14:paraId="7CFD9220" w14:textId="3F29CE45" w:rsidR="00E92778" w:rsidRDefault="00287484" w:rsidP="0074330A">
      <w:pPr>
        <w:pStyle w:val="Text1Numbered"/>
      </w:pPr>
      <w:bookmarkStart w:id="19" w:name="_Toc162263638"/>
      <w:bookmarkStart w:id="20" w:name="_Toc162263848"/>
      <w:bookmarkStart w:id="21" w:name="_Toc162263891"/>
      <w:r w:rsidRPr="00E92778">
        <w:t xml:space="preserve">The principles are intended to apply to all data collected for the provision of health and social care services where people who use these services can be identified and would expect that it will be kept private. This may include for instance, details about symptoms, diagnosis, treatment, names and addresses. In some instances, the principles should also be applied to the processing of information about colleagues. </w:t>
      </w:r>
    </w:p>
    <w:p w14:paraId="05AABD8C" w14:textId="77777777" w:rsidR="0074330A" w:rsidRDefault="0074330A" w:rsidP="0074330A">
      <w:pPr>
        <w:pStyle w:val="ListParagraph"/>
      </w:pPr>
    </w:p>
    <w:p w14:paraId="0A62A6EE" w14:textId="77777777" w:rsidR="0074330A" w:rsidRDefault="0074330A" w:rsidP="0074330A">
      <w:pPr>
        <w:pStyle w:val="Text1Numbered"/>
        <w:numPr>
          <w:ilvl w:val="0"/>
          <w:numId w:val="0"/>
        </w:numPr>
        <w:ind w:left="1135"/>
      </w:pPr>
    </w:p>
    <w:p w14:paraId="03465E10" w14:textId="6CD1FCB7" w:rsidR="00287484" w:rsidRDefault="00287484" w:rsidP="0074330A">
      <w:pPr>
        <w:pStyle w:val="Text1Numbered"/>
      </w:pPr>
      <w:r w:rsidRPr="00E92778">
        <w:lastRenderedPageBreak/>
        <w:t>They are primarily intended to guide organisations and those who work for them, but it should be remembered that people who use health and social care services and/or their representatives should be included as active partners in the use of confidential information.</w:t>
      </w:r>
      <w:bookmarkEnd w:id="19"/>
      <w:bookmarkEnd w:id="20"/>
      <w:bookmarkEnd w:id="21"/>
      <w:r w:rsidRPr="00E92778">
        <w:t xml:space="preserve"> </w:t>
      </w:r>
    </w:p>
    <w:p w14:paraId="72A13C26" w14:textId="77777777" w:rsidR="0074330A" w:rsidRPr="0074330A" w:rsidRDefault="0074330A" w:rsidP="0074330A">
      <w:pPr>
        <w:pStyle w:val="Text1Numbered"/>
        <w:numPr>
          <w:ilvl w:val="0"/>
          <w:numId w:val="0"/>
        </w:numPr>
      </w:pPr>
    </w:p>
    <w:p w14:paraId="575F8F7E" w14:textId="77273185" w:rsidR="00287484" w:rsidRPr="00E92778" w:rsidRDefault="00287484" w:rsidP="00E92778">
      <w:pPr>
        <w:pStyle w:val="Text1Numbered"/>
      </w:pPr>
      <w:bookmarkStart w:id="22" w:name="_Toc162263639"/>
      <w:bookmarkStart w:id="23" w:name="_Toc162263849"/>
      <w:bookmarkStart w:id="24" w:name="_Toc162263892"/>
      <w:r w:rsidRPr="00E92778">
        <w:t>Where a novel and/or difficult judgment or decision is required, it is advisable to involve a Caldicott Guardian.</w:t>
      </w:r>
      <w:bookmarkEnd w:id="22"/>
      <w:bookmarkEnd w:id="23"/>
      <w:bookmarkEnd w:id="24"/>
      <w:r w:rsidRPr="00E92778">
        <w:t xml:space="preserve"> </w:t>
      </w:r>
    </w:p>
    <w:p w14:paraId="056F8717" w14:textId="77777777" w:rsidR="00E92778" w:rsidRPr="00E92778" w:rsidRDefault="00287484" w:rsidP="00E92778">
      <w:pPr>
        <w:pStyle w:val="Text"/>
        <w:spacing w:after="0"/>
        <w:rPr>
          <w:color w:val="217593" w:themeColor="accent1"/>
        </w:rPr>
      </w:pPr>
      <w:bookmarkStart w:id="25" w:name="_Toc162263640"/>
      <w:bookmarkStart w:id="26" w:name="_Toc162263850"/>
      <w:bookmarkStart w:id="27" w:name="_Toc162263893"/>
      <w:r w:rsidRPr="00E92778">
        <w:rPr>
          <w:color w:val="217593" w:themeColor="accent1"/>
        </w:rPr>
        <w:t xml:space="preserve">Principle 1: Justify the purpose(s) for using confidential information </w:t>
      </w:r>
    </w:p>
    <w:p w14:paraId="049FBC59" w14:textId="6586F4F0" w:rsidR="00287484" w:rsidRPr="00E92778" w:rsidRDefault="00287484" w:rsidP="00E92778">
      <w:pPr>
        <w:pStyle w:val="Text"/>
        <w:spacing w:after="0"/>
        <w:rPr>
          <w:sz w:val="22"/>
          <w:szCs w:val="22"/>
        </w:rPr>
      </w:pPr>
      <w:r w:rsidRPr="00595091">
        <w:t>Every proposed use or transfer of confidential information should be clearly defined, scrutinised and documented, with continuing uses regularly reviewed by an appropriate guardian.</w:t>
      </w:r>
      <w:bookmarkEnd w:id="25"/>
      <w:bookmarkEnd w:id="26"/>
      <w:bookmarkEnd w:id="27"/>
      <w:r w:rsidRPr="00595091">
        <w:t xml:space="preserve"> </w:t>
      </w:r>
    </w:p>
    <w:p w14:paraId="645A6E96" w14:textId="77777777" w:rsidR="00E92778" w:rsidRDefault="00E92778" w:rsidP="00E92778">
      <w:pPr>
        <w:pStyle w:val="Text"/>
        <w:spacing w:after="0"/>
        <w:rPr>
          <w:b/>
        </w:rPr>
      </w:pPr>
    </w:p>
    <w:p w14:paraId="22A6C976" w14:textId="00DC84BF" w:rsidR="00287484" w:rsidRDefault="00287484" w:rsidP="00E92778">
      <w:pPr>
        <w:pStyle w:val="Text"/>
        <w:rPr>
          <w:b/>
        </w:rPr>
      </w:pPr>
      <w:bookmarkStart w:id="28" w:name="_Toc162263641"/>
      <w:bookmarkStart w:id="29" w:name="_Toc162263851"/>
      <w:bookmarkStart w:id="30" w:name="_Toc162263894"/>
      <w:r w:rsidRPr="00E92778">
        <w:rPr>
          <w:bCs/>
          <w:color w:val="217593" w:themeColor="accent1"/>
        </w:rPr>
        <w:t>Principle 2: Use confidential information only when it is necessary Confidential</w:t>
      </w:r>
      <w:r w:rsidRPr="00E92778">
        <w:rPr>
          <w:color w:val="217593" w:themeColor="accent1"/>
        </w:rPr>
        <w:t xml:space="preserve"> </w:t>
      </w:r>
      <w:r w:rsidRPr="00595091">
        <w:t>information should not be included unless it is necessary for the specified purpose(s) for which the information is used or accessed. The need to identify individuals should be considered at each stage of satisfying the purpose(s) and alternatives used where possible.</w:t>
      </w:r>
      <w:bookmarkEnd w:id="28"/>
      <w:bookmarkEnd w:id="29"/>
      <w:bookmarkEnd w:id="30"/>
      <w:r w:rsidRPr="00595091">
        <w:t xml:space="preserve"> </w:t>
      </w:r>
    </w:p>
    <w:p w14:paraId="738B7E6B" w14:textId="77777777" w:rsidR="00287484" w:rsidRPr="00E92778" w:rsidRDefault="00287484" w:rsidP="00E92778">
      <w:pPr>
        <w:pStyle w:val="Text"/>
        <w:spacing w:after="0"/>
        <w:rPr>
          <w:b/>
          <w:color w:val="217593" w:themeColor="accent1"/>
        </w:rPr>
      </w:pPr>
      <w:bookmarkStart w:id="31" w:name="_Toc162263642"/>
      <w:bookmarkStart w:id="32" w:name="_Toc162263852"/>
      <w:bookmarkStart w:id="33" w:name="_Toc162263895"/>
      <w:r w:rsidRPr="00E92778">
        <w:rPr>
          <w:color w:val="217593" w:themeColor="accent1"/>
        </w:rPr>
        <w:t>Principle 3: Use the minimum necessary confidential information</w:t>
      </w:r>
      <w:bookmarkEnd w:id="31"/>
      <w:bookmarkEnd w:id="32"/>
      <w:bookmarkEnd w:id="33"/>
      <w:r w:rsidRPr="00E92778">
        <w:rPr>
          <w:color w:val="217593" w:themeColor="accent1"/>
        </w:rPr>
        <w:t xml:space="preserve"> </w:t>
      </w:r>
    </w:p>
    <w:p w14:paraId="78F40F70" w14:textId="55930AF5" w:rsidR="00287484" w:rsidRDefault="00287484" w:rsidP="00E92778">
      <w:pPr>
        <w:pStyle w:val="Text"/>
        <w:rPr>
          <w:b/>
        </w:rPr>
      </w:pPr>
      <w:bookmarkStart w:id="34" w:name="_Toc162263643"/>
      <w:bookmarkStart w:id="35" w:name="_Toc162263853"/>
      <w:bookmarkStart w:id="36" w:name="_Toc162263896"/>
      <w:r w:rsidRPr="00595091">
        <w:t>Where use of confidential information is considered to be necessary, each item of information must be justified so that only the minimum amount of confidential information is included as necessary for a given function.</w:t>
      </w:r>
      <w:bookmarkEnd w:id="34"/>
      <w:bookmarkEnd w:id="35"/>
      <w:bookmarkEnd w:id="36"/>
      <w:r w:rsidRPr="00595091">
        <w:t xml:space="preserve"> </w:t>
      </w:r>
    </w:p>
    <w:p w14:paraId="411F8B6F" w14:textId="77777777" w:rsidR="00E92778" w:rsidRPr="00E92778" w:rsidRDefault="00287484" w:rsidP="00E92778">
      <w:pPr>
        <w:pStyle w:val="Text"/>
        <w:spacing w:after="0"/>
        <w:rPr>
          <w:b/>
          <w:color w:val="217593" w:themeColor="accent1"/>
        </w:rPr>
      </w:pPr>
      <w:bookmarkStart w:id="37" w:name="_Toc162263644"/>
      <w:bookmarkStart w:id="38" w:name="_Toc162263854"/>
      <w:bookmarkStart w:id="39" w:name="_Toc162263897"/>
      <w:r w:rsidRPr="00E92778">
        <w:rPr>
          <w:color w:val="217593" w:themeColor="accent1"/>
        </w:rPr>
        <w:t>Principle 4: Access to confidential information should be on a strict need-to-know basis</w:t>
      </w:r>
      <w:bookmarkEnd w:id="37"/>
      <w:bookmarkEnd w:id="38"/>
      <w:bookmarkEnd w:id="39"/>
      <w:r w:rsidRPr="00E92778">
        <w:rPr>
          <w:color w:val="217593" w:themeColor="accent1"/>
        </w:rPr>
        <w:t xml:space="preserve"> </w:t>
      </w:r>
      <w:bookmarkStart w:id="40" w:name="_Toc162263645"/>
      <w:bookmarkStart w:id="41" w:name="_Toc162263855"/>
      <w:bookmarkStart w:id="42" w:name="_Toc162263898"/>
    </w:p>
    <w:p w14:paraId="6CC620CD" w14:textId="552067AE" w:rsidR="00287484" w:rsidRPr="00E92778" w:rsidRDefault="00287484" w:rsidP="00E92778">
      <w:pPr>
        <w:pStyle w:val="Text"/>
        <w:rPr>
          <w:b/>
          <w:color w:val="217593"/>
        </w:rPr>
      </w:pPr>
      <w:r w:rsidRPr="00595091">
        <w:t>Only those who need access to confidential information should have access to it, and then only to the items that they need to see. This may mean introducing access controls or splitting information flows where one flow is used for several purposes.</w:t>
      </w:r>
      <w:bookmarkEnd w:id="40"/>
      <w:bookmarkEnd w:id="41"/>
      <w:bookmarkEnd w:id="42"/>
      <w:r w:rsidRPr="00595091">
        <w:t xml:space="preserve"> </w:t>
      </w:r>
    </w:p>
    <w:p w14:paraId="07E551EF" w14:textId="77777777" w:rsidR="00287484" w:rsidRPr="00E92778" w:rsidRDefault="00287484" w:rsidP="00E92778">
      <w:pPr>
        <w:pStyle w:val="Text"/>
        <w:spacing w:after="0"/>
        <w:rPr>
          <w:b/>
          <w:color w:val="217593" w:themeColor="accent1"/>
        </w:rPr>
      </w:pPr>
      <w:bookmarkStart w:id="43" w:name="_Toc162263646"/>
      <w:bookmarkStart w:id="44" w:name="_Toc162263856"/>
      <w:bookmarkStart w:id="45" w:name="_Toc162263899"/>
      <w:r w:rsidRPr="00E92778">
        <w:rPr>
          <w:color w:val="217593" w:themeColor="accent1"/>
        </w:rPr>
        <w:t>Principle 5: Everyone with access to confidential information should be aware of their responsibilities</w:t>
      </w:r>
      <w:bookmarkEnd w:id="43"/>
      <w:bookmarkEnd w:id="44"/>
      <w:bookmarkEnd w:id="45"/>
      <w:r w:rsidRPr="00E92778">
        <w:rPr>
          <w:color w:val="217593" w:themeColor="accent1"/>
        </w:rPr>
        <w:t xml:space="preserve"> </w:t>
      </w:r>
    </w:p>
    <w:p w14:paraId="5F8B9C5D" w14:textId="7D9E8C2B" w:rsidR="00E92778" w:rsidRDefault="00287484" w:rsidP="00E92778">
      <w:pPr>
        <w:pStyle w:val="Text"/>
      </w:pPr>
      <w:bookmarkStart w:id="46" w:name="_Toc162263647"/>
      <w:bookmarkStart w:id="47" w:name="_Toc162263857"/>
      <w:bookmarkStart w:id="48" w:name="_Toc162263900"/>
      <w:r w:rsidRPr="00595091">
        <w:t xml:space="preserve">Action should be taken to ensure that all those handling confidential information understand their responsibilities and obligations to respect the confidentiality of </w:t>
      </w:r>
      <w:r>
        <w:t>people who use MHA services</w:t>
      </w:r>
      <w:r w:rsidRPr="00595091">
        <w:t>.</w:t>
      </w:r>
      <w:bookmarkEnd w:id="46"/>
      <w:bookmarkEnd w:id="47"/>
      <w:bookmarkEnd w:id="48"/>
      <w:r w:rsidRPr="00595091">
        <w:t xml:space="preserve"> </w:t>
      </w:r>
    </w:p>
    <w:p w14:paraId="03CC0516" w14:textId="77777777" w:rsidR="00E92778" w:rsidRPr="00E92778" w:rsidRDefault="00E92778" w:rsidP="00E92778">
      <w:pPr>
        <w:pStyle w:val="Text"/>
      </w:pPr>
    </w:p>
    <w:p w14:paraId="22F8569F" w14:textId="77777777" w:rsidR="00287484" w:rsidRPr="00E92778" w:rsidRDefault="00287484" w:rsidP="00E92778">
      <w:pPr>
        <w:pStyle w:val="Text"/>
        <w:spacing w:after="0"/>
        <w:rPr>
          <w:b/>
          <w:color w:val="217593"/>
        </w:rPr>
      </w:pPr>
      <w:bookmarkStart w:id="49" w:name="_Toc162263648"/>
      <w:bookmarkStart w:id="50" w:name="_Toc162263858"/>
      <w:bookmarkStart w:id="51" w:name="_Toc162263901"/>
      <w:r w:rsidRPr="00E92778">
        <w:rPr>
          <w:color w:val="217593"/>
        </w:rPr>
        <w:t>Principle 6: Comply with the law</w:t>
      </w:r>
      <w:bookmarkEnd w:id="49"/>
      <w:bookmarkEnd w:id="50"/>
      <w:bookmarkEnd w:id="51"/>
      <w:r w:rsidRPr="00E92778">
        <w:rPr>
          <w:color w:val="217593"/>
        </w:rPr>
        <w:t xml:space="preserve"> </w:t>
      </w:r>
    </w:p>
    <w:p w14:paraId="5F116AF4" w14:textId="7883935D" w:rsidR="00287484" w:rsidRPr="00E92778" w:rsidRDefault="00287484" w:rsidP="00E92778">
      <w:pPr>
        <w:pStyle w:val="Text"/>
        <w:rPr>
          <w:b/>
        </w:rPr>
      </w:pPr>
      <w:bookmarkStart w:id="52" w:name="_Toc162263649"/>
      <w:bookmarkStart w:id="53" w:name="_Toc162263859"/>
      <w:bookmarkStart w:id="54" w:name="_Toc162263902"/>
      <w:r w:rsidRPr="00595091">
        <w:t>Every use of confidential information must be lawful. All those handling confidential information are responsible for ensuring that their use of and access to that information complies with legal requirements set out in statute and under the common law.</w:t>
      </w:r>
      <w:bookmarkEnd w:id="52"/>
      <w:bookmarkEnd w:id="53"/>
      <w:bookmarkEnd w:id="54"/>
      <w:r w:rsidRPr="00595091">
        <w:t xml:space="preserve"> </w:t>
      </w:r>
    </w:p>
    <w:p w14:paraId="3A40F625" w14:textId="77777777" w:rsidR="00287484" w:rsidRPr="00E92778" w:rsidRDefault="00287484" w:rsidP="00E92778">
      <w:pPr>
        <w:pStyle w:val="Text"/>
        <w:spacing w:after="0"/>
        <w:rPr>
          <w:b/>
          <w:color w:val="217593"/>
        </w:rPr>
      </w:pPr>
      <w:bookmarkStart w:id="55" w:name="_Toc162263650"/>
      <w:bookmarkStart w:id="56" w:name="_Toc162263860"/>
      <w:bookmarkStart w:id="57" w:name="_Toc162263903"/>
      <w:r w:rsidRPr="00E92778">
        <w:rPr>
          <w:color w:val="217593"/>
        </w:rPr>
        <w:t>Principle 7: The duty to share information for individual care is as important as the duty to protect patient confidentiality</w:t>
      </w:r>
      <w:bookmarkEnd w:id="55"/>
      <w:bookmarkEnd w:id="56"/>
      <w:bookmarkEnd w:id="57"/>
      <w:r w:rsidRPr="00E92778">
        <w:rPr>
          <w:color w:val="217593"/>
        </w:rPr>
        <w:t xml:space="preserve"> </w:t>
      </w:r>
    </w:p>
    <w:p w14:paraId="69A56457" w14:textId="407F8256" w:rsidR="00287484" w:rsidRDefault="00287484" w:rsidP="00E92778">
      <w:pPr>
        <w:pStyle w:val="Heading1Numbered"/>
        <w:numPr>
          <w:ilvl w:val="0"/>
          <w:numId w:val="0"/>
        </w:numPr>
        <w:spacing w:after="0"/>
        <w:outlineLvl w:val="9"/>
        <w:rPr>
          <w:b w:val="0"/>
          <w:sz w:val="24"/>
        </w:rPr>
      </w:pPr>
      <w:bookmarkStart w:id="58" w:name="_Toc162263651"/>
      <w:bookmarkStart w:id="59" w:name="_Toc162263861"/>
      <w:bookmarkStart w:id="60" w:name="_Toc162263904"/>
      <w:r w:rsidRPr="00595091">
        <w:rPr>
          <w:b w:val="0"/>
          <w:sz w:val="24"/>
        </w:rPr>
        <w:t>Health and social care professionals should have the confidence to share confidential information in the best interests of patients and service users within the framework set out by these principles. They should be supported by the policies of their employers, regulators and professional bodies.</w:t>
      </w:r>
      <w:bookmarkEnd w:id="58"/>
      <w:bookmarkEnd w:id="59"/>
      <w:bookmarkEnd w:id="60"/>
      <w:r w:rsidRPr="00595091">
        <w:rPr>
          <w:b w:val="0"/>
          <w:sz w:val="24"/>
        </w:rPr>
        <w:t xml:space="preserve"> </w:t>
      </w:r>
    </w:p>
    <w:p w14:paraId="07DCD158" w14:textId="77777777" w:rsidR="00E92778" w:rsidRPr="00E92778" w:rsidRDefault="00E92778" w:rsidP="00E92778"/>
    <w:p w14:paraId="09075C2A" w14:textId="77777777" w:rsidR="00287484" w:rsidRPr="00E92778" w:rsidRDefault="00287484" w:rsidP="00E92778">
      <w:pPr>
        <w:pStyle w:val="Text"/>
        <w:spacing w:after="0"/>
        <w:rPr>
          <w:b/>
          <w:color w:val="217593"/>
        </w:rPr>
      </w:pPr>
      <w:bookmarkStart w:id="61" w:name="_Toc162263652"/>
      <w:bookmarkStart w:id="62" w:name="_Toc162263862"/>
      <w:bookmarkStart w:id="63" w:name="_Toc162263905"/>
      <w:r w:rsidRPr="00E92778">
        <w:rPr>
          <w:color w:val="217593"/>
        </w:rPr>
        <w:t>Principle 8: Inform people who use MHA services about how their confidential information is used</w:t>
      </w:r>
      <w:bookmarkEnd w:id="61"/>
      <w:bookmarkEnd w:id="62"/>
      <w:bookmarkEnd w:id="63"/>
      <w:r w:rsidRPr="00E92778">
        <w:rPr>
          <w:color w:val="217593"/>
        </w:rPr>
        <w:t xml:space="preserve"> </w:t>
      </w:r>
    </w:p>
    <w:p w14:paraId="7A6762B7" w14:textId="77777777" w:rsidR="00287484" w:rsidRDefault="00287484" w:rsidP="00E92778">
      <w:pPr>
        <w:pStyle w:val="Text"/>
        <w:spacing w:after="0"/>
        <w:rPr>
          <w:b/>
        </w:rPr>
      </w:pPr>
      <w:bookmarkStart w:id="64" w:name="_Toc162263653"/>
      <w:bookmarkStart w:id="65" w:name="_Toc162263863"/>
      <w:bookmarkStart w:id="66" w:name="_Toc162263906"/>
      <w:r w:rsidRPr="00595091">
        <w:t xml:space="preserve">A range of steps should be taken to ensure no surprises for </w:t>
      </w:r>
      <w:r>
        <w:t>people who use MHA services</w:t>
      </w:r>
      <w:r w:rsidRPr="00595091">
        <w:t>, so they can have clear expectations about how and why their confidential information is used, and what choices they have about this. These steps will vary depending on the use: as a minimum, this should include providing accessible, relevant and appropriate information - in some cases, greater engagement will be required.</w:t>
      </w:r>
      <w:bookmarkEnd w:id="64"/>
      <w:bookmarkEnd w:id="65"/>
      <w:bookmarkEnd w:id="66"/>
    </w:p>
    <w:p w14:paraId="6B42EDCE" w14:textId="77777777" w:rsidR="00287484" w:rsidRDefault="00287484" w:rsidP="00287484">
      <w:pPr>
        <w:rPr>
          <w:b/>
          <w:sz w:val="28"/>
        </w:rPr>
      </w:pPr>
    </w:p>
    <w:p w14:paraId="01A9E443" w14:textId="77777777" w:rsidR="00287484" w:rsidRDefault="00287484" w:rsidP="00287484">
      <w:pPr>
        <w:rPr>
          <w:b/>
          <w:sz w:val="28"/>
        </w:rPr>
      </w:pPr>
    </w:p>
    <w:p w14:paraId="6DA68B85" w14:textId="77777777" w:rsidR="00287484" w:rsidRDefault="00287484" w:rsidP="00287484">
      <w:pPr>
        <w:rPr>
          <w:b/>
          <w:sz w:val="28"/>
        </w:rPr>
      </w:pPr>
    </w:p>
    <w:p w14:paraId="29435B77" w14:textId="77777777" w:rsidR="00287484" w:rsidRDefault="00287484" w:rsidP="00287484">
      <w:pPr>
        <w:rPr>
          <w:b/>
          <w:sz w:val="28"/>
        </w:rPr>
      </w:pPr>
    </w:p>
    <w:p w14:paraId="1818A3B3" w14:textId="77777777" w:rsidR="00287484" w:rsidRDefault="00287484" w:rsidP="00287484">
      <w:pPr>
        <w:rPr>
          <w:b/>
          <w:sz w:val="28"/>
        </w:rPr>
      </w:pPr>
    </w:p>
    <w:p w14:paraId="044CB7BD" w14:textId="77777777" w:rsidR="00287484" w:rsidRDefault="00287484" w:rsidP="00287484">
      <w:pPr>
        <w:rPr>
          <w:b/>
          <w:sz w:val="28"/>
        </w:rPr>
      </w:pPr>
    </w:p>
    <w:p w14:paraId="6B970616" w14:textId="77777777" w:rsidR="00E92778" w:rsidRDefault="00E92778" w:rsidP="00287484">
      <w:pPr>
        <w:rPr>
          <w:b/>
          <w:sz w:val="28"/>
        </w:rPr>
      </w:pPr>
    </w:p>
    <w:p w14:paraId="63E241AA" w14:textId="77777777" w:rsidR="00E92778" w:rsidRDefault="00E92778" w:rsidP="00287484">
      <w:pPr>
        <w:rPr>
          <w:b/>
          <w:sz w:val="28"/>
        </w:rPr>
      </w:pPr>
    </w:p>
    <w:p w14:paraId="203D15A6" w14:textId="77777777" w:rsidR="00E92778" w:rsidRDefault="00E92778" w:rsidP="00287484">
      <w:pPr>
        <w:rPr>
          <w:b/>
          <w:sz w:val="28"/>
        </w:rPr>
      </w:pPr>
    </w:p>
    <w:p w14:paraId="233B7EBD" w14:textId="77777777" w:rsidR="00E92778" w:rsidRDefault="00E92778" w:rsidP="00287484">
      <w:pPr>
        <w:rPr>
          <w:b/>
          <w:sz w:val="28"/>
        </w:rPr>
      </w:pPr>
    </w:p>
    <w:p w14:paraId="0E31797F" w14:textId="77777777" w:rsidR="00287484" w:rsidRPr="00035BA6" w:rsidRDefault="00287484" w:rsidP="00287484">
      <w:pPr>
        <w:pStyle w:val="Heading1"/>
        <w:numPr>
          <w:ilvl w:val="0"/>
          <w:numId w:val="0"/>
        </w:numPr>
        <w:ind w:left="567"/>
        <w:rPr>
          <w:b w:val="0"/>
        </w:rPr>
      </w:pPr>
      <w:r w:rsidRPr="00035BA6">
        <w:t xml:space="preserve">Appendix 2: Information Sharing Checklist for Caldicott Guardian </w:t>
      </w:r>
    </w:p>
    <w:tbl>
      <w:tblPr>
        <w:tblStyle w:val="MHATable"/>
        <w:tblW w:w="0" w:type="auto"/>
        <w:tblLook w:val="04A0" w:firstRow="1" w:lastRow="0" w:firstColumn="1" w:lastColumn="0" w:noHBand="0" w:noVBand="1"/>
      </w:tblPr>
      <w:tblGrid>
        <w:gridCol w:w="560"/>
        <w:gridCol w:w="4193"/>
        <w:gridCol w:w="1216"/>
        <w:gridCol w:w="3580"/>
      </w:tblGrid>
      <w:tr w:rsidR="00287484" w:rsidRPr="00035BA6" w14:paraId="1F189782" w14:textId="77777777" w:rsidTr="00235B4F">
        <w:trPr>
          <w:cnfStyle w:val="100000000000" w:firstRow="1" w:lastRow="0" w:firstColumn="0" w:lastColumn="0" w:oddVBand="0" w:evenVBand="0" w:oddHBand="0" w:evenHBand="0" w:firstRowFirstColumn="0" w:firstRowLastColumn="0" w:lastRowFirstColumn="0" w:lastRowLastColumn="0"/>
        </w:trPr>
        <w:tc>
          <w:tcPr>
            <w:tcW w:w="9549" w:type="dxa"/>
            <w:gridSpan w:val="4"/>
          </w:tcPr>
          <w:p w14:paraId="1B0EBA95" w14:textId="77777777" w:rsidR="00287484" w:rsidRPr="00035BA6" w:rsidRDefault="00287484" w:rsidP="00235B4F">
            <w:pPr>
              <w:rPr>
                <w:sz w:val="20"/>
                <w:szCs w:val="20"/>
              </w:rPr>
            </w:pPr>
            <w:r>
              <w:rPr>
                <w:sz w:val="20"/>
                <w:szCs w:val="20"/>
              </w:rPr>
              <w:t>Date:                      Reference No:</w:t>
            </w:r>
          </w:p>
        </w:tc>
      </w:tr>
      <w:tr w:rsidR="00287484" w:rsidRPr="00035BA6" w14:paraId="0F1AAC20" w14:textId="77777777" w:rsidTr="00235B4F">
        <w:tc>
          <w:tcPr>
            <w:tcW w:w="560" w:type="dxa"/>
          </w:tcPr>
          <w:p w14:paraId="0D79249B" w14:textId="77777777" w:rsidR="00287484" w:rsidRPr="00035BA6" w:rsidRDefault="00287484" w:rsidP="00235B4F">
            <w:pPr>
              <w:rPr>
                <w:b/>
                <w:bCs/>
                <w:sz w:val="20"/>
                <w:szCs w:val="20"/>
              </w:rPr>
            </w:pPr>
          </w:p>
        </w:tc>
        <w:tc>
          <w:tcPr>
            <w:tcW w:w="4193" w:type="dxa"/>
          </w:tcPr>
          <w:p w14:paraId="7B7E01A2" w14:textId="77777777" w:rsidR="00287484" w:rsidRPr="00035BA6" w:rsidRDefault="00287484" w:rsidP="00235B4F">
            <w:pPr>
              <w:rPr>
                <w:b/>
                <w:bCs/>
                <w:sz w:val="20"/>
                <w:szCs w:val="20"/>
              </w:rPr>
            </w:pPr>
            <w:r w:rsidRPr="00035BA6">
              <w:rPr>
                <w:b/>
                <w:bCs/>
                <w:sz w:val="20"/>
                <w:szCs w:val="20"/>
              </w:rPr>
              <w:t>Caldicott Principle</w:t>
            </w:r>
          </w:p>
        </w:tc>
        <w:tc>
          <w:tcPr>
            <w:tcW w:w="1216" w:type="dxa"/>
          </w:tcPr>
          <w:p w14:paraId="2C118DF4" w14:textId="77777777" w:rsidR="00287484" w:rsidRPr="00035BA6" w:rsidRDefault="00287484" w:rsidP="00235B4F">
            <w:pPr>
              <w:rPr>
                <w:b/>
                <w:bCs/>
                <w:sz w:val="20"/>
                <w:szCs w:val="20"/>
              </w:rPr>
            </w:pPr>
            <w:r w:rsidRPr="00035BA6">
              <w:rPr>
                <w:b/>
                <w:bCs/>
                <w:sz w:val="20"/>
                <w:szCs w:val="20"/>
              </w:rPr>
              <w:t>Confirmed as met</w:t>
            </w:r>
          </w:p>
        </w:tc>
        <w:tc>
          <w:tcPr>
            <w:tcW w:w="3580" w:type="dxa"/>
          </w:tcPr>
          <w:p w14:paraId="387F84E9" w14:textId="77777777" w:rsidR="00287484" w:rsidRPr="00035BA6" w:rsidRDefault="00287484" w:rsidP="00235B4F">
            <w:pPr>
              <w:rPr>
                <w:b/>
                <w:bCs/>
                <w:sz w:val="20"/>
                <w:szCs w:val="20"/>
              </w:rPr>
            </w:pPr>
            <w:r w:rsidRPr="00035BA6">
              <w:rPr>
                <w:b/>
                <w:bCs/>
                <w:sz w:val="20"/>
                <w:szCs w:val="20"/>
              </w:rPr>
              <w:t>Notes</w:t>
            </w:r>
          </w:p>
        </w:tc>
      </w:tr>
      <w:tr w:rsidR="00287484" w:rsidRPr="00035BA6" w14:paraId="2EF2B03D" w14:textId="77777777" w:rsidTr="00235B4F">
        <w:tc>
          <w:tcPr>
            <w:tcW w:w="560" w:type="dxa"/>
          </w:tcPr>
          <w:p w14:paraId="0D49F410" w14:textId="77777777" w:rsidR="00287484" w:rsidRPr="00035BA6" w:rsidRDefault="00287484" w:rsidP="00235B4F">
            <w:pPr>
              <w:rPr>
                <w:sz w:val="20"/>
                <w:szCs w:val="20"/>
              </w:rPr>
            </w:pPr>
            <w:r w:rsidRPr="00035BA6">
              <w:rPr>
                <w:sz w:val="20"/>
                <w:szCs w:val="20"/>
              </w:rPr>
              <w:t>1</w:t>
            </w:r>
          </w:p>
        </w:tc>
        <w:tc>
          <w:tcPr>
            <w:tcW w:w="4193" w:type="dxa"/>
          </w:tcPr>
          <w:p w14:paraId="6924B246" w14:textId="77777777" w:rsidR="00287484" w:rsidRPr="00035BA6" w:rsidRDefault="00287484" w:rsidP="00235B4F">
            <w:pPr>
              <w:rPr>
                <w:sz w:val="20"/>
                <w:szCs w:val="20"/>
              </w:rPr>
            </w:pPr>
            <w:r w:rsidRPr="00035BA6">
              <w:rPr>
                <w:sz w:val="20"/>
                <w:szCs w:val="20"/>
              </w:rPr>
              <w:t>Justify the purpose(s) of using confidential information</w:t>
            </w:r>
          </w:p>
        </w:tc>
        <w:tc>
          <w:tcPr>
            <w:tcW w:w="1216" w:type="dxa"/>
          </w:tcPr>
          <w:p w14:paraId="3FD80491" w14:textId="77777777" w:rsidR="00287484" w:rsidRPr="00035BA6" w:rsidRDefault="00287484" w:rsidP="00235B4F">
            <w:pPr>
              <w:rPr>
                <w:sz w:val="20"/>
                <w:szCs w:val="20"/>
              </w:rPr>
            </w:pPr>
          </w:p>
        </w:tc>
        <w:tc>
          <w:tcPr>
            <w:tcW w:w="3580" w:type="dxa"/>
          </w:tcPr>
          <w:p w14:paraId="5D34000C" w14:textId="77777777" w:rsidR="00287484" w:rsidRPr="00035BA6" w:rsidRDefault="00287484" w:rsidP="00235B4F">
            <w:pPr>
              <w:rPr>
                <w:sz w:val="20"/>
                <w:szCs w:val="20"/>
              </w:rPr>
            </w:pPr>
          </w:p>
        </w:tc>
      </w:tr>
      <w:tr w:rsidR="00287484" w:rsidRPr="00035BA6" w14:paraId="553E4BC2" w14:textId="77777777" w:rsidTr="00235B4F">
        <w:tc>
          <w:tcPr>
            <w:tcW w:w="560" w:type="dxa"/>
          </w:tcPr>
          <w:p w14:paraId="2F5FF2DF" w14:textId="77777777" w:rsidR="00287484" w:rsidRPr="00035BA6" w:rsidRDefault="00287484" w:rsidP="00235B4F">
            <w:pPr>
              <w:rPr>
                <w:sz w:val="20"/>
                <w:szCs w:val="20"/>
              </w:rPr>
            </w:pPr>
            <w:r w:rsidRPr="00035BA6">
              <w:rPr>
                <w:sz w:val="20"/>
                <w:szCs w:val="20"/>
              </w:rPr>
              <w:t>2</w:t>
            </w:r>
          </w:p>
        </w:tc>
        <w:tc>
          <w:tcPr>
            <w:tcW w:w="4193" w:type="dxa"/>
          </w:tcPr>
          <w:p w14:paraId="0EF51F45" w14:textId="77777777" w:rsidR="00287484" w:rsidRPr="00035BA6" w:rsidRDefault="00287484" w:rsidP="00235B4F">
            <w:pPr>
              <w:rPr>
                <w:sz w:val="20"/>
                <w:szCs w:val="20"/>
              </w:rPr>
            </w:pPr>
            <w:r w:rsidRPr="00035BA6">
              <w:rPr>
                <w:sz w:val="20"/>
                <w:szCs w:val="20"/>
              </w:rPr>
              <w:t>Use confidential information only when it is necessary</w:t>
            </w:r>
          </w:p>
        </w:tc>
        <w:tc>
          <w:tcPr>
            <w:tcW w:w="1216" w:type="dxa"/>
          </w:tcPr>
          <w:p w14:paraId="6CBD4DC4" w14:textId="77777777" w:rsidR="00287484" w:rsidRPr="00035BA6" w:rsidRDefault="00287484" w:rsidP="00235B4F">
            <w:pPr>
              <w:rPr>
                <w:sz w:val="20"/>
                <w:szCs w:val="20"/>
              </w:rPr>
            </w:pPr>
          </w:p>
        </w:tc>
        <w:tc>
          <w:tcPr>
            <w:tcW w:w="3580" w:type="dxa"/>
          </w:tcPr>
          <w:p w14:paraId="355D3EC8" w14:textId="77777777" w:rsidR="00287484" w:rsidRPr="00035BA6" w:rsidRDefault="00287484" w:rsidP="00235B4F">
            <w:pPr>
              <w:rPr>
                <w:sz w:val="20"/>
                <w:szCs w:val="20"/>
              </w:rPr>
            </w:pPr>
          </w:p>
        </w:tc>
      </w:tr>
      <w:tr w:rsidR="00287484" w:rsidRPr="00035BA6" w14:paraId="627AB87B" w14:textId="77777777" w:rsidTr="00235B4F">
        <w:tc>
          <w:tcPr>
            <w:tcW w:w="560" w:type="dxa"/>
          </w:tcPr>
          <w:p w14:paraId="51ED27CB" w14:textId="77777777" w:rsidR="00287484" w:rsidRPr="00035BA6" w:rsidRDefault="00287484" w:rsidP="00235B4F">
            <w:pPr>
              <w:rPr>
                <w:sz w:val="20"/>
                <w:szCs w:val="20"/>
              </w:rPr>
            </w:pPr>
            <w:r w:rsidRPr="00035BA6">
              <w:rPr>
                <w:sz w:val="20"/>
                <w:szCs w:val="20"/>
              </w:rPr>
              <w:t>3</w:t>
            </w:r>
          </w:p>
        </w:tc>
        <w:tc>
          <w:tcPr>
            <w:tcW w:w="4193" w:type="dxa"/>
          </w:tcPr>
          <w:p w14:paraId="121C7A2E" w14:textId="77777777" w:rsidR="00287484" w:rsidRPr="00035BA6" w:rsidRDefault="00287484" w:rsidP="00235B4F">
            <w:pPr>
              <w:rPr>
                <w:sz w:val="20"/>
                <w:szCs w:val="20"/>
              </w:rPr>
            </w:pPr>
            <w:r w:rsidRPr="00035BA6">
              <w:rPr>
                <w:sz w:val="20"/>
                <w:szCs w:val="20"/>
              </w:rPr>
              <w:t>Use the minimum necessary confidential information</w:t>
            </w:r>
          </w:p>
        </w:tc>
        <w:tc>
          <w:tcPr>
            <w:tcW w:w="1216" w:type="dxa"/>
          </w:tcPr>
          <w:p w14:paraId="6987EB9C" w14:textId="77777777" w:rsidR="00287484" w:rsidRPr="00035BA6" w:rsidRDefault="00287484" w:rsidP="00235B4F">
            <w:pPr>
              <w:rPr>
                <w:sz w:val="20"/>
                <w:szCs w:val="20"/>
              </w:rPr>
            </w:pPr>
          </w:p>
        </w:tc>
        <w:tc>
          <w:tcPr>
            <w:tcW w:w="3580" w:type="dxa"/>
          </w:tcPr>
          <w:p w14:paraId="1E66A2A8" w14:textId="77777777" w:rsidR="00287484" w:rsidRPr="00035BA6" w:rsidRDefault="00287484" w:rsidP="00235B4F">
            <w:pPr>
              <w:rPr>
                <w:sz w:val="20"/>
                <w:szCs w:val="20"/>
              </w:rPr>
            </w:pPr>
          </w:p>
        </w:tc>
      </w:tr>
      <w:tr w:rsidR="00287484" w:rsidRPr="00035BA6" w14:paraId="4D8508E2" w14:textId="77777777" w:rsidTr="00235B4F">
        <w:tc>
          <w:tcPr>
            <w:tcW w:w="560" w:type="dxa"/>
          </w:tcPr>
          <w:p w14:paraId="19044265" w14:textId="77777777" w:rsidR="00287484" w:rsidRPr="00035BA6" w:rsidRDefault="00287484" w:rsidP="00235B4F">
            <w:pPr>
              <w:rPr>
                <w:sz w:val="20"/>
                <w:szCs w:val="20"/>
              </w:rPr>
            </w:pPr>
            <w:r w:rsidRPr="00035BA6">
              <w:rPr>
                <w:sz w:val="20"/>
                <w:szCs w:val="20"/>
              </w:rPr>
              <w:t>4</w:t>
            </w:r>
          </w:p>
        </w:tc>
        <w:tc>
          <w:tcPr>
            <w:tcW w:w="4193" w:type="dxa"/>
          </w:tcPr>
          <w:p w14:paraId="5373CBE5" w14:textId="77777777" w:rsidR="00287484" w:rsidRPr="00035BA6" w:rsidRDefault="00287484" w:rsidP="00235B4F">
            <w:pPr>
              <w:rPr>
                <w:sz w:val="20"/>
                <w:szCs w:val="20"/>
              </w:rPr>
            </w:pPr>
            <w:r w:rsidRPr="00035BA6">
              <w:rPr>
                <w:sz w:val="20"/>
                <w:szCs w:val="20"/>
              </w:rPr>
              <w:t>Access to confidential information should be on a strict need to know basis</w:t>
            </w:r>
          </w:p>
        </w:tc>
        <w:tc>
          <w:tcPr>
            <w:tcW w:w="1216" w:type="dxa"/>
          </w:tcPr>
          <w:p w14:paraId="1C61FAAB" w14:textId="77777777" w:rsidR="00287484" w:rsidRPr="00035BA6" w:rsidRDefault="00287484" w:rsidP="00235B4F">
            <w:pPr>
              <w:rPr>
                <w:sz w:val="20"/>
                <w:szCs w:val="20"/>
              </w:rPr>
            </w:pPr>
          </w:p>
        </w:tc>
        <w:tc>
          <w:tcPr>
            <w:tcW w:w="3580" w:type="dxa"/>
          </w:tcPr>
          <w:p w14:paraId="75DA29DD" w14:textId="77777777" w:rsidR="00287484" w:rsidRPr="00035BA6" w:rsidRDefault="00287484" w:rsidP="00235B4F">
            <w:pPr>
              <w:rPr>
                <w:sz w:val="20"/>
                <w:szCs w:val="20"/>
              </w:rPr>
            </w:pPr>
          </w:p>
        </w:tc>
      </w:tr>
      <w:tr w:rsidR="00287484" w:rsidRPr="00035BA6" w14:paraId="4F6C843B" w14:textId="77777777" w:rsidTr="00235B4F">
        <w:tc>
          <w:tcPr>
            <w:tcW w:w="560" w:type="dxa"/>
          </w:tcPr>
          <w:p w14:paraId="03B29AD9" w14:textId="77777777" w:rsidR="00287484" w:rsidRPr="00035BA6" w:rsidRDefault="00287484" w:rsidP="00235B4F">
            <w:pPr>
              <w:rPr>
                <w:sz w:val="20"/>
                <w:szCs w:val="20"/>
              </w:rPr>
            </w:pPr>
            <w:r w:rsidRPr="00035BA6">
              <w:rPr>
                <w:sz w:val="20"/>
                <w:szCs w:val="20"/>
              </w:rPr>
              <w:t>5</w:t>
            </w:r>
          </w:p>
        </w:tc>
        <w:tc>
          <w:tcPr>
            <w:tcW w:w="4193" w:type="dxa"/>
          </w:tcPr>
          <w:p w14:paraId="75EB3B04" w14:textId="77777777" w:rsidR="00287484" w:rsidRPr="00035BA6" w:rsidRDefault="00287484" w:rsidP="00235B4F">
            <w:pPr>
              <w:rPr>
                <w:sz w:val="20"/>
                <w:szCs w:val="20"/>
              </w:rPr>
            </w:pPr>
            <w:r w:rsidRPr="00035BA6">
              <w:rPr>
                <w:sz w:val="20"/>
                <w:szCs w:val="20"/>
              </w:rPr>
              <w:t>Everyone with access to confidential information should be made aware of their responsibilities</w:t>
            </w:r>
          </w:p>
        </w:tc>
        <w:tc>
          <w:tcPr>
            <w:tcW w:w="1216" w:type="dxa"/>
          </w:tcPr>
          <w:p w14:paraId="5C43ED88" w14:textId="77777777" w:rsidR="00287484" w:rsidRPr="00035BA6" w:rsidRDefault="00287484" w:rsidP="00235B4F">
            <w:pPr>
              <w:rPr>
                <w:sz w:val="20"/>
                <w:szCs w:val="20"/>
              </w:rPr>
            </w:pPr>
          </w:p>
        </w:tc>
        <w:tc>
          <w:tcPr>
            <w:tcW w:w="3580" w:type="dxa"/>
          </w:tcPr>
          <w:p w14:paraId="34FC5598" w14:textId="77777777" w:rsidR="00287484" w:rsidRPr="00035BA6" w:rsidRDefault="00287484" w:rsidP="00235B4F">
            <w:pPr>
              <w:rPr>
                <w:sz w:val="20"/>
                <w:szCs w:val="20"/>
              </w:rPr>
            </w:pPr>
          </w:p>
        </w:tc>
      </w:tr>
      <w:tr w:rsidR="00287484" w:rsidRPr="00035BA6" w14:paraId="7D1AF52D" w14:textId="77777777" w:rsidTr="00235B4F">
        <w:tc>
          <w:tcPr>
            <w:tcW w:w="560" w:type="dxa"/>
          </w:tcPr>
          <w:p w14:paraId="1119A760" w14:textId="77777777" w:rsidR="00287484" w:rsidRPr="00035BA6" w:rsidRDefault="00287484" w:rsidP="00235B4F">
            <w:pPr>
              <w:rPr>
                <w:sz w:val="20"/>
                <w:szCs w:val="20"/>
              </w:rPr>
            </w:pPr>
            <w:r w:rsidRPr="00035BA6">
              <w:rPr>
                <w:sz w:val="20"/>
                <w:szCs w:val="20"/>
              </w:rPr>
              <w:t>6</w:t>
            </w:r>
          </w:p>
        </w:tc>
        <w:tc>
          <w:tcPr>
            <w:tcW w:w="4193" w:type="dxa"/>
          </w:tcPr>
          <w:p w14:paraId="2036BC7C" w14:textId="77777777" w:rsidR="00287484" w:rsidRPr="00035BA6" w:rsidRDefault="00287484" w:rsidP="00235B4F">
            <w:pPr>
              <w:rPr>
                <w:sz w:val="20"/>
                <w:szCs w:val="20"/>
              </w:rPr>
            </w:pPr>
            <w:r w:rsidRPr="00035BA6">
              <w:rPr>
                <w:sz w:val="20"/>
                <w:szCs w:val="20"/>
              </w:rPr>
              <w:t>Comply with the law</w:t>
            </w:r>
          </w:p>
        </w:tc>
        <w:tc>
          <w:tcPr>
            <w:tcW w:w="1216" w:type="dxa"/>
          </w:tcPr>
          <w:p w14:paraId="6EE993C5" w14:textId="77777777" w:rsidR="00287484" w:rsidRPr="00035BA6" w:rsidRDefault="00287484" w:rsidP="00235B4F">
            <w:pPr>
              <w:rPr>
                <w:sz w:val="20"/>
                <w:szCs w:val="20"/>
              </w:rPr>
            </w:pPr>
          </w:p>
        </w:tc>
        <w:tc>
          <w:tcPr>
            <w:tcW w:w="3580" w:type="dxa"/>
          </w:tcPr>
          <w:p w14:paraId="11D6EBA6" w14:textId="77777777" w:rsidR="00287484" w:rsidRPr="00035BA6" w:rsidRDefault="00287484" w:rsidP="00235B4F">
            <w:pPr>
              <w:rPr>
                <w:sz w:val="20"/>
                <w:szCs w:val="20"/>
              </w:rPr>
            </w:pPr>
          </w:p>
        </w:tc>
      </w:tr>
      <w:tr w:rsidR="00287484" w:rsidRPr="00035BA6" w14:paraId="58EA9592" w14:textId="77777777" w:rsidTr="00235B4F">
        <w:tc>
          <w:tcPr>
            <w:tcW w:w="560" w:type="dxa"/>
          </w:tcPr>
          <w:p w14:paraId="0E3CB031" w14:textId="77777777" w:rsidR="00287484" w:rsidRPr="00035BA6" w:rsidRDefault="00287484" w:rsidP="00235B4F">
            <w:pPr>
              <w:rPr>
                <w:sz w:val="20"/>
                <w:szCs w:val="20"/>
              </w:rPr>
            </w:pPr>
            <w:r w:rsidRPr="00035BA6">
              <w:rPr>
                <w:sz w:val="20"/>
                <w:szCs w:val="20"/>
              </w:rPr>
              <w:t>7</w:t>
            </w:r>
          </w:p>
        </w:tc>
        <w:tc>
          <w:tcPr>
            <w:tcW w:w="4193" w:type="dxa"/>
          </w:tcPr>
          <w:p w14:paraId="4940108E" w14:textId="77777777" w:rsidR="00287484" w:rsidRPr="00035BA6" w:rsidRDefault="00287484" w:rsidP="00235B4F">
            <w:pPr>
              <w:rPr>
                <w:sz w:val="20"/>
                <w:szCs w:val="20"/>
              </w:rPr>
            </w:pPr>
            <w:r w:rsidRPr="00035BA6">
              <w:rPr>
                <w:sz w:val="20"/>
                <w:szCs w:val="20"/>
              </w:rPr>
              <w:t>The duty to share information for individual care is as important as the duty to protect confidentiality of people who use MHA services</w:t>
            </w:r>
          </w:p>
        </w:tc>
        <w:tc>
          <w:tcPr>
            <w:tcW w:w="1216" w:type="dxa"/>
          </w:tcPr>
          <w:p w14:paraId="39C7FFBD" w14:textId="77777777" w:rsidR="00287484" w:rsidRPr="00035BA6" w:rsidRDefault="00287484" w:rsidP="00235B4F">
            <w:pPr>
              <w:rPr>
                <w:sz w:val="20"/>
                <w:szCs w:val="20"/>
              </w:rPr>
            </w:pPr>
          </w:p>
        </w:tc>
        <w:tc>
          <w:tcPr>
            <w:tcW w:w="3580" w:type="dxa"/>
          </w:tcPr>
          <w:p w14:paraId="48AABB91" w14:textId="77777777" w:rsidR="00287484" w:rsidRPr="00035BA6" w:rsidRDefault="00287484" w:rsidP="00235B4F">
            <w:pPr>
              <w:rPr>
                <w:sz w:val="20"/>
                <w:szCs w:val="20"/>
              </w:rPr>
            </w:pPr>
          </w:p>
        </w:tc>
      </w:tr>
      <w:tr w:rsidR="00287484" w:rsidRPr="00035BA6" w14:paraId="7709A2A8" w14:textId="77777777" w:rsidTr="00235B4F">
        <w:tc>
          <w:tcPr>
            <w:tcW w:w="560" w:type="dxa"/>
          </w:tcPr>
          <w:p w14:paraId="3A78F175" w14:textId="77777777" w:rsidR="00287484" w:rsidRPr="00035BA6" w:rsidRDefault="00287484" w:rsidP="00235B4F">
            <w:pPr>
              <w:rPr>
                <w:sz w:val="20"/>
                <w:szCs w:val="20"/>
              </w:rPr>
            </w:pPr>
            <w:r w:rsidRPr="00035BA6">
              <w:rPr>
                <w:sz w:val="20"/>
                <w:szCs w:val="20"/>
              </w:rPr>
              <w:t>8</w:t>
            </w:r>
          </w:p>
        </w:tc>
        <w:tc>
          <w:tcPr>
            <w:tcW w:w="4193" w:type="dxa"/>
          </w:tcPr>
          <w:p w14:paraId="4CD3F32A" w14:textId="77777777" w:rsidR="00287484" w:rsidRPr="00035BA6" w:rsidRDefault="00287484" w:rsidP="00235B4F">
            <w:pPr>
              <w:rPr>
                <w:sz w:val="20"/>
                <w:szCs w:val="20"/>
              </w:rPr>
            </w:pPr>
            <w:r w:rsidRPr="00035BA6">
              <w:rPr>
                <w:sz w:val="20"/>
                <w:szCs w:val="20"/>
              </w:rPr>
              <w:t>Inform people who use MHA services about how their confidential information is used</w:t>
            </w:r>
          </w:p>
        </w:tc>
        <w:tc>
          <w:tcPr>
            <w:tcW w:w="1216" w:type="dxa"/>
          </w:tcPr>
          <w:p w14:paraId="7A246E0B" w14:textId="77777777" w:rsidR="00287484" w:rsidRPr="00035BA6" w:rsidRDefault="00287484" w:rsidP="00235B4F">
            <w:pPr>
              <w:rPr>
                <w:sz w:val="20"/>
                <w:szCs w:val="20"/>
              </w:rPr>
            </w:pPr>
          </w:p>
        </w:tc>
        <w:tc>
          <w:tcPr>
            <w:tcW w:w="3580" w:type="dxa"/>
          </w:tcPr>
          <w:p w14:paraId="629E8964" w14:textId="77777777" w:rsidR="00287484" w:rsidRPr="00035BA6" w:rsidRDefault="00287484" w:rsidP="00235B4F">
            <w:pPr>
              <w:rPr>
                <w:sz w:val="20"/>
                <w:szCs w:val="20"/>
              </w:rPr>
            </w:pPr>
          </w:p>
        </w:tc>
      </w:tr>
    </w:tbl>
    <w:p w14:paraId="47B2055C" w14:textId="77777777" w:rsidR="00287484" w:rsidRDefault="00287484" w:rsidP="00287484"/>
    <w:p w14:paraId="13847DDB" w14:textId="77777777" w:rsidR="00287484" w:rsidRDefault="00287484" w:rsidP="00287484"/>
    <w:p w14:paraId="012124C8" w14:textId="77777777" w:rsidR="00C40DDE" w:rsidRDefault="00C40DDE" w:rsidP="00287484"/>
    <w:p w14:paraId="66E67BA9" w14:textId="77777777" w:rsidR="00C40DDE" w:rsidRDefault="00C40DDE" w:rsidP="00287484"/>
    <w:p w14:paraId="71910F90" w14:textId="77777777" w:rsidR="00C40DDE" w:rsidRDefault="00C40DDE" w:rsidP="00287484"/>
    <w:p w14:paraId="7872989D" w14:textId="77777777" w:rsidR="00C40DDE" w:rsidRDefault="00C40DDE" w:rsidP="00287484"/>
    <w:p w14:paraId="0724B9AE" w14:textId="77777777" w:rsidR="00C40DDE" w:rsidRDefault="00C40DDE" w:rsidP="00287484"/>
    <w:p w14:paraId="517547F3" w14:textId="77777777" w:rsidR="00C40DDE" w:rsidRDefault="00C40DDE" w:rsidP="00287484"/>
    <w:p w14:paraId="12474399" w14:textId="77777777" w:rsidR="00C40DDE" w:rsidRDefault="00C40DDE" w:rsidP="00287484"/>
    <w:p w14:paraId="75059B60" w14:textId="77777777" w:rsidR="00C40DDE" w:rsidRPr="00595091" w:rsidRDefault="00C40DDE" w:rsidP="00287484"/>
    <w:p w14:paraId="5CDCEF75" w14:textId="77777777" w:rsidR="00287484" w:rsidRDefault="00287484" w:rsidP="00287484">
      <w:pPr>
        <w:pStyle w:val="Heading1Numbered"/>
      </w:pPr>
      <w:bookmarkStart w:id="67" w:name="_Toc162263864"/>
      <w:bookmarkStart w:id="68" w:name="_Toc162263907"/>
      <w:r w:rsidRPr="00DC7F16">
        <w:t>Version Control</w:t>
      </w:r>
      <w:bookmarkEnd w:id="67"/>
      <w:bookmarkEnd w:id="68"/>
    </w:p>
    <w:tbl>
      <w:tblPr>
        <w:tblStyle w:val="MHATable"/>
        <w:tblW w:w="9776" w:type="dxa"/>
        <w:tblLook w:val="04A0" w:firstRow="1" w:lastRow="0" w:firstColumn="1" w:lastColumn="0" w:noHBand="0" w:noVBand="1"/>
      </w:tblPr>
      <w:tblGrid>
        <w:gridCol w:w="1146"/>
        <w:gridCol w:w="1826"/>
        <w:gridCol w:w="3402"/>
        <w:gridCol w:w="1559"/>
        <w:gridCol w:w="1843"/>
      </w:tblGrid>
      <w:tr w:rsidR="00287484" w:rsidRPr="005E08A1" w14:paraId="3804DA23" w14:textId="77777777" w:rsidTr="00235B4F">
        <w:trPr>
          <w:cnfStyle w:val="100000000000" w:firstRow="1" w:lastRow="0" w:firstColumn="0" w:lastColumn="0" w:oddVBand="0" w:evenVBand="0" w:oddHBand="0" w:evenHBand="0" w:firstRowFirstColumn="0" w:firstRowLastColumn="0" w:lastRowFirstColumn="0" w:lastRowLastColumn="0"/>
          <w:trHeight w:val="830"/>
        </w:trPr>
        <w:tc>
          <w:tcPr>
            <w:tcW w:w="1146" w:type="dxa"/>
          </w:tcPr>
          <w:p w14:paraId="22DB3E7C" w14:textId="77777777" w:rsidR="00287484" w:rsidRPr="005E08A1" w:rsidRDefault="00287484" w:rsidP="00235B4F">
            <w:r w:rsidRPr="005E08A1">
              <w:t>Version</w:t>
            </w:r>
          </w:p>
        </w:tc>
        <w:tc>
          <w:tcPr>
            <w:tcW w:w="1826" w:type="dxa"/>
          </w:tcPr>
          <w:p w14:paraId="4FF8F2DD" w14:textId="77777777" w:rsidR="00287484" w:rsidRPr="005E08A1" w:rsidRDefault="00287484" w:rsidP="00235B4F">
            <w:r w:rsidRPr="005E08A1">
              <w:t>Version Date</w:t>
            </w:r>
          </w:p>
        </w:tc>
        <w:tc>
          <w:tcPr>
            <w:tcW w:w="3402" w:type="dxa"/>
          </w:tcPr>
          <w:p w14:paraId="1C89DDA2" w14:textId="77777777" w:rsidR="00287484" w:rsidRPr="005E08A1" w:rsidRDefault="00287484" w:rsidP="00235B4F">
            <w:r w:rsidRPr="005E08A1">
              <w:t xml:space="preserve">Revision Description / Summary of Changes </w:t>
            </w:r>
          </w:p>
        </w:tc>
        <w:tc>
          <w:tcPr>
            <w:tcW w:w="1559" w:type="dxa"/>
          </w:tcPr>
          <w:p w14:paraId="70083F0E" w14:textId="77777777" w:rsidR="00287484" w:rsidRPr="005E08A1" w:rsidRDefault="00287484" w:rsidP="00235B4F">
            <w:r w:rsidRPr="005E08A1">
              <w:t>Author</w:t>
            </w:r>
          </w:p>
        </w:tc>
        <w:tc>
          <w:tcPr>
            <w:tcW w:w="1843" w:type="dxa"/>
          </w:tcPr>
          <w:p w14:paraId="0767E690" w14:textId="77777777" w:rsidR="00287484" w:rsidRPr="005E08A1" w:rsidRDefault="00287484" w:rsidP="00235B4F">
            <w:r w:rsidRPr="005E08A1">
              <w:t>Next Review Date</w:t>
            </w:r>
          </w:p>
        </w:tc>
      </w:tr>
      <w:tr w:rsidR="00287484" w:rsidRPr="004C3545" w14:paraId="7EA591ED" w14:textId="77777777" w:rsidTr="00235B4F">
        <w:trPr>
          <w:trHeight w:val="407"/>
        </w:trPr>
        <w:tc>
          <w:tcPr>
            <w:tcW w:w="1146" w:type="dxa"/>
          </w:tcPr>
          <w:p w14:paraId="2D31308E" w14:textId="77777777" w:rsidR="00287484" w:rsidRDefault="00287484" w:rsidP="00235B4F">
            <w:r>
              <w:t>Version 1</w:t>
            </w:r>
          </w:p>
        </w:tc>
        <w:tc>
          <w:tcPr>
            <w:tcW w:w="1826" w:type="dxa"/>
          </w:tcPr>
          <w:p w14:paraId="53208822" w14:textId="04627DE0" w:rsidR="00287484" w:rsidRPr="004C3545" w:rsidRDefault="00C40DDE" w:rsidP="00235B4F">
            <w:r>
              <w:t>March 2024</w:t>
            </w:r>
          </w:p>
        </w:tc>
        <w:tc>
          <w:tcPr>
            <w:tcW w:w="3402" w:type="dxa"/>
          </w:tcPr>
          <w:p w14:paraId="1D2CF0C5" w14:textId="77777777" w:rsidR="00287484" w:rsidRDefault="00287484" w:rsidP="00235B4F">
            <w:r>
              <w:t>Newly introduced principles to support the introduction of the Caldicott Guardian role</w:t>
            </w:r>
          </w:p>
          <w:p w14:paraId="305D03C9" w14:textId="77777777" w:rsidR="00C40DDE" w:rsidRDefault="00C40DDE" w:rsidP="00235B4F"/>
          <w:p w14:paraId="2213644F" w14:textId="229BD3F6" w:rsidR="00C40DDE" w:rsidRPr="004C3545" w:rsidRDefault="00C40DDE" w:rsidP="00235B4F">
            <w:r>
              <w:t xml:space="preserve">Reference to MHA’s Information Governance Policy Documents </w:t>
            </w:r>
          </w:p>
        </w:tc>
        <w:tc>
          <w:tcPr>
            <w:tcW w:w="1559" w:type="dxa"/>
          </w:tcPr>
          <w:p w14:paraId="685144AF" w14:textId="77777777" w:rsidR="00287484" w:rsidRDefault="00287484" w:rsidP="00C40DDE">
            <w:pPr>
              <w:spacing w:line="276" w:lineRule="auto"/>
            </w:pPr>
            <w:r>
              <w:t>Senior Nurse Advisor</w:t>
            </w:r>
          </w:p>
          <w:p w14:paraId="59FF75DB" w14:textId="73042A67" w:rsidR="00C9668E" w:rsidRDefault="00C9668E" w:rsidP="00C40DDE">
            <w:pPr>
              <w:spacing w:line="276" w:lineRule="auto"/>
            </w:pPr>
            <w:r>
              <w:t>(Caldicott Guardian)</w:t>
            </w:r>
          </w:p>
          <w:p w14:paraId="5D17AB91" w14:textId="77777777" w:rsidR="00C9668E" w:rsidRDefault="00C9668E" w:rsidP="00C40DDE">
            <w:pPr>
              <w:spacing w:line="276" w:lineRule="auto"/>
            </w:pPr>
          </w:p>
          <w:p w14:paraId="5CFBEA03" w14:textId="614F0371" w:rsidR="00C9668E" w:rsidRPr="004C3545" w:rsidRDefault="00C9668E" w:rsidP="00C40DDE">
            <w:pPr>
              <w:spacing w:line="276" w:lineRule="auto"/>
            </w:pPr>
            <w:r>
              <w:t xml:space="preserve">Head of Standards &amp; Policy </w:t>
            </w:r>
          </w:p>
        </w:tc>
        <w:tc>
          <w:tcPr>
            <w:tcW w:w="1843" w:type="dxa"/>
          </w:tcPr>
          <w:p w14:paraId="474D6196" w14:textId="77777777" w:rsidR="00287484" w:rsidRPr="004C3545" w:rsidRDefault="00287484" w:rsidP="00235B4F">
            <w:r>
              <w:t>March 2026</w:t>
            </w:r>
          </w:p>
        </w:tc>
      </w:tr>
    </w:tbl>
    <w:p w14:paraId="30DC3A84" w14:textId="77777777" w:rsidR="00287484" w:rsidRPr="004C3545" w:rsidRDefault="00287484" w:rsidP="00287484">
      <w:pPr>
        <w:pStyle w:val="Text"/>
      </w:pPr>
    </w:p>
    <w:p w14:paraId="28643E28" w14:textId="77777777" w:rsidR="00287484" w:rsidRDefault="00287484" w:rsidP="00287484">
      <w:pPr>
        <w:pStyle w:val="Heading1Numbered"/>
        <w:numPr>
          <w:ilvl w:val="0"/>
          <w:numId w:val="0"/>
        </w:numPr>
        <w:ind w:left="1134"/>
      </w:pPr>
    </w:p>
    <w:sectPr w:rsidR="00287484" w:rsidSect="00AE536A">
      <w:headerReference w:type="even" r:id="rId18"/>
      <w:headerReference w:type="default" r:id="rId19"/>
      <w:footerReference w:type="even" r:id="rId20"/>
      <w:footerReference w:type="default" r:id="rId21"/>
      <w:headerReference w:type="first" r:id="rId22"/>
      <w:footerReference w:type="first" r:id="rId23"/>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06228" w14:textId="77777777" w:rsidR="00AE536A" w:rsidRDefault="00AE536A" w:rsidP="001876E7">
      <w:pPr>
        <w:spacing w:line="240" w:lineRule="auto"/>
      </w:pPr>
      <w:r>
        <w:separator/>
      </w:r>
    </w:p>
  </w:endnote>
  <w:endnote w:type="continuationSeparator" w:id="0">
    <w:p w14:paraId="04F1921C" w14:textId="77777777" w:rsidR="00AE536A" w:rsidRDefault="00AE536A"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8A88B" w14:textId="77777777" w:rsidR="00D26BFB" w:rsidRDefault="00D26B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07598"/>
      <w:docPartObj>
        <w:docPartGallery w:val="Page Numbers (Bottom of Page)"/>
        <w:docPartUnique/>
      </w:docPartObj>
    </w:sdtPr>
    <w:sdtContent>
      <w:sdt>
        <w:sdtPr>
          <w:id w:val="-1769616900"/>
          <w:docPartObj>
            <w:docPartGallery w:val="Page Numbers (Top of Page)"/>
            <w:docPartUnique/>
          </w:docPartObj>
        </w:sdtPr>
        <w:sdtContent>
          <w:p w14:paraId="378250FA" w14:textId="77777777" w:rsidR="00764B4C" w:rsidRPr="00764B4C" w:rsidRDefault="00764B4C" w:rsidP="00966903">
            <w:pPr>
              <w:pStyle w:val="FooterText"/>
              <w:jc w:val="center"/>
              <w:rPr>
                <w:rFonts w:cs="Arial"/>
                <w:spacing w:val="7"/>
              </w:rPr>
            </w:pPr>
          </w:p>
          <w:p w14:paraId="1D69636F" w14:textId="7C13A900" w:rsidR="003865D9" w:rsidRDefault="00E92778" w:rsidP="00454821">
            <w:pPr>
              <w:pStyle w:val="FooterText"/>
              <w:tabs>
                <w:tab w:val="right" w:pos="9498"/>
              </w:tabs>
              <w:jc w:val="left"/>
            </w:pPr>
            <w:r>
              <w:t xml:space="preserve">Caldicott Guardian Principles </w:t>
            </w:r>
            <w:r>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13650" w14:textId="77777777" w:rsidR="00D26BFB" w:rsidRDefault="00D26B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C3F2F" w14:textId="77777777" w:rsidR="00AE536A" w:rsidRDefault="00AE536A" w:rsidP="001876E7">
      <w:pPr>
        <w:spacing w:line="240" w:lineRule="auto"/>
      </w:pPr>
      <w:r>
        <w:separator/>
      </w:r>
    </w:p>
  </w:footnote>
  <w:footnote w:type="continuationSeparator" w:id="0">
    <w:p w14:paraId="7BF3CE53" w14:textId="77777777" w:rsidR="00AE536A" w:rsidRDefault="00AE536A"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5B621" w14:textId="681511EC" w:rsidR="00D26BFB" w:rsidRDefault="00D26B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3DFBC" w14:textId="0B5D7EA7" w:rsidR="00E92778" w:rsidRDefault="00E92778">
    <w:pPr>
      <w:pStyle w:val="Header"/>
    </w:pPr>
    <w:r>
      <w:rPr>
        <w:rFonts w:eastAsia="Arial"/>
        <w:noProof/>
        <w:sz w:val="18"/>
        <w:szCs w:val="18"/>
        <w:lang w:eastAsia="en-GB"/>
      </w:rPr>
      <w:drawing>
        <wp:anchor distT="0" distB="0" distL="114300" distR="114300" simplePos="0" relativeHeight="251659264" behindDoc="0" locked="1" layoutInCell="1" allowOverlap="1" wp14:anchorId="7777EB8F" wp14:editId="4E94BB51">
          <wp:simplePos x="0" y="0"/>
          <wp:positionH relativeFrom="column">
            <wp:posOffset>0</wp:posOffset>
          </wp:positionH>
          <wp:positionV relativeFrom="page">
            <wp:posOffset>175260</wp:posOffset>
          </wp:positionV>
          <wp:extent cx="1076400" cy="759600"/>
          <wp:effectExtent l="0" t="0" r="0" b="2540"/>
          <wp:wrapSquare wrapText="bothSides"/>
          <wp:docPr id="1803873558" name="Picture 180387355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76400"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1CAD4" w14:textId="309BE7B7" w:rsidR="00D26BFB" w:rsidRDefault="00D26B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1A612D5E"/>
    <w:multiLevelType w:val="multilevel"/>
    <w:tmpl w:val="490C9E8E"/>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9"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2"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4"/>
  </w:num>
  <w:num w:numId="2" w16cid:durableId="314769889">
    <w:abstractNumId w:val="6"/>
  </w:num>
  <w:num w:numId="3" w16cid:durableId="223486558">
    <w:abstractNumId w:val="2"/>
  </w:num>
  <w:num w:numId="4" w16cid:durableId="893782273">
    <w:abstractNumId w:val="3"/>
  </w:num>
  <w:num w:numId="5" w16cid:durableId="1146821655">
    <w:abstractNumId w:val="1"/>
  </w:num>
  <w:num w:numId="6" w16cid:durableId="569312116">
    <w:abstractNumId w:val="13"/>
  </w:num>
  <w:num w:numId="7" w16cid:durableId="139810974">
    <w:abstractNumId w:val="4"/>
  </w:num>
  <w:num w:numId="8" w16cid:durableId="478111977">
    <w:abstractNumId w:val="11"/>
  </w:num>
  <w:num w:numId="9" w16cid:durableId="672680783">
    <w:abstractNumId w:val="10"/>
  </w:num>
  <w:num w:numId="10" w16cid:durableId="582229400">
    <w:abstractNumId w:val="15"/>
  </w:num>
  <w:num w:numId="11" w16cid:durableId="1068845125">
    <w:abstractNumId w:val="12"/>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9"/>
  </w:num>
  <w:num w:numId="20" w16cid:durableId="1927031610">
    <w:abstractNumId w:val="5"/>
  </w:num>
  <w:num w:numId="21" w16cid:durableId="149368801">
    <w:abstractNumId w:val="7"/>
  </w:num>
  <w:num w:numId="22" w16cid:durableId="537015620">
    <w:abstractNumId w:val="16"/>
  </w:num>
  <w:num w:numId="23" w16cid:durableId="673651929">
    <w:abstractNumId w:val="14"/>
  </w:num>
  <w:num w:numId="24" w16cid:durableId="1700010823">
    <w:abstractNumId w:val="0"/>
  </w:num>
  <w:num w:numId="25" w16cid:durableId="929629248">
    <w:abstractNumId w:val="14"/>
    <w:lvlOverride w:ilvl="0">
      <w:startOverride w:val="1"/>
    </w:lvlOverride>
  </w:num>
  <w:num w:numId="26" w16cid:durableId="593829245">
    <w:abstractNumId w:val="14"/>
    <w:lvlOverride w:ilvl="0">
      <w:startOverride w:val="1"/>
    </w:lvlOverride>
  </w:num>
  <w:num w:numId="27" w16cid:durableId="1815176486">
    <w:abstractNumId w:val="8"/>
  </w:num>
  <w:num w:numId="28" w16cid:durableId="1266885018">
    <w:abstractNumId w:val="8"/>
    <w:lvlOverride w:ilvl="0">
      <w:startOverride w:val="1"/>
    </w:lvlOverride>
  </w:num>
  <w:num w:numId="29" w16cid:durableId="304703359">
    <w:abstractNumId w:val="8"/>
    <w:lvlOverride w:ilvl="0">
      <w:startOverride w:val="1"/>
    </w:lvlOverride>
  </w:num>
  <w:num w:numId="30" w16cid:durableId="1528910899">
    <w:abstractNumId w:val="5"/>
    <w:lvlOverride w:ilvl="0">
      <w:startOverride w:val="1"/>
    </w:lvlOverride>
  </w:num>
  <w:num w:numId="31" w16cid:durableId="1937709432">
    <w:abstractNumId w:val="8"/>
  </w:num>
  <w:num w:numId="32" w16cid:durableId="894201551">
    <w:abstractNumId w:val="8"/>
    <w:lvlOverride w:ilvl="0">
      <w:startOverride w:val="1"/>
    </w:lvlOverride>
  </w:num>
  <w:num w:numId="33" w16cid:durableId="747389173">
    <w:abstractNumId w:val="8"/>
    <w:lvlOverride w:ilvl="0">
      <w:startOverride w:val="1"/>
    </w:lvlOverride>
  </w:num>
  <w:num w:numId="34" w16cid:durableId="336462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D4"/>
    <w:rsid w:val="000038CD"/>
    <w:rsid w:val="00010148"/>
    <w:rsid w:val="00011E5A"/>
    <w:rsid w:val="0002533A"/>
    <w:rsid w:val="000553E0"/>
    <w:rsid w:val="000646E5"/>
    <w:rsid w:val="00070650"/>
    <w:rsid w:val="000771AD"/>
    <w:rsid w:val="000C7997"/>
    <w:rsid w:val="000D41D5"/>
    <w:rsid w:val="000F25D4"/>
    <w:rsid w:val="000F64C5"/>
    <w:rsid w:val="001248CF"/>
    <w:rsid w:val="001310BB"/>
    <w:rsid w:val="0013340B"/>
    <w:rsid w:val="00147C3B"/>
    <w:rsid w:val="001876E7"/>
    <w:rsid w:val="00194A22"/>
    <w:rsid w:val="001B5C40"/>
    <w:rsid w:val="001E4229"/>
    <w:rsid w:val="00247801"/>
    <w:rsid w:val="00247E69"/>
    <w:rsid w:val="002543A7"/>
    <w:rsid w:val="00261059"/>
    <w:rsid w:val="00263D11"/>
    <w:rsid w:val="00265378"/>
    <w:rsid w:val="00273C90"/>
    <w:rsid w:val="00276188"/>
    <w:rsid w:val="00276732"/>
    <w:rsid w:val="00287484"/>
    <w:rsid w:val="0029465D"/>
    <w:rsid w:val="002A538B"/>
    <w:rsid w:val="002B5CDA"/>
    <w:rsid w:val="002B6F0E"/>
    <w:rsid w:val="002C0EC0"/>
    <w:rsid w:val="002D47FD"/>
    <w:rsid w:val="00302641"/>
    <w:rsid w:val="00322ED2"/>
    <w:rsid w:val="003256F1"/>
    <w:rsid w:val="003266FD"/>
    <w:rsid w:val="00345825"/>
    <w:rsid w:val="003510EE"/>
    <w:rsid w:val="00365642"/>
    <w:rsid w:val="003865D9"/>
    <w:rsid w:val="00386B5D"/>
    <w:rsid w:val="0038720A"/>
    <w:rsid w:val="003B2431"/>
    <w:rsid w:val="003C04D5"/>
    <w:rsid w:val="003C59CC"/>
    <w:rsid w:val="003F52EA"/>
    <w:rsid w:val="0042795E"/>
    <w:rsid w:val="0043268D"/>
    <w:rsid w:val="004428C9"/>
    <w:rsid w:val="00451A46"/>
    <w:rsid w:val="00454821"/>
    <w:rsid w:val="0045562B"/>
    <w:rsid w:val="00471203"/>
    <w:rsid w:val="004726A7"/>
    <w:rsid w:val="00480B30"/>
    <w:rsid w:val="004924CF"/>
    <w:rsid w:val="00496E11"/>
    <w:rsid w:val="004A48AB"/>
    <w:rsid w:val="004A5F05"/>
    <w:rsid w:val="004B36CD"/>
    <w:rsid w:val="004C3545"/>
    <w:rsid w:val="00507AF2"/>
    <w:rsid w:val="00512916"/>
    <w:rsid w:val="0051530E"/>
    <w:rsid w:val="0052519E"/>
    <w:rsid w:val="005518A9"/>
    <w:rsid w:val="005711B3"/>
    <w:rsid w:val="00572560"/>
    <w:rsid w:val="0059266A"/>
    <w:rsid w:val="00596E48"/>
    <w:rsid w:val="005A508B"/>
    <w:rsid w:val="005D0374"/>
    <w:rsid w:val="005D62C0"/>
    <w:rsid w:val="005E08A1"/>
    <w:rsid w:val="005E3A1B"/>
    <w:rsid w:val="00610B2B"/>
    <w:rsid w:val="0063081A"/>
    <w:rsid w:val="0063326C"/>
    <w:rsid w:val="006423BB"/>
    <w:rsid w:val="0066591C"/>
    <w:rsid w:val="00667C4A"/>
    <w:rsid w:val="006B0609"/>
    <w:rsid w:val="006B4F33"/>
    <w:rsid w:val="00711D55"/>
    <w:rsid w:val="00717A8D"/>
    <w:rsid w:val="00723627"/>
    <w:rsid w:val="007256EF"/>
    <w:rsid w:val="00730CA5"/>
    <w:rsid w:val="0074330A"/>
    <w:rsid w:val="00744A83"/>
    <w:rsid w:val="007539BA"/>
    <w:rsid w:val="00764B4C"/>
    <w:rsid w:val="00776701"/>
    <w:rsid w:val="0078642D"/>
    <w:rsid w:val="0079374B"/>
    <w:rsid w:val="007B2919"/>
    <w:rsid w:val="007C2DAF"/>
    <w:rsid w:val="007E1123"/>
    <w:rsid w:val="0081228C"/>
    <w:rsid w:val="00831235"/>
    <w:rsid w:val="00832C4B"/>
    <w:rsid w:val="0084471B"/>
    <w:rsid w:val="00847753"/>
    <w:rsid w:val="00861EB0"/>
    <w:rsid w:val="0087097E"/>
    <w:rsid w:val="008874B0"/>
    <w:rsid w:val="00893D07"/>
    <w:rsid w:val="008A7363"/>
    <w:rsid w:val="008B0A37"/>
    <w:rsid w:val="008B1D97"/>
    <w:rsid w:val="008D1B9A"/>
    <w:rsid w:val="008D3C32"/>
    <w:rsid w:val="008D6213"/>
    <w:rsid w:val="008D791B"/>
    <w:rsid w:val="008F09EB"/>
    <w:rsid w:val="008F41A1"/>
    <w:rsid w:val="00903AA2"/>
    <w:rsid w:val="009050C4"/>
    <w:rsid w:val="00914FC1"/>
    <w:rsid w:val="00921168"/>
    <w:rsid w:val="00922DB3"/>
    <w:rsid w:val="00947D46"/>
    <w:rsid w:val="009622E0"/>
    <w:rsid w:val="009655E2"/>
    <w:rsid w:val="00966903"/>
    <w:rsid w:val="00973E48"/>
    <w:rsid w:val="009A0ED4"/>
    <w:rsid w:val="009E3487"/>
    <w:rsid w:val="00A17E0E"/>
    <w:rsid w:val="00A24DA1"/>
    <w:rsid w:val="00A34D37"/>
    <w:rsid w:val="00A36714"/>
    <w:rsid w:val="00A43329"/>
    <w:rsid w:val="00A52F66"/>
    <w:rsid w:val="00A61E40"/>
    <w:rsid w:val="00A92CD7"/>
    <w:rsid w:val="00AA0D99"/>
    <w:rsid w:val="00AB4A71"/>
    <w:rsid w:val="00AD5FD5"/>
    <w:rsid w:val="00AE536A"/>
    <w:rsid w:val="00AE5E04"/>
    <w:rsid w:val="00AF1001"/>
    <w:rsid w:val="00B148E6"/>
    <w:rsid w:val="00B148FF"/>
    <w:rsid w:val="00B22399"/>
    <w:rsid w:val="00B2494E"/>
    <w:rsid w:val="00B275B1"/>
    <w:rsid w:val="00B46F84"/>
    <w:rsid w:val="00B56F75"/>
    <w:rsid w:val="00B8132B"/>
    <w:rsid w:val="00BA22C2"/>
    <w:rsid w:val="00C108E0"/>
    <w:rsid w:val="00C114D1"/>
    <w:rsid w:val="00C143CB"/>
    <w:rsid w:val="00C20301"/>
    <w:rsid w:val="00C26C7B"/>
    <w:rsid w:val="00C40DDE"/>
    <w:rsid w:val="00C41ACB"/>
    <w:rsid w:val="00C44824"/>
    <w:rsid w:val="00C81C94"/>
    <w:rsid w:val="00C93C14"/>
    <w:rsid w:val="00C9668E"/>
    <w:rsid w:val="00CB43C5"/>
    <w:rsid w:val="00CB6415"/>
    <w:rsid w:val="00CD5DBF"/>
    <w:rsid w:val="00CF6C46"/>
    <w:rsid w:val="00CF7537"/>
    <w:rsid w:val="00D10E87"/>
    <w:rsid w:val="00D232C1"/>
    <w:rsid w:val="00D26BFB"/>
    <w:rsid w:val="00D4040D"/>
    <w:rsid w:val="00D558F5"/>
    <w:rsid w:val="00D77D91"/>
    <w:rsid w:val="00DB2058"/>
    <w:rsid w:val="00DB24AA"/>
    <w:rsid w:val="00DC24E1"/>
    <w:rsid w:val="00DC7F16"/>
    <w:rsid w:val="00DF67AA"/>
    <w:rsid w:val="00E04B72"/>
    <w:rsid w:val="00E06E01"/>
    <w:rsid w:val="00E3506D"/>
    <w:rsid w:val="00E365D6"/>
    <w:rsid w:val="00E40653"/>
    <w:rsid w:val="00E561CE"/>
    <w:rsid w:val="00E755AD"/>
    <w:rsid w:val="00E75D27"/>
    <w:rsid w:val="00E86F23"/>
    <w:rsid w:val="00E87F15"/>
    <w:rsid w:val="00E92778"/>
    <w:rsid w:val="00E94C2F"/>
    <w:rsid w:val="00EB4016"/>
    <w:rsid w:val="00EC4F61"/>
    <w:rsid w:val="00ED047B"/>
    <w:rsid w:val="00ED7DB5"/>
    <w:rsid w:val="00EE7121"/>
    <w:rsid w:val="00EF3699"/>
    <w:rsid w:val="00EF60A6"/>
    <w:rsid w:val="00F040DA"/>
    <w:rsid w:val="00F22D39"/>
    <w:rsid w:val="00F30A5F"/>
    <w:rsid w:val="00F9138C"/>
    <w:rsid w:val="00F91DD0"/>
    <w:rsid w:val="00FA1162"/>
    <w:rsid w:val="00FB5C56"/>
    <w:rsid w:val="00FD6BD4"/>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C72FC"/>
  <w15:chartTrackingRefBased/>
  <w15:docId w15:val="{018691E6-52FA-46F4-966C-4F48667C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038CD"/>
    <w:pPr>
      <w:spacing w:line="360" w:lineRule="auto"/>
    </w:pPr>
    <w:rPr>
      <w:rFonts w:ascii="Arial" w:hAnsi="Arial"/>
    </w:rPr>
  </w:style>
  <w:style w:type="paragraph" w:styleId="Heading1">
    <w:name w:val="heading 1"/>
    <w:basedOn w:val="Heading2"/>
    <w:next w:val="Heading2"/>
    <w:link w:val="Heading1Char"/>
    <w:autoRedefine/>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v.uk/government/groups/uk-caldicott-guardian-council" TargetMode="External"/><Relationship Id="rId18" Type="http://schemas.openxmlformats.org/officeDocument/2006/relationships/header" Target="header1.xm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intranet.mha.org.uk/Interact/Pages/Section/ContentListing.aspx?subsection=6391" TargetMode="External"/><Relationship Id="rId17" Type="http://schemas.openxmlformats.org/officeDocument/2006/relationships/hyperlink" Target="https://www.legislation.gov.uk/ukpga/2000/36/content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ov.uk/guidance/equality-act-2010-guidanc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anet.mha.org.uk/page/878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legislation.gov.uk/ukpga/1998/42/contents" TargetMode="External"/><Relationship Id="rId23" Type="http://schemas.openxmlformats.org/officeDocument/2006/relationships/footer" Target="footer3.xml"/><Relationship Id="rId28" Type="http://schemas.openxmlformats.org/officeDocument/2006/relationships/customXml" Target="../customXml/item4.xml"/><Relationship Id="rId10" Type="http://schemas.openxmlformats.org/officeDocument/2006/relationships/hyperlink" Target="https://ico.org.uk/for-organisations/guide-to-data-protection/guide-to-the-general-data-protection-regulation-gdpr/"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legislation.gov.uk/ukpga/2018/12/contents/enacted" TargetMode="External"/><Relationship Id="rId14" Type="http://schemas.openxmlformats.org/officeDocument/2006/relationships/hyperlink" Target="https://www.ukcgc.uk/information-sharing-and-disclosure" TargetMode="External"/><Relationship Id="rId22" Type="http://schemas.openxmlformats.org/officeDocument/2006/relationships/header" Target="header3.xml"/><Relationship Id="rId27"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D967A113-2858-4AED-8023-696C8044A16E}"/>
</file>

<file path=customXml/itemProps3.xml><?xml version="1.0" encoding="utf-8"?>
<ds:datastoreItem xmlns:ds="http://schemas.openxmlformats.org/officeDocument/2006/customXml" ds:itemID="{795A968D-830C-4095-8BC8-CD05051083A6}"/>
</file>

<file path=customXml/itemProps4.xml><?xml version="1.0" encoding="utf-8"?>
<ds:datastoreItem xmlns:ds="http://schemas.openxmlformats.org/officeDocument/2006/customXml" ds:itemID="{164115A3-B21D-4E7C-9510-8D176E39F9F6}"/>
</file>

<file path=docProps/app.xml><?xml version="1.0" encoding="utf-8"?>
<Properties xmlns="http://schemas.openxmlformats.org/officeDocument/2006/extended-properties" xmlns:vt="http://schemas.openxmlformats.org/officeDocument/2006/docPropsVTypes">
  <Template>Normal</Template>
  <TotalTime>11</TotalTime>
  <Pages>11</Pages>
  <Words>2237</Words>
  <Characters>12755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Heath</dc:creator>
  <cp:keywords/>
  <dc:description/>
  <cp:lastModifiedBy>Michelle Heath</cp:lastModifiedBy>
  <cp:revision>3</cp:revision>
  <cp:lastPrinted>2023-02-15T14:18:00Z</cp:lastPrinted>
  <dcterms:created xsi:type="dcterms:W3CDTF">2024-04-02T13:44:00Z</dcterms:created>
  <dcterms:modified xsi:type="dcterms:W3CDTF">2024-04-02T13:55:00Z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