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2A91" w14:textId="77777777" w:rsidR="00DF67AA" w:rsidRDefault="00DF67AA" w:rsidP="00903AA2">
      <w:pPr>
        <w:rPr>
          <w:spacing w:val="10"/>
        </w:rPr>
      </w:pPr>
    </w:p>
    <w:p w14:paraId="3B97DE15" w14:textId="77777777" w:rsidR="00DF67AA" w:rsidRDefault="00DF67AA" w:rsidP="00903AA2">
      <w:pPr>
        <w:rPr>
          <w:spacing w:val="10"/>
        </w:rPr>
      </w:pPr>
    </w:p>
    <w:p w14:paraId="4C2FAA90" w14:textId="77777777" w:rsidR="00FA1162" w:rsidRDefault="00FA1162" w:rsidP="00903AA2">
      <w:pPr>
        <w:rPr>
          <w:spacing w:val="10"/>
        </w:rPr>
      </w:pPr>
    </w:p>
    <w:p w14:paraId="5BAF3578" w14:textId="77777777" w:rsidR="00DF67AA" w:rsidRDefault="00306ED7" w:rsidP="00FA1162">
      <w:pPr>
        <w:rPr>
          <w:spacing w:val="10"/>
        </w:rPr>
      </w:pPr>
      <w:r w:rsidRPr="0063326C">
        <w:rPr>
          <w:noProof/>
          <w:spacing w:val="10"/>
        </w:rPr>
        <mc:AlternateContent>
          <mc:Choice Requires="wps">
            <w:drawing>
              <wp:inline distT="0" distB="0" distL="0" distR="0" wp14:anchorId="7769D70B" wp14:editId="326BAD6B">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72BBE1C7" w14:textId="257DF065" w:rsidR="00306ED7" w:rsidRPr="00847753" w:rsidRDefault="00BC6371" w:rsidP="00306ED7">
                            <w:pPr>
                              <w:pStyle w:val="PolicyTitle"/>
                            </w:pPr>
                            <w:r>
                              <w:t>Volunteer</w:t>
                            </w:r>
                            <w:r w:rsidR="00306ED7">
                              <w:t xml:space="preserve"> Policy </w:t>
                            </w:r>
                          </w:p>
                          <w:p w14:paraId="2CD1738C" w14:textId="4610418E" w:rsidR="00306ED7" w:rsidRPr="00847753" w:rsidRDefault="00BC6371" w:rsidP="00306ED7">
                            <w:pPr>
                              <w:pStyle w:val="PolicyCode"/>
                            </w:pPr>
                            <w:r>
                              <w:t>VP001</w:t>
                            </w:r>
                            <w:r w:rsidR="00306ED7" w:rsidRPr="00847753">
                              <w:t xml:space="preserve"> </w:t>
                            </w:r>
                            <w:r>
                              <w:t>Volunteer</w:t>
                            </w:r>
                            <w:r w:rsidR="00A7608F">
                              <w:t>s</w:t>
                            </w:r>
                          </w:p>
                          <w:p w14:paraId="7A4A9D32" w14:textId="3BF217F7" w:rsidR="00306ED7" w:rsidRPr="00847753" w:rsidRDefault="00BC6371" w:rsidP="00306ED7">
                            <w:pPr>
                              <w:pStyle w:val="PolicyDate"/>
                            </w:pPr>
                            <w:r>
                              <w:t>July</w:t>
                            </w:r>
                            <w:r w:rsidR="00306ED7">
                              <w:t xml:space="preserve"> 2023</w:t>
                            </w:r>
                          </w:p>
                        </w:txbxContent>
                      </wps:txbx>
                      <wps:bodyPr rot="0" vert="horz" wrap="square" lIns="91440" tIns="45720" rIns="91440" bIns="45720" anchor="t" anchorCtr="0">
                        <a:spAutoFit/>
                      </wps:bodyPr>
                    </wps:wsp>
                  </a:graphicData>
                </a:graphic>
              </wp:inline>
            </w:drawing>
          </mc:Choice>
          <mc:Fallback>
            <w:pict>
              <v:shapetype w14:anchorId="7769D70B"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72BBE1C7" w14:textId="257DF065" w:rsidR="00306ED7" w:rsidRPr="00847753" w:rsidRDefault="00BC6371" w:rsidP="00306ED7">
                      <w:pPr>
                        <w:pStyle w:val="PolicyTitle"/>
                      </w:pPr>
                      <w:r>
                        <w:t>Volunteer</w:t>
                      </w:r>
                      <w:r w:rsidR="00306ED7">
                        <w:t xml:space="preserve"> Policy </w:t>
                      </w:r>
                    </w:p>
                    <w:p w14:paraId="2CD1738C" w14:textId="4610418E" w:rsidR="00306ED7" w:rsidRPr="00847753" w:rsidRDefault="00BC6371" w:rsidP="00306ED7">
                      <w:pPr>
                        <w:pStyle w:val="PolicyCode"/>
                      </w:pPr>
                      <w:r>
                        <w:t>VP001</w:t>
                      </w:r>
                      <w:r w:rsidR="00306ED7" w:rsidRPr="00847753">
                        <w:t xml:space="preserve"> </w:t>
                      </w:r>
                      <w:r>
                        <w:t>Volunteer</w:t>
                      </w:r>
                      <w:r w:rsidR="00A7608F">
                        <w:t>s</w:t>
                      </w:r>
                    </w:p>
                    <w:p w14:paraId="7A4A9D32" w14:textId="3BF217F7" w:rsidR="00306ED7" w:rsidRPr="00847753" w:rsidRDefault="00BC6371" w:rsidP="00306ED7">
                      <w:pPr>
                        <w:pStyle w:val="PolicyDate"/>
                      </w:pPr>
                      <w:r>
                        <w:t>July</w:t>
                      </w:r>
                      <w:r w:rsidR="00306ED7">
                        <w:t xml:space="preserve"> 2023</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67E8B56A" wp14:editId="658491A7">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6BA330A8" w14:textId="77777777" w:rsidR="00DF67AA" w:rsidRDefault="00471203" w:rsidP="00070650">
          <w:pPr>
            <w:rPr>
              <w:rFonts w:cs="Arial"/>
              <w:b/>
              <w:bCs/>
              <w:sz w:val="28"/>
              <w:szCs w:val="28"/>
            </w:rPr>
          </w:pPr>
          <w:r w:rsidRPr="00070650">
            <w:rPr>
              <w:rFonts w:cs="Arial"/>
              <w:b/>
              <w:bCs/>
              <w:sz w:val="28"/>
              <w:szCs w:val="28"/>
            </w:rPr>
            <w:t>Contents</w:t>
          </w:r>
        </w:p>
        <w:p w14:paraId="784AD8EC" w14:textId="6925180D" w:rsidR="00A7608F" w:rsidRDefault="00F91DD0">
          <w:pPr>
            <w:pStyle w:val="TOC1"/>
            <w:rPr>
              <w:rFonts w:asciiTheme="minorHAnsi" w:eastAsiaTheme="minorEastAsia" w:hAnsiTheme="minorHAnsi"/>
              <w:kern w:val="2"/>
              <w:sz w:val="22"/>
              <w:szCs w:val="2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40479381" w:history="1">
            <w:r w:rsidR="00A7608F" w:rsidRPr="004C210B">
              <w:rPr>
                <w:rStyle w:val="Hyperlink"/>
              </w:rPr>
              <w:t>1</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Introduction</w:t>
            </w:r>
            <w:r w:rsidR="00A7608F">
              <w:rPr>
                <w:webHidden/>
              </w:rPr>
              <w:tab/>
            </w:r>
            <w:r w:rsidR="00A7608F">
              <w:rPr>
                <w:webHidden/>
              </w:rPr>
              <w:fldChar w:fldCharType="begin"/>
            </w:r>
            <w:r w:rsidR="00A7608F">
              <w:rPr>
                <w:webHidden/>
              </w:rPr>
              <w:instrText xml:space="preserve"> PAGEREF _Toc140479381 \h </w:instrText>
            </w:r>
            <w:r w:rsidR="00A7608F">
              <w:rPr>
                <w:webHidden/>
              </w:rPr>
            </w:r>
            <w:r w:rsidR="00A7608F">
              <w:rPr>
                <w:webHidden/>
              </w:rPr>
              <w:fldChar w:fldCharType="separate"/>
            </w:r>
            <w:r w:rsidR="00094755">
              <w:rPr>
                <w:webHidden/>
              </w:rPr>
              <w:t>2</w:t>
            </w:r>
            <w:r w:rsidR="00A7608F">
              <w:rPr>
                <w:webHidden/>
              </w:rPr>
              <w:fldChar w:fldCharType="end"/>
            </w:r>
          </w:hyperlink>
        </w:p>
        <w:p w14:paraId="6A70D9C1" w14:textId="3EA1756C" w:rsidR="00A7608F" w:rsidRDefault="00CC6FF8">
          <w:pPr>
            <w:pStyle w:val="TOC1"/>
            <w:rPr>
              <w:rFonts w:asciiTheme="minorHAnsi" w:eastAsiaTheme="minorEastAsia" w:hAnsiTheme="minorHAnsi"/>
              <w:kern w:val="2"/>
              <w:sz w:val="22"/>
              <w:szCs w:val="22"/>
              <w:lang w:eastAsia="en-GB"/>
              <w14:ligatures w14:val="standardContextual"/>
            </w:rPr>
          </w:pPr>
          <w:hyperlink w:anchor="_Toc140479382" w:history="1">
            <w:r w:rsidR="00A7608F" w:rsidRPr="004C210B">
              <w:rPr>
                <w:rStyle w:val="Hyperlink"/>
              </w:rPr>
              <w:t>2</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Scope and Purpose</w:t>
            </w:r>
            <w:r w:rsidR="00A7608F">
              <w:rPr>
                <w:webHidden/>
              </w:rPr>
              <w:tab/>
            </w:r>
            <w:r w:rsidR="00A7608F">
              <w:rPr>
                <w:webHidden/>
              </w:rPr>
              <w:fldChar w:fldCharType="begin"/>
            </w:r>
            <w:r w:rsidR="00A7608F">
              <w:rPr>
                <w:webHidden/>
              </w:rPr>
              <w:instrText xml:space="preserve"> PAGEREF _Toc140479382 \h </w:instrText>
            </w:r>
            <w:r w:rsidR="00A7608F">
              <w:rPr>
                <w:webHidden/>
              </w:rPr>
            </w:r>
            <w:r w:rsidR="00A7608F">
              <w:rPr>
                <w:webHidden/>
              </w:rPr>
              <w:fldChar w:fldCharType="separate"/>
            </w:r>
            <w:r w:rsidR="00094755">
              <w:rPr>
                <w:webHidden/>
              </w:rPr>
              <w:t>2</w:t>
            </w:r>
            <w:r w:rsidR="00A7608F">
              <w:rPr>
                <w:webHidden/>
              </w:rPr>
              <w:fldChar w:fldCharType="end"/>
            </w:r>
          </w:hyperlink>
        </w:p>
        <w:p w14:paraId="065EC36B" w14:textId="11CEFDCF" w:rsidR="00A7608F" w:rsidRDefault="00CC6FF8">
          <w:pPr>
            <w:pStyle w:val="TOC1"/>
            <w:rPr>
              <w:rFonts w:asciiTheme="minorHAnsi" w:eastAsiaTheme="minorEastAsia" w:hAnsiTheme="minorHAnsi"/>
              <w:kern w:val="2"/>
              <w:sz w:val="22"/>
              <w:szCs w:val="22"/>
              <w:lang w:eastAsia="en-GB"/>
              <w14:ligatures w14:val="standardContextual"/>
            </w:rPr>
          </w:pPr>
          <w:hyperlink w:anchor="_Toc140479383" w:history="1">
            <w:r w:rsidR="00A7608F" w:rsidRPr="004C210B">
              <w:rPr>
                <w:rStyle w:val="Hyperlink"/>
              </w:rPr>
              <w:t>3</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Definitions</w:t>
            </w:r>
            <w:r w:rsidR="00A7608F">
              <w:rPr>
                <w:webHidden/>
              </w:rPr>
              <w:tab/>
            </w:r>
            <w:r w:rsidR="00A7608F">
              <w:rPr>
                <w:webHidden/>
              </w:rPr>
              <w:fldChar w:fldCharType="begin"/>
            </w:r>
            <w:r w:rsidR="00A7608F">
              <w:rPr>
                <w:webHidden/>
              </w:rPr>
              <w:instrText xml:space="preserve"> PAGEREF _Toc140479383 \h </w:instrText>
            </w:r>
            <w:r w:rsidR="00A7608F">
              <w:rPr>
                <w:webHidden/>
              </w:rPr>
            </w:r>
            <w:r w:rsidR="00A7608F">
              <w:rPr>
                <w:webHidden/>
              </w:rPr>
              <w:fldChar w:fldCharType="separate"/>
            </w:r>
            <w:r w:rsidR="00094755">
              <w:rPr>
                <w:webHidden/>
              </w:rPr>
              <w:t>2</w:t>
            </w:r>
            <w:r w:rsidR="00A7608F">
              <w:rPr>
                <w:webHidden/>
              </w:rPr>
              <w:fldChar w:fldCharType="end"/>
            </w:r>
          </w:hyperlink>
        </w:p>
        <w:p w14:paraId="7C7B8E79" w14:textId="30EB4244" w:rsidR="00A7608F" w:rsidRDefault="00CC6FF8">
          <w:pPr>
            <w:pStyle w:val="TOC1"/>
            <w:rPr>
              <w:rFonts w:asciiTheme="minorHAnsi" w:eastAsiaTheme="minorEastAsia" w:hAnsiTheme="minorHAnsi"/>
              <w:kern w:val="2"/>
              <w:sz w:val="22"/>
              <w:szCs w:val="22"/>
              <w:lang w:eastAsia="en-GB"/>
              <w14:ligatures w14:val="standardContextual"/>
            </w:rPr>
          </w:pPr>
          <w:hyperlink w:anchor="_Toc140479384" w:history="1">
            <w:r w:rsidR="00A7608F" w:rsidRPr="004C210B">
              <w:rPr>
                <w:rStyle w:val="Hyperlink"/>
              </w:rPr>
              <w:t>4</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Volunteering Principles</w:t>
            </w:r>
            <w:r w:rsidR="00A7608F">
              <w:rPr>
                <w:webHidden/>
              </w:rPr>
              <w:tab/>
            </w:r>
            <w:r w:rsidR="00A7608F">
              <w:rPr>
                <w:webHidden/>
              </w:rPr>
              <w:fldChar w:fldCharType="begin"/>
            </w:r>
            <w:r w:rsidR="00A7608F">
              <w:rPr>
                <w:webHidden/>
              </w:rPr>
              <w:instrText xml:space="preserve"> PAGEREF _Toc140479384 \h </w:instrText>
            </w:r>
            <w:r w:rsidR="00A7608F">
              <w:rPr>
                <w:webHidden/>
              </w:rPr>
            </w:r>
            <w:r w:rsidR="00A7608F">
              <w:rPr>
                <w:webHidden/>
              </w:rPr>
              <w:fldChar w:fldCharType="separate"/>
            </w:r>
            <w:r w:rsidR="00094755">
              <w:rPr>
                <w:webHidden/>
              </w:rPr>
              <w:t>2</w:t>
            </w:r>
            <w:r w:rsidR="00A7608F">
              <w:rPr>
                <w:webHidden/>
              </w:rPr>
              <w:fldChar w:fldCharType="end"/>
            </w:r>
          </w:hyperlink>
        </w:p>
        <w:p w14:paraId="2B15B769" w14:textId="028EC438" w:rsidR="00A7608F" w:rsidRDefault="00CC6FF8">
          <w:pPr>
            <w:pStyle w:val="TOC1"/>
            <w:rPr>
              <w:rFonts w:asciiTheme="minorHAnsi" w:eastAsiaTheme="minorEastAsia" w:hAnsiTheme="minorHAnsi"/>
              <w:kern w:val="2"/>
              <w:sz w:val="22"/>
              <w:szCs w:val="22"/>
              <w:lang w:eastAsia="en-GB"/>
              <w14:ligatures w14:val="standardContextual"/>
            </w:rPr>
          </w:pPr>
          <w:hyperlink w:anchor="_Toc140479385" w:history="1">
            <w:r w:rsidR="00A7608F" w:rsidRPr="004C210B">
              <w:rPr>
                <w:rStyle w:val="Hyperlink"/>
              </w:rPr>
              <w:t>5</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Volunteer Onboarding</w:t>
            </w:r>
            <w:r w:rsidR="00A7608F">
              <w:rPr>
                <w:webHidden/>
              </w:rPr>
              <w:tab/>
            </w:r>
            <w:r w:rsidR="00A7608F">
              <w:rPr>
                <w:webHidden/>
              </w:rPr>
              <w:fldChar w:fldCharType="begin"/>
            </w:r>
            <w:r w:rsidR="00A7608F">
              <w:rPr>
                <w:webHidden/>
              </w:rPr>
              <w:instrText xml:space="preserve"> PAGEREF _Toc140479385 \h </w:instrText>
            </w:r>
            <w:r w:rsidR="00A7608F">
              <w:rPr>
                <w:webHidden/>
              </w:rPr>
            </w:r>
            <w:r w:rsidR="00A7608F">
              <w:rPr>
                <w:webHidden/>
              </w:rPr>
              <w:fldChar w:fldCharType="separate"/>
            </w:r>
            <w:r w:rsidR="00094755">
              <w:rPr>
                <w:webHidden/>
              </w:rPr>
              <w:t>3</w:t>
            </w:r>
            <w:r w:rsidR="00A7608F">
              <w:rPr>
                <w:webHidden/>
              </w:rPr>
              <w:fldChar w:fldCharType="end"/>
            </w:r>
          </w:hyperlink>
        </w:p>
        <w:p w14:paraId="7B2A0FEE" w14:textId="7AFF497C" w:rsidR="00A7608F" w:rsidRDefault="00CC6FF8">
          <w:pPr>
            <w:pStyle w:val="TOC1"/>
            <w:rPr>
              <w:rFonts w:asciiTheme="minorHAnsi" w:eastAsiaTheme="minorEastAsia" w:hAnsiTheme="minorHAnsi"/>
              <w:kern w:val="2"/>
              <w:sz w:val="22"/>
              <w:szCs w:val="22"/>
              <w:lang w:eastAsia="en-GB"/>
              <w14:ligatures w14:val="standardContextual"/>
            </w:rPr>
          </w:pPr>
          <w:hyperlink w:anchor="_Toc140479386" w:history="1">
            <w:r w:rsidR="00A7608F" w:rsidRPr="004C210B">
              <w:rPr>
                <w:rStyle w:val="Hyperlink"/>
              </w:rPr>
              <w:t>6</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Volunteer Development</w:t>
            </w:r>
            <w:r w:rsidR="00A7608F">
              <w:rPr>
                <w:webHidden/>
              </w:rPr>
              <w:tab/>
            </w:r>
            <w:r w:rsidR="00A7608F">
              <w:rPr>
                <w:webHidden/>
              </w:rPr>
              <w:fldChar w:fldCharType="begin"/>
            </w:r>
            <w:r w:rsidR="00A7608F">
              <w:rPr>
                <w:webHidden/>
              </w:rPr>
              <w:instrText xml:space="preserve"> PAGEREF _Toc140479386 \h </w:instrText>
            </w:r>
            <w:r w:rsidR="00A7608F">
              <w:rPr>
                <w:webHidden/>
              </w:rPr>
            </w:r>
            <w:r w:rsidR="00A7608F">
              <w:rPr>
                <w:webHidden/>
              </w:rPr>
              <w:fldChar w:fldCharType="separate"/>
            </w:r>
            <w:r w:rsidR="00094755">
              <w:rPr>
                <w:webHidden/>
              </w:rPr>
              <w:t>4</w:t>
            </w:r>
            <w:r w:rsidR="00A7608F">
              <w:rPr>
                <w:webHidden/>
              </w:rPr>
              <w:fldChar w:fldCharType="end"/>
            </w:r>
          </w:hyperlink>
        </w:p>
        <w:p w14:paraId="17B22708" w14:textId="5E5B836E" w:rsidR="00A7608F" w:rsidRDefault="00CC6FF8">
          <w:pPr>
            <w:pStyle w:val="TOC1"/>
            <w:rPr>
              <w:rFonts w:asciiTheme="minorHAnsi" w:eastAsiaTheme="minorEastAsia" w:hAnsiTheme="minorHAnsi"/>
              <w:kern w:val="2"/>
              <w:sz w:val="22"/>
              <w:szCs w:val="22"/>
              <w:lang w:eastAsia="en-GB"/>
              <w14:ligatures w14:val="standardContextual"/>
            </w:rPr>
          </w:pPr>
          <w:hyperlink w:anchor="_Toc140479387" w:history="1">
            <w:r w:rsidR="00A7608F" w:rsidRPr="004C210B">
              <w:rPr>
                <w:rStyle w:val="Hyperlink"/>
              </w:rPr>
              <w:t>7</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Problem Solving</w:t>
            </w:r>
            <w:r w:rsidR="00A7608F">
              <w:rPr>
                <w:webHidden/>
              </w:rPr>
              <w:tab/>
            </w:r>
            <w:r w:rsidR="00A7608F">
              <w:rPr>
                <w:webHidden/>
              </w:rPr>
              <w:fldChar w:fldCharType="begin"/>
            </w:r>
            <w:r w:rsidR="00A7608F">
              <w:rPr>
                <w:webHidden/>
              </w:rPr>
              <w:instrText xml:space="preserve"> PAGEREF _Toc140479387 \h </w:instrText>
            </w:r>
            <w:r w:rsidR="00A7608F">
              <w:rPr>
                <w:webHidden/>
              </w:rPr>
            </w:r>
            <w:r w:rsidR="00A7608F">
              <w:rPr>
                <w:webHidden/>
              </w:rPr>
              <w:fldChar w:fldCharType="separate"/>
            </w:r>
            <w:r w:rsidR="00094755">
              <w:rPr>
                <w:webHidden/>
              </w:rPr>
              <w:t>4</w:t>
            </w:r>
            <w:r w:rsidR="00A7608F">
              <w:rPr>
                <w:webHidden/>
              </w:rPr>
              <w:fldChar w:fldCharType="end"/>
            </w:r>
          </w:hyperlink>
        </w:p>
        <w:p w14:paraId="28902444" w14:textId="5B8E6AD4" w:rsidR="00A7608F" w:rsidRDefault="00CC6FF8">
          <w:pPr>
            <w:pStyle w:val="TOC1"/>
            <w:rPr>
              <w:rFonts w:asciiTheme="minorHAnsi" w:eastAsiaTheme="minorEastAsia" w:hAnsiTheme="minorHAnsi"/>
              <w:kern w:val="2"/>
              <w:sz w:val="22"/>
              <w:szCs w:val="22"/>
              <w:lang w:eastAsia="en-GB"/>
              <w14:ligatures w14:val="standardContextual"/>
            </w:rPr>
          </w:pPr>
          <w:hyperlink w:anchor="_Toc140479388" w:history="1">
            <w:r w:rsidR="00A7608F" w:rsidRPr="004C210B">
              <w:rPr>
                <w:rStyle w:val="Hyperlink"/>
              </w:rPr>
              <w:t>8</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Roles and Responsibilities</w:t>
            </w:r>
            <w:r w:rsidR="00A7608F">
              <w:rPr>
                <w:webHidden/>
              </w:rPr>
              <w:tab/>
            </w:r>
            <w:r w:rsidR="00A7608F">
              <w:rPr>
                <w:webHidden/>
              </w:rPr>
              <w:fldChar w:fldCharType="begin"/>
            </w:r>
            <w:r w:rsidR="00A7608F">
              <w:rPr>
                <w:webHidden/>
              </w:rPr>
              <w:instrText xml:space="preserve"> PAGEREF _Toc140479388 \h </w:instrText>
            </w:r>
            <w:r w:rsidR="00A7608F">
              <w:rPr>
                <w:webHidden/>
              </w:rPr>
            </w:r>
            <w:r w:rsidR="00A7608F">
              <w:rPr>
                <w:webHidden/>
              </w:rPr>
              <w:fldChar w:fldCharType="separate"/>
            </w:r>
            <w:r w:rsidR="00094755">
              <w:rPr>
                <w:webHidden/>
              </w:rPr>
              <w:t>4</w:t>
            </w:r>
            <w:r w:rsidR="00A7608F">
              <w:rPr>
                <w:webHidden/>
              </w:rPr>
              <w:fldChar w:fldCharType="end"/>
            </w:r>
          </w:hyperlink>
        </w:p>
        <w:p w14:paraId="3CCC0DAF" w14:textId="4985939A" w:rsidR="00A7608F" w:rsidRDefault="00CC6FF8">
          <w:pPr>
            <w:pStyle w:val="TOC1"/>
            <w:rPr>
              <w:rFonts w:asciiTheme="minorHAnsi" w:eastAsiaTheme="minorEastAsia" w:hAnsiTheme="minorHAnsi"/>
              <w:kern w:val="2"/>
              <w:sz w:val="22"/>
              <w:szCs w:val="22"/>
              <w:lang w:eastAsia="en-GB"/>
              <w14:ligatures w14:val="standardContextual"/>
            </w:rPr>
          </w:pPr>
          <w:hyperlink w:anchor="_Toc140479389" w:history="1">
            <w:r w:rsidR="00A7608F" w:rsidRPr="004C210B">
              <w:rPr>
                <w:rStyle w:val="Hyperlink"/>
              </w:rPr>
              <w:t>9</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Training and Monitoring</w:t>
            </w:r>
            <w:r w:rsidR="00A7608F">
              <w:rPr>
                <w:webHidden/>
              </w:rPr>
              <w:tab/>
            </w:r>
            <w:r w:rsidR="00A7608F">
              <w:rPr>
                <w:webHidden/>
              </w:rPr>
              <w:fldChar w:fldCharType="begin"/>
            </w:r>
            <w:r w:rsidR="00A7608F">
              <w:rPr>
                <w:webHidden/>
              </w:rPr>
              <w:instrText xml:space="preserve"> PAGEREF _Toc140479389 \h </w:instrText>
            </w:r>
            <w:r w:rsidR="00A7608F">
              <w:rPr>
                <w:webHidden/>
              </w:rPr>
            </w:r>
            <w:r w:rsidR="00A7608F">
              <w:rPr>
                <w:webHidden/>
              </w:rPr>
              <w:fldChar w:fldCharType="separate"/>
            </w:r>
            <w:r w:rsidR="00094755">
              <w:rPr>
                <w:webHidden/>
              </w:rPr>
              <w:t>5</w:t>
            </w:r>
            <w:r w:rsidR="00A7608F">
              <w:rPr>
                <w:webHidden/>
              </w:rPr>
              <w:fldChar w:fldCharType="end"/>
            </w:r>
          </w:hyperlink>
        </w:p>
        <w:p w14:paraId="7B35C943" w14:textId="30D2EF87" w:rsidR="00A7608F" w:rsidRDefault="00CC6FF8">
          <w:pPr>
            <w:pStyle w:val="TOC1"/>
            <w:rPr>
              <w:rFonts w:asciiTheme="minorHAnsi" w:eastAsiaTheme="minorEastAsia" w:hAnsiTheme="minorHAnsi"/>
              <w:kern w:val="2"/>
              <w:sz w:val="22"/>
              <w:szCs w:val="22"/>
              <w:lang w:eastAsia="en-GB"/>
              <w14:ligatures w14:val="standardContextual"/>
            </w:rPr>
          </w:pPr>
          <w:hyperlink w:anchor="_Toc140479390" w:history="1">
            <w:r w:rsidR="00A7608F" w:rsidRPr="004C210B">
              <w:rPr>
                <w:rStyle w:val="Hyperlink"/>
              </w:rPr>
              <w:t>10</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Communication and Dissemination</w:t>
            </w:r>
            <w:r w:rsidR="00A7608F">
              <w:rPr>
                <w:webHidden/>
              </w:rPr>
              <w:tab/>
            </w:r>
            <w:r w:rsidR="00A7608F">
              <w:rPr>
                <w:webHidden/>
              </w:rPr>
              <w:fldChar w:fldCharType="begin"/>
            </w:r>
            <w:r w:rsidR="00A7608F">
              <w:rPr>
                <w:webHidden/>
              </w:rPr>
              <w:instrText xml:space="preserve"> PAGEREF _Toc140479390 \h </w:instrText>
            </w:r>
            <w:r w:rsidR="00A7608F">
              <w:rPr>
                <w:webHidden/>
              </w:rPr>
            </w:r>
            <w:r w:rsidR="00A7608F">
              <w:rPr>
                <w:webHidden/>
              </w:rPr>
              <w:fldChar w:fldCharType="separate"/>
            </w:r>
            <w:r w:rsidR="00094755">
              <w:rPr>
                <w:webHidden/>
              </w:rPr>
              <w:t>5</w:t>
            </w:r>
            <w:r w:rsidR="00A7608F">
              <w:rPr>
                <w:webHidden/>
              </w:rPr>
              <w:fldChar w:fldCharType="end"/>
            </w:r>
          </w:hyperlink>
        </w:p>
        <w:p w14:paraId="5977159C" w14:textId="2ECFE4C9" w:rsidR="00A7608F" w:rsidRDefault="00CC6FF8">
          <w:pPr>
            <w:pStyle w:val="TOC1"/>
            <w:rPr>
              <w:rFonts w:asciiTheme="minorHAnsi" w:eastAsiaTheme="minorEastAsia" w:hAnsiTheme="minorHAnsi"/>
              <w:kern w:val="2"/>
              <w:sz w:val="22"/>
              <w:szCs w:val="22"/>
              <w:lang w:eastAsia="en-GB"/>
              <w14:ligatures w14:val="standardContextual"/>
            </w:rPr>
          </w:pPr>
          <w:hyperlink w:anchor="_Toc140479391" w:history="1">
            <w:r w:rsidR="00A7608F" w:rsidRPr="004C210B">
              <w:rPr>
                <w:rStyle w:val="Hyperlink"/>
              </w:rPr>
              <w:t>11</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EDI Impact Assessments</w:t>
            </w:r>
            <w:r w:rsidR="00A7608F">
              <w:rPr>
                <w:webHidden/>
              </w:rPr>
              <w:tab/>
            </w:r>
            <w:r w:rsidR="00A7608F">
              <w:rPr>
                <w:webHidden/>
              </w:rPr>
              <w:fldChar w:fldCharType="begin"/>
            </w:r>
            <w:r w:rsidR="00A7608F">
              <w:rPr>
                <w:webHidden/>
              </w:rPr>
              <w:instrText xml:space="preserve"> PAGEREF _Toc140479391 \h </w:instrText>
            </w:r>
            <w:r w:rsidR="00A7608F">
              <w:rPr>
                <w:webHidden/>
              </w:rPr>
            </w:r>
            <w:r w:rsidR="00A7608F">
              <w:rPr>
                <w:webHidden/>
              </w:rPr>
              <w:fldChar w:fldCharType="separate"/>
            </w:r>
            <w:r w:rsidR="00094755">
              <w:rPr>
                <w:webHidden/>
              </w:rPr>
              <w:t>5</w:t>
            </w:r>
            <w:r w:rsidR="00A7608F">
              <w:rPr>
                <w:webHidden/>
              </w:rPr>
              <w:fldChar w:fldCharType="end"/>
            </w:r>
          </w:hyperlink>
        </w:p>
        <w:p w14:paraId="4884EEB1" w14:textId="5778AE38" w:rsidR="00A7608F" w:rsidRDefault="00CC6FF8">
          <w:pPr>
            <w:pStyle w:val="TOC1"/>
            <w:rPr>
              <w:rFonts w:asciiTheme="minorHAnsi" w:eastAsiaTheme="minorEastAsia" w:hAnsiTheme="minorHAnsi"/>
              <w:kern w:val="2"/>
              <w:sz w:val="22"/>
              <w:szCs w:val="22"/>
              <w:lang w:eastAsia="en-GB"/>
              <w14:ligatures w14:val="standardContextual"/>
            </w:rPr>
          </w:pPr>
          <w:hyperlink w:anchor="_Toc140479392" w:history="1">
            <w:r w:rsidR="00A7608F" w:rsidRPr="004C210B">
              <w:rPr>
                <w:rStyle w:val="Hyperlink"/>
              </w:rPr>
              <w:t>12</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Resources</w:t>
            </w:r>
            <w:r w:rsidR="00A7608F">
              <w:rPr>
                <w:webHidden/>
              </w:rPr>
              <w:tab/>
            </w:r>
            <w:r w:rsidR="00A7608F">
              <w:rPr>
                <w:webHidden/>
              </w:rPr>
              <w:fldChar w:fldCharType="begin"/>
            </w:r>
            <w:r w:rsidR="00A7608F">
              <w:rPr>
                <w:webHidden/>
              </w:rPr>
              <w:instrText xml:space="preserve"> PAGEREF _Toc140479392 \h </w:instrText>
            </w:r>
            <w:r w:rsidR="00A7608F">
              <w:rPr>
                <w:webHidden/>
              </w:rPr>
            </w:r>
            <w:r w:rsidR="00A7608F">
              <w:rPr>
                <w:webHidden/>
              </w:rPr>
              <w:fldChar w:fldCharType="separate"/>
            </w:r>
            <w:r w:rsidR="00094755">
              <w:rPr>
                <w:webHidden/>
              </w:rPr>
              <w:t>6</w:t>
            </w:r>
            <w:r w:rsidR="00A7608F">
              <w:rPr>
                <w:webHidden/>
              </w:rPr>
              <w:fldChar w:fldCharType="end"/>
            </w:r>
          </w:hyperlink>
        </w:p>
        <w:p w14:paraId="2EC5E128" w14:textId="0176167F" w:rsidR="00A7608F" w:rsidRDefault="00CC6FF8">
          <w:pPr>
            <w:pStyle w:val="TOC1"/>
            <w:rPr>
              <w:rFonts w:asciiTheme="minorHAnsi" w:eastAsiaTheme="minorEastAsia" w:hAnsiTheme="minorHAnsi"/>
              <w:kern w:val="2"/>
              <w:sz w:val="22"/>
              <w:szCs w:val="22"/>
              <w:lang w:eastAsia="en-GB"/>
              <w14:ligatures w14:val="standardContextual"/>
            </w:rPr>
          </w:pPr>
          <w:hyperlink w:anchor="_Toc140479393" w:history="1">
            <w:r w:rsidR="00A7608F" w:rsidRPr="004C210B">
              <w:rPr>
                <w:rStyle w:val="Hyperlink"/>
              </w:rPr>
              <w:t>13</w:t>
            </w:r>
            <w:r w:rsidR="00A7608F">
              <w:rPr>
                <w:rFonts w:asciiTheme="minorHAnsi" w:eastAsiaTheme="minorEastAsia" w:hAnsiTheme="minorHAnsi"/>
                <w:kern w:val="2"/>
                <w:sz w:val="22"/>
                <w:szCs w:val="22"/>
                <w:lang w:eastAsia="en-GB"/>
                <w14:ligatures w14:val="standardContextual"/>
              </w:rPr>
              <w:tab/>
            </w:r>
            <w:r w:rsidR="00A7608F" w:rsidRPr="004C210B">
              <w:rPr>
                <w:rStyle w:val="Hyperlink"/>
              </w:rPr>
              <w:t>Version Control</w:t>
            </w:r>
            <w:r w:rsidR="00A7608F">
              <w:rPr>
                <w:webHidden/>
              </w:rPr>
              <w:tab/>
            </w:r>
            <w:r w:rsidR="00A7608F">
              <w:rPr>
                <w:webHidden/>
              </w:rPr>
              <w:fldChar w:fldCharType="begin"/>
            </w:r>
            <w:r w:rsidR="00A7608F">
              <w:rPr>
                <w:webHidden/>
              </w:rPr>
              <w:instrText xml:space="preserve"> PAGEREF _Toc140479393 \h </w:instrText>
            </w:r>
            <w:r w:rsidR="00A7608F">
              <w:rPr>
                <w:webHidden/>
              </w:rPr>
            </w:r>
            <w:r w:rsidR="00A7608F">
              <w:rPr>
                <w:webHidden/>
              </w:rPr>
              <w:fldChar w:fldCharType="separate"/>
            </w:r>
            <w:r w:rsidR="00094755">
              <w:rPr>
                <w:webHidden/>
              </w:rPr>
              <w:t>6</w:t>
            </w:r>
            <w:r w:rsidR="00A7608F">
              <w:rPr>
                <w:webHidden/>
              </w:rPr>
              <w:fldChar w:fldCharType="end"/>
            </w:r>
          </w:hyperlink>
        </w:p>
        <w:p w14:paraId="2B981340" w14:textId="785B81BC" w:rsidR="00DF67AA" w:rsidRPr="002E4B12" w:rsidRDefault="00F91DD0" w:rsidP="002E4B12">
          <w:pPr>
            <w:pStyle w:val="TOC1"/>
          </w:pPr>
          <w:r>
            <w:rPr>
              <w:rFonts w:cs="Arial"/>
              <w:spacing w:val="7"/>
            </w:rPr>
            <w:fldChar w:fldCharType="end"/>
          </w:r>
        </w:p>
      </w:sdtContent>
    </w:sdt>
    <w:p w14:paraId="75963A35" w14:textId="77777777" w:rsidR="00A7608F" w:rsidRDefault="00A7608F" w:rsidP="00A7608F">
      <w:pPr>
        <w:pStyle w:val="Text"/>
      </w:pPr>
    </w:p>
    <w:p w14:paraId="6B3AEDF8" w14:textId="77777777" w:rsidR="00A7608F" w:rsidRDefault="00A7608F" w:rsidP="00A7608F">
      <w:pPr>
        <w:pStyle w:val="Text"/>
      </w:pPr>
    </w:p>
    <w:p w14:paraId="02CDC63B" w14:textId="77777777" w:rsidR="00A7608F" w:rsidRDefault="00A7608F" w:rsidP="00A7608F">
      <w:pPr>
        <w:pStyle w:val="Text"/>
      </w:pPr>
    </w:p>
    <w:p w14:paraId="69EB2898" w14:textId="77777777" w:rsidR="00A7608F" w:rsidRDefault="00A7608F" w:rsidP="00A7608F">
      <w:pPr>
        <w:pStyle w:val="Text"/>
      </w:pPr>
    </w:p>
    <w:p w14:paraId="56BDB1D0" w14:textId="77777777" w:rsidR="00A7608F" w:rsidRDefault="00A7608F" w:rsidP="00A7608F">
      <w:pPr>
        <w:pStyle w:val="Text"/>
      </w:pPr>
    </w:p>
    <w:p w14:paraId="04275AA4" w14:textId="305630AD" w:rsidR="009A0ED4" w:rsidRDefault="009A0ED4" w:rsidP="00D558F5">
      <w:pPr>
        <w:pStyle w:val="Heading1Numbered"/>
      </w:pPr>
      <w:bookmarkStart w:id="6" w:name="_Toc140479381"/>
      <w:r w:rsidRPr="00D558F5">
        <w:t>Introduction</w:t>
      </w:r>
      <w:bookmarkEnd w:id="6"/>
    </w:p>
    <w:p w14:paraId="74CCF7A1" w14:textId="45B1AC56" w:rsidR="00784932" w:rsidRPr="002E4B12" w:rsidRDefault="00A7608F" w:rsidP="00A7608F">
      <w:pPr>
        <w:pStyle w:val="Text1Numbered"/>
      </w:pPr>
      <w:r w:rsidRPr="00A7608F">
        <w:t>Volunteers are integral to what we do at MHA – without them, MHA would be unable to deliver the range of support we offer. This policy forms the basis for MHA’s activities and relationships with its volunteers in reference to formal volunteering.</w:t>
      </w:r>
    </w:p>
    <w:p w14:paraId="7644C236" w14:textId="77777777" w:rsidR="002E4B12" w:rsidRDefault="009A0ED4" w:rsidP="002E4B12">
      <w:pPr>
        <w:pStyle w:val="Heading1Numbered"/>
      </w:pPr>
      <w:bookmarkStart w:id="7" w:name="_Toc140479382"/>
      <w:r w:rsidRPr="00EF3699">
        <w:t xml:space="preserve">Scope </w:t>
      </w:r>
      <w:r w:rsidR="001310BB" w:rsidRPr="00EF3699">
        <w:t>and</w:t>
      </w:r>
      <w:r w:rsidRPr="00EF3699">
        <w:t xml:space="preserve"> </w:t>
      </w:r>
      <w:r w:rsidRPr="00D558F5">
        <w:t>Purpose</w:t>
      </w:r>
      <w:bookmarkEnd w:id="7"/>
    </w:p>
    <w:p w14:paraId="46DB9305" w14:textId="605E2D8B" w:rsidR="00D40DD9" w:rsidRPr="00D40DD9" w:rsidRDefault="00A7608F" w:rsidP="00A7608F">
      <w:pPr>
        <w:pStyle w:val="Text1Numbered"/>
      </w:pPr>
      <w:r w:rsidRPr="00A7608F">
        <w:t>This policy is relevant for all volunteers across MHA. This policy describes MHA’s policy and statement of intent regarding the activity and relationships that the organisation has with its volunteers.</w:t>
      </w:r>
    </w:p>
    <w:p w14:paraId="70A3F4F7" w14:textId="77777777" w:rsidR="00DF67AA" w:rsidRPr="00EF3699" w:rsidRDefault="009A0ED4" w:rsidP="00EC4F61">
      <w:pPr>
        <w:pStyle w:val="Heading1Numbered"/>
      </w:pPr>
      <w:bookmarkStart w:id="8" w:name="_Toc140479383"/>
      <w:r w:rsidRPr="00EF3699">
        <w:t>Definitions</w:t>
      </w:r>
      <w:bookmarkEnd w:id="8"/>
    </w:p>
    <w:tbl>
      <w:tblPr>
        <w:tblStyle w:val="MHATable"/>
        <w:tblW w:w="0" w:type="auto"/>
        <w:tblLook w:val="04A0" w:firstRow="1" w:lastRow="0" w:firstColumn="1" w:lastColumn="0" w:noHBand="0" w:noVBand="1"/>
      </w:tblPr>
      <w:tblGrid>
        <w:gridCol w:w="2830"/>
        <w:gridCol w:w="6663"/>
      </w:tblGrid>
      <w:tr w:rsidR="00D40DD9" w:rsidRPr="004C3545" w14:paraId="11E15EFF" w14:textId="77777777" w:rsidTr="00737EDE">
        <w:trPr>
          <w:cnfStyle w:val="100000000000" w:firstRow="1" w:lastRow="0" w:firstColumn="0" w:lastColumn="0" w:oddVBand="0" w:evenVBand="0" w:oddHBand="0" w:evenHBand="0" w:firstRowFirstColumn="0" w:firstRowLastColumn="0" w:lastRowFirstColumn="0" w:lastRowLastColumn="0"/>
        </w:trPr>
        <w:tc>
          <w:tcPr>
            <w:tcW w:w="2830" w:type="dxa"/>
          </w:tcPr>
          <w:p w14:paraId="5CF992E0" w14:textId="77777777" w:rsidR="00D40DD9" w:rsidRPr="004C3545" w:rsidRDefault="00D40DD9" w:rsidP="00737EDE">
            <w:r>
              <w:t>Term</w:t>
            </w:r>
          </w:p>
        </w:tc>
        <w:tc>
          <w:tcPr>
            <w:tcW w:w="6663" w:type="dxa"/>
          </w:tcPr>
          <w:p w14:paraId="6D8491FC" w14:textId="77777777" w:rsidR="00D40DD9" w:rsidRPr="004C3545" w:rsidRDefault="00D40DD9" w:rsidP="00737EDE">
            <w:r>
              <w:t>Definition</w:t>
            </w:r>
          </w:p>
        </w:tc>
      </w:tr>
      <w:tr w:rsidR="00A7608F" w:rsidRPr="004C3545" w14:paraId="0CD10314" w14:textId="77777777" w:rsidTr="00737EDE">
        <w:tc>
          <w:tcPr>
            <w:tcW w:w="2830" w:type="dxa"/>
          </w:tcPr>
          <w:p w14:paraId="0E06063A" w14:textId="2D3621E9" w:rsidR="00A7608F" w:rsidRPr="00A7608F" w:rsidRDefault="00A7608F" w:rsidP="00A7608F">
            <w:pPr>
              <w:rPr>
                <w:b/>
                <w:bCs/>
              </w:rPr>
            </w:pPr>
            <w:r w:rsidRPr="00A7608F">
              <w:rPr>
                <w:b/>
                <w:bCs/>
              </w:rPr>
              <w:t>Volunteer</w:t>
            </w:r>
          </w:p>
        </w:tc>
        <w:tc>
          <w:tcPr>
            <w:tcW w:w="6663" w:type="dxa"/>
          </w:tcPr>
          <w:p w14:paraId="18298B48" w14:textId="70E12E28" w:rsidR="00A7608F" w:rsidRPr="004C3545" w:rsidRDefault="00A7608F" w:rsidP="00A7608F">
            <w:r w:rsidRPr="00CF3089">
              <w:rPr>
                <w:rFonts w:eastAsia="Times" w:cs="Arial"/>
                <w:szCs w:val="22"/>
              </w:rPr>
              <w:t xml:space="preserve">A volunteer </w:t>
            </w:r>
            <w:r w:rsidRPr="00CF3089">
              <w:rPr>
                <w:rFonts w:cs="Arial"/>
                <w:szCs w:val="22"/>
              </w:rPr>
              <w:t>contributes their time, energy, and skills to support MHA. They are unpaid (</w:t>
            </w:r>
            <w:r>
              <w:rPr>
                <w:rFonts w:cs="Arial"/>
                <w:szCs w:val="22"/>
              </w:rPr>
              <w:t>however o</w:t>
            </w:r>
            <w:r w:rsidRPr="00CF3089">
              <w:rPr>
                <w:rFonts w:cs="Arial"/>
                <w:szCs w:val="22"/>
              </w:rPr>
              <w:t>ut of pocket expenses</w:t>
            </w:r>
            <w:r>
              <w:rPr>
                <w:rFonts w:cs="Arial"/>
                <w:szCs w:val="22"/>
              </w:rPr>
              <w:t xml:space="preserve"> are available</w:t>
            </w:r>
            <w:r w:rsidRPr="00CF3089">
              <w:rPr>
                <w:rFonts w:cs="Arial"/>
                <w:szCs w:val="22"/>
              </w:rPr>
              <w:t>).</w:t>
            </w:r>
            <w:r>
              <w:rPr>
                <w:rFonts w:cs="Arial"/>
                <w:szCs w:val="22"/>
              </w:rPr>
              <w:t xml:space="preserve"> </w:t>
            </w:r>
          </w:p>
        </w:tc>
      </w:tr>
      <w:tr w:rsidR="00A7608F" w:rsidRPr="004C3545" w14:paraId="48C9AC34" w14:textId="77777777" w:rsidTr="00737EDE">
        <w:tc>
          <w:tcPr>
            <w:tcW w:w="2830" w:type="dxa"/>
          </w:tcPr>
          <w:p w14:paraId="496FD967" w14:textId="10BFB007" w:rsidR="00A7608F" w:rsidRPr="00A7608F" w:rsidRDefault="00A7608F" w:rsidP="00A7608F">
            <w:pPr>
              <w:rPr>
                <w:b/>
                <w:bCs/>
              </w:rPr>
            </w:pPr>
            <w:r w:rsidRPr="00A7608F">
              <w:rPr>
                <w:b/>
                <w:bCs/>
              </w:rPr>
              <w:t>Volunteering</w:t>
            </w:r>
          </w:p>
        </w:tc>
        <w:tc>
          <w:tcPr>
            <w:tcW w:w="6663" w:type="dxa"/>
          </w:tcPr>
          <w:p w14:paraId="62F414AA" w14:textId="09B4B290" w:rsidR="00A7608F" w:rsidRPr="004C3545" w:rsidRDefault="00A7608F" w:rsidP="00A7608F">
            <w:r w:rsidRPr="00CF3089">
              <w:rPr>
                <w:rFonts w:cs="Arial"/>
                <w:szCs w:val="22"/>
              </w:rPr>
              <w:t>Volunteering includes action that affects social change. It is not confined to the performance of a service for another.</w:t>
            </w:r>
          </w:p>
        </w:tc>
      </w:tr>
    </w:tbl>
    <w:p w14:paraId="7BE016B0" w14:textId="77777777" w:rsidR="008D6213" w:rsidRDefault="008D6213" w:rsidP="00903AA2">
      <w:pPr>
        <w:rPr>
          <w:rFonts w:cs="Arial"/>
          <w:spacing w:val="7"/>
        </w:rPr>
      </w:pPr>
    </w:p>
    <w:p w14:paraId="5ED348EF" w14:textId="03C0C519" w:rsidR="00D40DD9" w:rsidRDefault="00A7608F" w:rsidP="00D40DD9">
      <w:pPr>
        <w:pStyle w:val="Heading1Numbered"/>
      </w:pPr>
      <w:bookmarkStart w:id="9" w:name="_Toc140479384"/>
      <w:r>
        <w:t>Volunteering Principles</w:t>
      </w:r>
      <w:bookmarkEnd w:id="9"/>
    </w:p>
    <w:p w14:paraId="4371303B" w14:textId="77777777" w:rsidR="00A7608F" w:rsidRDefault="00A7608F" w:rsidP="00A7608F">
      <w:pPr>
        <w:pStyle w:val="Text1Numbered"/>
      </w:pPr>
      <w:r>
        <w:t>This policy has been developed in line with MHA Values and should be understood and implemented within that context.</w:t>
      </w:r>
    </w:p>
    <w:p w14:paraId="68540E50" w14:textId="77777777" w:rsidR="00A7608F" w:rsidRDefault="00A7608F" w:rsidP="00A7608F">
      <w:pPr>
        <w:pStyle w:val="Text1Numbered"/>
        <w:numPr>
          <w:ilvl w:val="0"/>
          <w:numId w:val="0"/>
        </w:numPr>
        <w:ind w:left="1135"/>
      </w:pPr>
    </w:p>
    <w:p w14:paraId="7BB60CD1" w14:textId="77777777" w:rsidR="00A7608F" w:rsidRDefault="00A7608F" w:rsidP="00A7608F">
      <w:pPr>
        <w:pStyle w:val="Text1Numbered"/>
      </w:pPr>
      <w:r>
        <w:t>MHA will provide meaningful volunteering opportunities that meet the expectations of volunteers whilst also helping us achieve our mission.</w:t>
      </w:r>
    </w:p>
    <w:p w14:paraId="1216B480" w14:textId="77777777" w:rsidR="00A7608F" w:rsidRDefault="00A7608F" w:rsidP="00A7608F">
      <w:pPr>
        <w:pStyle w:val="Text1Numbered"/>
        <w:numPr>
          <w:ilvl w:val="0"/>
          <w:numId w:val="0"/>
        </w:numPr>
        <w:ind w:left="1135"/>
      </w:pPr>
    </w:p>
    <w:p w14:paraId="0C174EAC" w14:textId="77777777" w:rsidR="00A7608F" w:rsidRDefault="00A7608F" w:rsidP="00A7608F">
      <w:pPr>
        <w:pStyle w:val="Text1Numbered"/>
      </w:pPr>
      <w:r>
        <w:t>Volunteering is distinct from Work Placements or Work Experience both of which are managed outside of the volunteering program (see HR6.8).</w:t>
      </w:r>
    </w:p>
    <w:p w14:paraId="7531CA7D" w14:textId="77777777" w:rsidR="00A7608F" w:rsidRDefault="00A7608F" w:rsidP="00A7608F">
      <w:pPr>
        <w:pStyle w:val="Text1Numbered"/>
        <w:numPr>
          <w:ilvl w:val="0"/>
          <w:numId w:val="0"/>
        </w:numPr>
        <w:ind w:left="1135"/>
      </w:pPr>
    </w:p>
    <w:p w14:paraId="12320B7C" w14:textId="77777777" w:rsidR="00A7608F" w:rsidRDefault="00A7608F" w:rsidP="00A7608F">
      <w:pPr>
        <w:pStyle w:val="Text1Numbered"/>
      </w:pPr>
      <w:r>
        <w:t>MHA recognises that volunteers play an important part in all parts of the organisation and support older people directly or indirectly in a wide variety of roles, thus helping MHA to fulfil our strategic aims.</w:t>
      </w:r>
    </w:p>
    <w:p w14:paraId="24EF4115" w14:textId="77777777" w:rsidR="00A7608F" w:rsidRDefault="00A7608F" w:rsidP="00A7608F">
      <w:pPr>
        <w:pStyle w:val="Text1Numbered"/>
        <w:numPr>
          <w:ilvl w:val="0"/>
          <w:numId w:val="0"/>
        </w:numPr>
        <w:ind w:left="1135"/>
      </w:pPr>
    </w:p>
    <w:p w14:paraId="09A07C7A" w14:textId="77777777" w:rsidR="00A7608F" w:rsidRDefault="00A7608F" w:rsidP="00A7608F">
      <w:pPr>
        <w:pStyle w:val="Text1Numbered"/>
      </w:pPr>
      <w:r>
        <w:t>As a charity supporting older people, MHA welcome volunteers who are older people themselves.</w:t>
      </w:r>
    </w:p>
    <w:p w14:paraId="6CD4107C" w14:textId="77777777" w:rsidR="00A7608F" w:rsidRDefault="00A7608F" w:rsidP="00A7608F">
      <w:pPr>
        <w:pStyle w:val="Text1Numbered"/>
        <w:numPr>
          <w:ilvl w:val="0"/>
          <w:numId w:val="0"/>
        </w:numPr>
        <w:ind w:left="1135"/>
      </w:pPr>
    </w:p>
    <w:p w14:paraId="1E895FC8" w14:textId="77777777" w:rsidR="00A7608F" w:rsidRDefault="00A7608F" w:rsidP="00A7608F">
      <w:pPr>
        <w:pStyle w:val="Text1Numbered"/>
      </w:pPr>
      <w:r>
        <w:t>Volunteers are required to adhere to the policies and operational instructions of MHA at all times, including the policy on confidentiality [CP029], health and safety and equal opportunities [HR4.2].</w:t>
      </w:r>
    </w:p>
    <w:p w14:paraId="172C4384" w14:textId="77777777" w:rsidR="00A7608F" w:rsidRDefault="00A7608F" w:rsidP="00A7608F">
      <w:pPr>
        <w:pStyle w:val="Text1Numbered"/>
        <w:numPr>
          <w:ilvl w:val="0"/>
          <w:numId w:val="0"/>
        </w:numPr>
        <w:ind w:left="1135"/>
      </w:pPr>
    </w:p>
    <w:p w14:paraId="1826D9D9" w14:textId="34A5E8EB" w:rsidR="00A7608F" w:rsidRDefault="00A7608F" w:rsidP="00A7608F">
      <w:pPr>
        <w:pStyle w:val="Text1Numbered"/>
      </w:pPr>
      <w:r>
        <w:t>MHA provide appropriate insurance cover for our volunteers with regard to Public Liability, Personal Accident and Professional Indemnity insurance cover whilst volunteering for MHA.</w:t>
      </w:r>
    </w:p>
    <w:p w14:paraId="202CE2A1" w14:textId="7B69CA72" w:rsidR="00A7608F" w:rsidRDefault="00A7608F" w:rsidP="00A7608F">
      <w:pPr>
        <w:pStyle w:val="Heading1Numbered"/>
      </w:pPr>
      <w:bookmarkStart w:id="10" w:name="_Toc140479385"/>
      <w:r>
        <w:t>Volunteer Onboarding</w:t>
      </w:r>
      <w:bookmarkEnd w:id="10"/>
    </w:p>
    <w:p w14:paraId="1B43410C" w14:textId="77777777" w:rsidR="00A7608F" w:rsidRDefault="00A7608F" w:rsidP="00A7608F">
      <w:pPr>
        <w:pStyle w:val="Text1Numbered"/>
      </w:pPr>
      <w:r>
        <w:t>Each new volunteer will receive relevant information at the beginning of their time with MHA. They will be supported through their onboarding process by the Central Volunteering Team.  Each volunteer will receive induction and have training allocated. Volunteer induction will continue as they move into their preferred area of volunteering.  Local induction will continue to add instruction regarding the role, what they are expected to do, and all support tools and functions available to ensure a rich volunteering experience.</w:t>
      </w:r>
    </w:p>
    <w:p w14:paraId="7E233BDA" w14:textId="77777777" w:rsidR="00A7608F" w:rsidRDefault="00A7608F" w:rsidP="00A7608F">
      <w:pPr>
        <w:pStyle w:val="Text1Numbered"/>
        <w:numPr>
          <w:ilvl w:val="0"/>
          <w:numId w:val="0"/>
        </w:numPr>
        <w:ind w:left="1135"/>
      </w:pPr>
    </w:p>
    <w:p w14:paraId="28BC19E0" w14:textId="77777777" w:rsidR="00A7608F" w:rsidRDefault="00A7608F" w:rsidP="00A7608F">
      <w:pPr>
        <w:pStyle w:val="Text1Numbered"/>
      </w:pPr>
      <w:r>
        <w:t xml:space="preserve">All volunteers whose activities bring them into contact with vulnerable adults or children on a regular basis will need to complete a DBS check before they start their period of volunteering. </w:t>
      </w:r>
    </w:p>
    <w:p w14:paraId="53396DA2" w14:textId="77777777" w:rsidR="00A7608F" w:rsidRDefault="00A7608F" w:rsidP="00A7608F">
      <w:pPr>
        <w:pStyle w:val="Text1Numbered"/>
        <w:numPr>
          <w:ilvl w:val="0"/>
          <w:numId w:val="0"/>
        </w:numPr>
        <w:ind w:left="1135"/>
      </w:pPr>
    </w:p>
    <w:p w14:paraId="5D2FAFB9" w14:textId="77777777" w:rsidR="00A7608F" w:rsidRDefault="00A7608F" w:rsidP="00A7608F">
      <w:pPr>
        <w:pStyle w:val="Text1Numbered"/>
      </w:pPr>
      <w:r>
        <w:t xml:space="preserve">In order to determine whether a DBS check is necessary a risk assessment of the role will be carried out by the appropriate colleague. </w:t>
      </w:r>
    </w:p>
    <w:p w14:paraId="09753E2D" w14:textId="77777777" w:rsidR="00A7608F" w:rsidRDefault="00A7608F" w:rsidP="00A7608F">
      <w:pPr>
        <w:pStyle w:val="Text1Numbered"/>
        <w:numPr>
          <w:ilvl w:val="0"/>
          <w:numId w:val="0"/>
        </w:numPr>
        <w:ind w:left="1135"/>
      </w:pPr>
    </w:p>
    <w:p w14:paraId="71DF0263" w14:textId="77777777" w:rsidR="00A7608F" w:rsidRDefault="00A7608F" w:rsidP="00A7608F">
      <w:pPr>
        <w:pStyle w:val="Text1Numbered"/>
      </w:pPr>
      <w:r>
        <w:t>Not all volunteer roles will require a DBS check (for more information, see VP002 Volunteer Recruitment and Selection Policy)</w:t>
      </w:r>
    </w:p>
    <w:p w14:paraId="03FD2587" w14:textId="35862907" w:rsidR="00A7608F" w:rsidRPr="00A7608F" w:rsidRDefault="00A7608F" w:rsidP="00A7608F">
      <w:pPr>
        <w:pStyle w:val="Heading1Numbered"/>
      </w:pPr>
      <w:bookmarkStart w:id="11" w:name="_Toc140479386"/>
      <w:r>
        <w:t>Volunteer Development</w:t>
      </w:r>
      <w:bookmarkEnd w:id="11"/>
    </w:p>
    <w:p w14:paraId="4B8EB69A" w14:textId="26FE2599" w:rsidR="00A7608F" w:rsidRDefault="00A7608F" w:rsidP="00A7608F">
      <w:pPr>
        <w:pStyle w:val="Text1Numbered"/>
      </w:pPr>
      <w:r w:rsidRPr="00A7608F">
        <w:t xml:space="preserve">MHA are committed to developing our volunteers in line with our mission and values. In order to achieve this </w:t>
      </w:r>
      <w:r w:rsidR="000C3A9A" w:rsidRPr="00A7608F">
        <w:t>MHA,</w:t>
      </w:r>
      <w:r w:rsidRPr="00A7608F">
        <w:t xml:space="preserve"> provide our volunteers with training, guidance, and support from a named </w:t>
      </w:r>
      <w:r w:rsidR="00A8709C">
        <w:t>colleague</w:t>
      </w:r>
      <w:r w:rsidRPr="00A7608F">
        <w:t xml:space="preserve"> in relation to their work.</w:t>
      </w:r>
    </w:p>
    <w:p w14:paraId="1910CBA6" w14:textId="77777777" w:rsidR="00094755" w:rsidRDefault="00094755" w:rsidP="00094755">
      <w:pPr>
        <w:pStyle w:val="Text1Numbered"/>
        <w:numPr>
          <w:ilvl w:val="0"/>
          <w:numId w:val="0"/>
        </w:numPr>
        <w:ind w:left="1135"/>
      </w:pPr>
    </w:p>
    <w:p w14:paraId="2C1F795E" w14:textId="204586A3" w:rsidR="00094755" w:rsidRPr="00A7608F" w:rsidRDefault="00094755" w:rsidP="00094755">
      <w:pPr>
        <w:pStyle w:val="Text1Numbered"/>
      </w:pPr>
      <w:r>
        <w:t xml:space="preserve">Compliance training is required to protect our volunteers, residents, </w:t>
      </w:r>
      <w:r w:rsidR="000C3A9A">
        <w:t>members,</w:t>
      </w:r>
      <w:r>
        <w:t xml:space="preserve"> and colleagues from coming into any harm whilst supporting MHA.</w:t>
      </w:r>
    </w:p>
    <w:p w14:paraId="6726DCF1" w14:textId="77777777" w:rsidR="00094755" w:rsidRDefault="00094755" w:rsidP="00094755">
      <w:pPr>
        <w:pStyle w:val="Text1Numbered"/>
        <w:numPr>
          <w:ilvl w:val="0"/>
          <w:numId w:val="0"/>
        </w:numPr>
        <w:ind w:left="1135"/>
      </w:pPr>
    </w:p>
    <w:p w14:paraId="5BECC525" w14:textId="76D8E8EA" w:rsidR="00094755" w:rsidRDefault="00094755" w:rsidP="00094755">
      <w:pPr>
        <w:pStyle w:val="Text1Numbered"/>
      </w:pPr>
      <w:r>
        <w:t>Upon commencing as a volunteer at MHA, all volunteers are required to complete and keep up to date with relevant compliance training, as identified in MHA’s Core Training framework. This training will be automatically allocated to volunteers via MHA’s Learning Zone system based on the volunteer role(s).</w:t>
      </w:r>
    </w:p>
    <w:p w14:paraId="6AA1E159" w14:textId="74281233" w:rsidR="00D40DD9" w:rsidRDefault="00A7608F" w:rsidP="00A7608F">
      <w:pPr>
        <w:pStyle w:val="Heading1Numbered"/>
      </w:pPr>
      <w:bookmarkStart w:id="12" w:name="_Toc140479387"/>
      <w:r>
        <w:t>Problem Solving</w:t>
      </w:r>
      <w:bookmarkEnd w:id="12"/>
    </w:p>
    <w:p w14:paraId="39EB803B" w14:textId="79C45E02" w:rsidR="00A7608F" w:rsidRPr="00A7608F" w:rsidRDefault="00A7608F" w:rsidP="00A7608F">
      <w:pPr>
        <w:pStyle w:val="Text1Numbered"/>
      </w:pPr>
      <w:r w:rsidRPr="00A7608F">
        <w:t xml:space="preserve">MHA aim to identify and solve all problems informally at the earliest possible stage. There is a Problem-Solving Policy [VP006] to be followed when dealing with complaints from or concerning volunteers. </w:t>
      </w:r>
    </w:p>
    <w:p w14:paraId="5F4EFC15" w14:textId="77777777" w:rsidR="00A92CD7" w:rsidRPr="004C3545" w:rsidRDefault="009A0ED4" w:rsidP="00914FC1">
      <w:pPr>
        <w:pStyle w:val="Heading1Numbered"/>
      </w:pPr>
      <w:bookmarkStart w:id="13" w:name="_Toc140479388"/>
      <w:r w:rsidRPr="004C3545">
        <w:t xml:space="preserve">Roles </w:t>
      </w:r>
      <w:r w:rsidR="001310BB">
        <w:t>and</w:t>
      </w:r>
      <w:r w:rsidRPr="004C3545">
        <w:t xml:space="preserve"> Responsibilities</w:t>
      </w:r>
      <w:bookmarkEnd w:id="13"/>
    </w:p>
    <w:tbl>
      <w:tblPr>
        <w:tblStyle w:val="MHATable"/>
        <w:tblW w:w="0" w:type="auto"/>
        <w:tblLook w:val="04A0" w:firstRow="1" w:lastRow="0" w:firstColumn="1" w:lastColumn="0" w:noHBand="0" w:noVBand="1"/>
      </w:tblPr>
      <w:tblGrid>
        <w:gridCol w:w="2830"/>
        <w:gridCol w:w="6663"/>
      </w:tblGrid>
      <w:tr w:rsidR="00A92CD7" w:rsidRPr="004C3545" w14:paraId="779895CF" w14:textId="77777777" w:rsidTr="00D40DD9">
        <w:trPr>
          <w:cnfStyle w:val="100000000000" w:firstRow="1" w:lastRow="0" w:firstColumn="0" w:lastColumn="0" w:oddVBand="0" w:evenVBand="0" w:oddHBand="0" w:evenHBand="0" w:firstRowFirstColumn="0" w:firstRowLastColumn="0" w:lastRowFirstColumn="0" w:lastRowLastColumn="0"/>
        </w:trPr>
        <w:tc>
          <w:tcPr>
            <w:tcW w:w="2830" w:type="dxa"/>
          </w:tcPr>
          <w:p w14:paraId="742988EB" w14:textId="77777777" w:rsidR="00A92CD7" w:rsidRPr="004C3545" w:rsidRDefault="00A92CD7" w:rsidP="002D47FD">
            <w:r w:rsidRPr="004C3545">
              <w:t>Role</w:t>
            </w:r>
          </w:p>
        </w:tc>
        <w:tc>
          <w:tcPr>
            <w:tcW w:w="6663" w:type="dxa"/>
          </w:tcPr>
          <w:p w14:paraId="787690A9" w14:textId="77777777" w:rsidR="00A92CD7" w:rsidRPr="004C3545" w:rsidRDefault="00A92CD7" w:rsidP="002D47FD">
            <w:r w:rsidRPr="004C3545">
              <w:t>Responsibilities</w:t>
            </w:r>
          </w:p>
        </w:tc>
      </w:tr>
      <w:tr w:rsidR="00A7608F" w:rsidRPr="004C3545" w14:paraId="7E829A0A" w14:textId="77777777" w:rsidTr="00D40DD9">
        <w:tc>
          <w:tcPr>
            <w:tcW w:w="2830" w:type="dxa"/>
          </w:tcPr>
          <w:p w14:paraId="33B80E20" w14:textId="410892DE" w:rsidR="00A7608F" w:rsidRPr="00A7608F" w:rsidRDefault="00A7608F" w:rsidP="00A7608F">
            <w:pPr>
              <w:rPr>
                <w:b/>
                <w:bCs/>
              </w:rPr>
            </w:pPr>
            <w:r w:rsidRPr="00A7608F">
              <w:rPr>
                <w:rFonts w:cs="Arial"/>
                <w:b/>
                <w:bCs/>
                <w:szCs w:val="22"/>
              </w:rPr>
              <w:t xml:space="preserve">All MHA colleagues and volunteers </w:t>
            </w:r>
          </w:p>
        </w:tc>
        <w:tc>
          <w:tcPr>
            <w:tcW w:w="6663" w:type="dxa"/>
          </w:tcPr>
          <w:p w14:paraId="00F71AB4" w14:textId="77777777" w:rsidR="00A7608F" w:rsidRDefault="00A7608F" w:rsidP="00A7608F">
            <w:pPr>
              <w:widowControl w:val="0"/>
              <w:tabs>
                <w:tab w:val="left" w:pos="1785"/>
              </w:tabs>
              <w:autoSpaceDE w:val="0"/>
              <w:autoSpaceDN w:val="0"/>
              <w:adjustRightInd w:val="0"/>
              <w:spacing w:line="276" w:lineRule="auto"/>
              <w:rPr>
                <w:rFonts w:eastAsia="Times" w:cs="Arial"/>
                <w:szCs w:val="22"/>
              </w:rPr>
            </w:pPr>
            <w:r w:rsidRPr="00CF3089">
              <w:rPr>
                <w:rFonts w:eastAsia="Times" w:cs="Arial"/>
                <w:szCs w:val="22"/>
              </w:rPr>
              <w:t>It is everyone’s responsibility to cultivate a positive culture around volunteering engagement. This includes the language we use and how we communicate with our volunteers.</w:t>
            </w:r>
          </w:p>
          <w:p w14:paraId="22C82CE1" w14:textId="77777777" w:rsidR="00A7608F" w:rsidRDefault="00A7608F" w:rsidP="00A7608F">
            <w:pPr>
              <w:widowControl w:val="0"/>
              <w:tabs>
                <w:tab w:val="left" w:pos="1785"/>
              </w:tabs>
              <w:autoSpaceDE w:val="0"/>
              <w:autoSpaceDN w:val="0"/>
              <w:adjustRightInd w:val="0"/>
              <w:spacing w:line="276" w:lineRule="auto"/>
              <w:rPr>
                <w:rFonts w:eastAsia="Times" w:cs="Arial"/>
                <w:szCs w:val="22"/>
              </w:rPr>
            </w:pPr>
          </w:p>
          <w:p w14:paraId="3702B911" w14:textId="5E6D656D" w:rsidR="00A7608F" w:rsidRPr="004C3545" w:rsidRDefault="00A7608F" w:rsidP="00A7608F">
            <w:r>
              <w:rPr>
                <w:rFonts w:eastAsia="Times" w:cs="Arial"/>
                <w:szCs w:val="22"/>
              </w:rPr>
              <w:t xml:space="preserve">There is an </w:t>
            </w:r>
            <w:r w:rsidRPr="00460640">
              <w:rPr>
                <w:rFonts w:eastAsia="Times" w:cs="Arial"/>
                <w:szCs w:val="22"/>
              </w:rPr>
              <w:t xml:space="preserve">expectation and responsibility of all MHA’s </w:t>
            </w:r>
            <w:r w:rsidR="00A8709C">
              <w:rPr>
                <w:rFonts w:eastAsia="Times" w:cs="Arial"/>
                <w:szCs w:val="22"/>
              </w:rPr>
              <w:t>colleagues</w:t>
            </w:r>
            <w:r w:rsidRPr="00460640">
              <w:rPr>
                <w:rFonts w:eastAsia="Times" w:cs="Arial"/>
                <w:szCs w:val="22"/>
              </w:rPr>
              <w:t xml:space="preserve"> to engage and consider where volunteers can be involved and add value to their work.</w:t>
            </w:r>
          </w:p>
        </w:tc>
      </w:tr>
      <w:tr w:rsidR="00A7608F" w:rsidRPr="004C3545" w14:paraId="21442FFD" w14:textId="77777777" w:rsidTr="00D40DD9">
        <w:tc>
          <w:tcPr>
            <w:tcW w:w="2830" w:type="dxa"/>
          </w:tcPr>
          <w:p w14:paraId="735C5BCE" w14:textId="4ED0143C" w:rsidR="00A7608F" w:rsidRPr="00A7608F" w:rsidRDefault="00A7608F" w:rsidP="00A7608F">
            <w:pPr>
              <w:rPr>
                <w:b/>
                <w:bCs/>
              </w:rPr>
            </w:pPr>
            <w:r w:rsidRPr="00A7608F">
              <w:rPr>
                <w:rFonts w:cs="Arial"/>
                <w:b/>
                <w:bCs/>
                <w:szCs w:val="22"/>
              </w:rPr>
              <w:t>Volunteering Manager</w:t>
            </w:r>
          </w:p>
        </w:tc>
        <w:tc>
          <w:tcPr>
            <w:tcW w:w="6663" w:type="dxa"/>
          </w:tcPr>
          <w:p w14:paraId="393AD683" w14:textId="1FA5180B" w:rsidR="00A7608F" w:rsidRPr="004C3545" w:rsidRDefault="00A7608F" w:rsidP="00A7608F">
            <w:r w:rsidRPr="00801459">
              <w:rPr>
                <w:rFonts w:cs="Arial"/>
                <w:szCs w:val="22"/>
              </w:rPr>
              <w:t xml:space="preserve">The upkeep of this policy </w:t>
            </w:r>
            <w:r>
              <w:rPr>
                <w:rFonts w:cs="Arial"/>
                <w:szCs w:val="22"/>
              </w:rPr>
              <w:t>is the responsibility of the</w:t>
            </w:r>
            <w:r w:rsidRPr="00801459">
              <w:rPr>
                <w:rFonts w:cs="Arial"/>
                <w:szCs w:val="22"/>
              </w:rPr>
              <w:t xml:space="preserve"> Volunteering Manager with sign off from the Executive Leadership Team </w:t>
            </w:r>
            <w:r>
              <w:rPr>
                <w:rFonts w:cs="Arial"/>
                <w:szCs w:val="22"/>
              </w:rPr>
              <w:t xml:space="preserve">(ELT) </w:t>
            </w:r>
            <w:r w:rsidRPr="00801459">
              <w:rPr>
                <w:rFonts w:cs="Arial"/>
                <w:szCs w:val="22"/>
              </w:rPr>
              <w:t xml:space="preserve">and Trustees </w:t>
            </w:r>
            <w:r>
              <w:rPr>
                <w:rFonts w:cs="Arial"/>
                <w:szCs w:val="22"/>
              </w:rPr>
              <w:t>where</w:t>
            </w:r>
            <w:r w:rsidRPr="00801459">
              <w:rPr>
                <w:rFonts w:cs="Arial"/>
                <w:szCs w:val="22"/>
              </w:rPr>
              <w:t xml:space="preserve"> appropriate.</w:t>
            </w:r>
            <w:r>
              <w:rPr>
                <w:rFonts w:cs="Arial"/>
                <w:szCs w:val="22"/>
              </w:rPr>
              <w:t xml:space="preserve"> This policy will be reviewed every 3 years in line with MHA’s volunteering activity.</w:t>
            </w:r>
          </w:p>
        </w:tc>
      </w:tr>
    </w:tbl>
    <w:p w14:paraId="4FF1D2ED" w14:textId="77777777" w:rsidR="00244765" w:rsidRPr="004C3545" w:rsidRDefault="00244765" w:rsidP="00903AA2">
      <w:pPr>
        <w:rPr>
          <w:rFonts w:cs="Arial"/>
          <w:spacing w:val="7"/>
        </w:rPr>
      </w:pPr>
    </w:p>
    <w:p w14:paraId="0B35BC05" w14:textId="77777777" w:rsidR="00DF67AA" w:rsidRDefault="009A0ED4" w:rsidP="00D558F5">
      <w:pPr>
        <w:pStyle w:val="Heading1Numbered"/>
      </w:pPr>
      <w:bookmarkStart w:id="14" w:name="_Toc140479389"/>
      <w:r w:rsidRPr="00B2494E">
        <w:t>Training</w:t>
      </w:r>
      <w:r w:rsidR="002B5CDA" w:rsidRPr="00B2494E">
        <w:t xml:space="preserve"> </w:t>
      </w:r>
      <w:r w:rsidR="001310BB" w:rsidRPr="00B2494E">
        <w:t>and</w:t>
      </w:r>
      <w:r w:rsidR="002B5CDA" w:rsidRPr="00B2494E">
        <w:t xml:space="preserve"> Monitoring</w:t>
      </w:r>
      <w:bookmarkEnd w:id="14"/>
    </w:p>
    <w:p w14:paraId="03158A03" w14:textId="0B58B06E" w:rsidR="00A7608F" w:rsidRPr="002E4B12" w:rsidRDefault="00082857" w:rsidP="00094755">
      <w:pPr>
        <w:pStyle w:val="Text1Numbered"/>
      </w:pPr>
      <w:r>
        <w:t xml:space="preserve">Compliance is assessed through direct observation, </w:t>
      </w:r>
      <w:r w:rsidR="00306ED7">
        <w:t>monitoring,</w:t>
      </w:r>
      <w:r>
        <w:t xml:space="preserve"> and supervision of our colleagues</w:t>
      </w:r>
      <w:r w:rsidR="00094755">
        <w:t xml:space="preserve"> and volunteers.</w:t>
      </w:r>
    </w:p>
    <w:p w14:paraId="2DB87303" w14:textId="77777777" w:rsidR="00DF67AA" w:rsidRDefault="000C7997" w:rsidP="00D558F5">
      <w:pPr>
        <w:pStyle w:val="Heading1Numbered"/>
      </w:pPr>
      <w:bookmarkStart w:id="15" w:name="_Toc140479390"/>
      <w:r w:rsidRPr="000C7997">
        <w:t>Communication and Dissemination</w:t>
      </w:r>
      <w:bookmarkEnd w:id="15"/>
    </w:p>
    <w:p w14:paraId="1820F9A2" w14:textId="77777777" w:rsidR="00D47ABA" w:rsidRDefault="00D47ABA" w:rsidP="00D47ABA">
      <w:pPr>
        <w:pStyle w:val="Text1Numbered"/>
      </w:pPr>
      <w:r>
        <w:t>This policy is disseminated and implemented within all MHA services through MHA’s channels of communication.</w:t>
      </w:r>
    </w:p>
    <w:p w14:paraId="44157087" w14:textId="77777777" w:rsidR="00D47ABA" w:rsidRDefault="00D47ABA" w:rsidP="00082857">
      <w:pPr>
        <w:pStyle w:val="Text1Numbered"/>
        <w:numPr>
          <w:ilvl w:val="0"/>
          <w:numId w:val="0"/>
        </w:numPr>
      </w:pPr>
    </w:p>
    <w:p w14:paraId="058AB91F" w14:textId="77777777" w:rsidR="00D47ABA" w:rsidRDefault="00D47ABA" w:rsidP="00D47ABA">
      <w:pPr>
        <w:pStyle w:val="Text1Numbered"/>
      </w:pPr>
      <w:r>
        <w:t>Each colleague’s line manager must ensure that all teams are aware of their roles, responsibilities.</w:t>
      </w:r>
    </w:p>
    <w:p w14:paraId="35EC9814" w14:textId="77777777" w:rsidR="00D47ABA" w:rsidRDefault="00D47ABA" w:rsidP="00D47ABA">
      <w:pPr>
        <w:pStyle w:val="Text1Numbered"/>
        <w:numPr>
          <w:ilvl w:val="0"/>
          <w:numId w:val="0"/>
        </w:numPr>
      </w:pPr>
    </w:p>
    <w:p w14:paraId="50930B7C" w14:textId="77777777" w:rsidR="00D47ABA" w:rsidRDefault="00D47ABA" w:rsidP="00D47ABA">
      <w:pPr>
        <w:pStyle w:val="Text1Numbered"/>
      </w:pPr>
      <w:r>
        <w:t>This policy will be available to the people we support and their representatives in alternate formats, as required.</w:t>
      </w:r>
    </w:p>
    <w:p w14:paraId="342C742E" w14:textId="77777777" w:rsidR="00D47ABA" w:rsidRDefault="00D47ABA" w:rsidP="00D47ABA">
      <w:pPr>
        <w:pStyle w:val="Text1Numbered"/>
        <w:numPr>
          <w:ilvl w:val="0"/>
          <w:numId w:val="0"/>
        </w:numPr>
      </w:pPr>
    </w:p>
    <w:p w14:paraId="2871E446"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344F29EC" w14:textId="77777777" w:rsidR="00D47ABA" w:rsidRDefault="00D47ABA" w:rsidP="00D47ABA">
      <w:pPr>
        <w:pStyle w:val="Text1Numbered"/>
        <w:numPr>
          <w:ilvl w:val="0"/>
          <w:numId w:val="0"/>
        </w:numPr>
      </w:pPr>
    </w:p>
    <w:p w14:paraId="5C080A11" w14:textId="77777777" w:rsidR="00386B5D" w:rsidRPr="00386B5D" w:rsidRDefault="00D47ABA" w:rsidP="0035054F">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3B770505" w14:textId="77777777" w:rsidR="00DF67AA" w:rsidRDefault="00772CA5" w:rsidP="00D558F5">
      <w:pPr>
        <w:pStyle w:val="Heading1Numbered"/>
      </w:pPr>
      <w:bookmarkStart w:id="16" w:name="_Toc140479391"/>
      <w:r>
        <w:t xml:space="preserve">EDI </w:t>
      </w:r>
      <w:r w:rsidR="000C7997">
        <w:t>Impact Assessments</w:t>
      </w:r>
      <w:bookmarkEnd w:id="16"/>
    </w:p>
    <w:p w14:paraId="143AB123" w14:textId="3144D56C" w:rsidR="00A7608F" w:rsidRPr="00A7608F" w:rsidRDefault="00A7608F" w:rsidP="00A7608F">
      <w:pPr>
        <w:pStyle w:val="Text1Numbered"/>
      </w:pPr>
      <w:r w:rsidRPr="00A7608F">
        <w:t>MHA is committed to promoting equality, diversity, and inclusion (EDI) both in the provision of services to those using MHA services including Care Homes, Retirement Living, and MHA Communities, and as an employer where colleagues and volunteers can reach their full potential, contribute effectively, and share their unique ideas and insights. We see equality, diversity, and inclusion not only as part of our inclusive culture, but essential to our continued success.</w:t>
      </w:r>
      <w:r>
        <w:t xml:space="preserve"> </w:t>
      </w:r>
      <w:r w:rsidRPr="00A7608F">
        <w:t>Volunteers are selected solely on the basis of an individual’s suitability for the role.</w:t>
      </w:r>
    </w:p>
    <w:p w14:paraId="3B90DAF9" w14:textId="77777777" w:rsidR="00A7608F" w:rsidRDefault="00A7608F" w:rsidP="00A7608F">
      <w:pPr>
        <w:pStyle w:val="Text1Numbered"/>
        <w:numPr>
          <w:ilvl w:val="0"/>
          <w:numId w:val="0"/>
        </w:numPr>
        <w:ind w:left="1135"/>
      </w:pPr>
    </w:p>
    <w:p w14:paraId="6008584C" w14:textId="43C36F47" w:rsidR="00D47ABA" w:rsidRPr="002E4B12" w:rsidRDefault="00D47ABA" w:rsidP="002E4B12">
      <w:pPr>
        <w:pStyle w:val="Text1Numbered"/>
      </w:pPr>
      <w:r>
        <w:t>Equality, Diversity, and Impact Assessment to be confirmed.</w:t>
      </w:r>
    </w:p>
    <w:p w14:paraId="3B304063" w14:textId="77777777" w:rsidR="000C7997" w:rsidRDefault="000C7997" w:rsidP="00D558F5">
      <w:pPr>
        <w:pStyle w:val="Heading1Numbered"/>
      </w:pPr>
      <w:bookmarkStart w:id="17" w:name="_Toc140479392"/>
      <w:r w:rsidRPr="00B2494E">
        <w:t>Resources</w:t>
      </w:r>
      <w:bookmarkEnd w:id="17"/>
      <w:r w:rsidRPr="00B2494E">
        <w:t xml:space="preserve"> </w:t>
      </w:r>
    </w:p>
    <w:p w14:paraId="3A4351A2" w14:textId="77777777" w:rsidR="00A7608F" w:rsidRDefault="00CC6FF8" w:rsidP="00A7608F">
      <w:pPr>
        <w:pStyle w:val="Textlistindented-bullet"/>
      </w:pPr>
      <w:hyperlink r:id="rId10" w:history="1">
        <w:r w:rsidR="00A7608F" w:rsidRPr="001F48BF">
          <w:rPr>
            <w:rStyle w:val="Hyperlink"/>
          </w:rPr>
          <w:t>HR4.2: Equality Inclusion and Diversity Policy (Equal Opportunities)</w:t>
        </w:r>
      </w:hyperlink>
    </w:p>
    <w:p w14:paraId="439F8C1E" w14:textId="77777777" w:rsidR="00A7608F" w:rsidRDefault="00CC6FF8" w:rsidP="00A7608F">
      <w:pPr>
        <w:pStyle w:val="Textlistindented-bullet"/>
      </w:pPr>
      <w:hyperlink r:id="rId11" w:history="1">
        <w:r w:rsidR="00A7608F" w:rsidRPr="001F48BF">
          <w:rPr>
            <w:rStyle w:val="Hyperlink"/>
          </w:rPr>
          <w:t>CP029: Confidentiality in Service Locations Policy</w:t>
        </w:r>
      </w:hyperlink>
    </w:p>
    <w:p w14:paraId="5ACF33B0" w14:textId="77777777" w:rsidR="00A7608F" w:rsidRPr="00801459" w:rsidRDefault="00CC6FF8" w:rsidP="00A7608F">
      <w:pPr>
        <w:pStyle w:val="Textlistindented-bullet"/>
      </w:pPr>
      <w:hyperlink r:id="rId12" w:history="1">
        <w:r w:rsidR="00A7608F" w:rsidRPr="001F48BF">
          <w:rPr>
            <w:rStyle w:val="Hyperlink"/>
          </w:rPr>
          <w:t>Health &amp; Safety (HS) Policies</w:t>
        </w:r>
      </w:hyperlink>
    </w:p>
    <w:p w14:paraId="7504E111" w14:textId="77777777" w:rsidR="00A7608F" w:rsidRDefault="00CC6FF8" w:rsidP="00A7608F">
      <w:pPr>
        <w:pStyle w:val="Textlistindented-bullet"/>
      </w:pPr>
      <w:hyperlink r:id="rId13" w:history="1">
        <w:r w:rsidR="00A7608F" w:rsidRPr="00801459">
          <w:rPr>
            <w:rStyle w:val="Hyperlink"/>
          </w:rPr>
          <w:t>VP002: Volunteer - Recruitment and Selection Policy</w:t>
        </w:r>
      </w:hyperlink>
    </w:p>
    <w:p w14:paraId="16EB51E4" w14:textId="77777777" w:rsidR="00A7608F" w:rsidRDefault="00CC6FF8" w:rsidP="00A7608F">
      <w:pPr>
        <w:pStyle w:val="Textlistindented-bullet"/>
      </w:pPr>
      <w:hyperlink r:id="rId14" w:history="1">
        <w:r w:rsidR="00A7608F" w:rsidRPr="00801459">
          <w:rPr>
            <w:rStyle w:val="Hyperlink"/>
          </w:rPr>
          <w:t>VP004: Volunteer - Expenses Policy</w:t>
        </w:r>
      </w:hyperlink>
    </w:p>
    <w:p w14:paraId="182CE650" w14:textId="77777777" w:rsidR="00A7608F" w:rsidRDefault="00CC6FF8" w:rsidP="00A7608F">
      <w:pPr>
        <w:pStyle w:val="Textlistindented-bullet"/>
      </w:pPr>
      <w:hyperlink r:id="rId15" w:history="1">
        <w:r w:rsidR="00A7608F" w:rsidRPr="00801459">
          <w:rPr>
            <w:rStyle w:val="Hyperlink"/>
          </w:rPr>
          <w:t>VP006: Volunteer - Problem Solving Policy</w:t>
        </w:r>
      </w:hyperlink>
    </w:p>
    <w:p w14:paraId="4FCC0A75" w14:textId="77777777" w:rsidR="00DF67AA" w:rsidRDefault="009A0ED4" w:rsidP="002E4B12">
      <w:pPr>
        <w:pStyle w:val="Heading1Numbered"/>
      </w:pPr>
      <w:bookmarkStart w:id="18" w:name="_Toc140479393"/>
      <w:r w:rsidRPr="00DC7F16">
        <w:t>Version Control</w:t>
      </w:r>
      <w:bookmarkEnd w:id="18"/>
    </w:p>
    <w:tbl>
      <w:tblPr>
        <w:tblStyle w:val="MHATable"/>
        <w:tblW w:w="9549" w:type="dxa"/>
        <w:tblLayout w:type="fixed"/>
        <w:tblLook w:val="04A0" w:firstRow="1" w:lastRow="0" w:firstColumn="1" w:lastColumn="0" w:noHBand="0" w:noVBand="1"/>
      </w:tblPr>
      <w:tblGrid>
        <w:gridCol w:w="1271"/>
        <w:gridCol w:w="1134"/>
        <w:gridCol w:w="3578"/>
        <w:gridCol w:w="2376"/>
        <w:gridCol w:w="1190"/>
      </w:tblGrid>
      <w:tr w:rsidR="00F42A5B" w:rsidRPr="005E08A1" w14:paraId="7B22258C" w14:textId="77777777" w:rsidTr="00A7608F">
        <w:trPr>
          <w:cnfStyle w:val="100000000000" w:firstRow="1" w:lastRow="0" w:firstColumn="0" w:lastColumn="0" w:oddVBand="0" w:evenVBand="0" w:oddHBand="0" w:evenHBand="0" w:firstRowFirstColumn="0" w:firstRowLastColumn="0" w:lastRowFirstColumn="0" w:lastRowLastColumn="0"/>
          <w:trHeight w:val="830"/>
        </w:trPr>
        <w:tc>
          <w:tcPr>
            <w:tcW w:w="1271" w:type="dxa"/>
          </w:tcPr>
          <w:p w14:paraId="61BA0CE2" w14:textId="77777777" w:rsidR="00F30A5F" w:rsidRPr="005E08A1" w:rsidRDefault="00F30A5F" w:rsidP="002D47FD">
            <w:r w:rsidRPr="005E08A1">
              <w:t>Version</w:t>
            </w:r>
          </w:p>
        </w:tc>
        <w:tc>
          <w:tcPr>
            <w:tcW w:w="1134" w:type="dxa"/>
          </w:tcPr>
          <w:p w14:paraId="398D26E6" w14:textId="77777777" w:rsidR="00F30A5F" w:rsidRPr="005E08A1" w:rsidRDefault="00F30A5F" w:rsidP="002D47FD">
            <w:r w:rsidRPr="005E08A1">
              <w:t>Version Date</w:t>
            </w:r>
          </w:p>
        </w:tc>
        <w:tc>
          <w:tcPr>
            <w:tcW w:w="3578" w:type="dxa"/>
          </w:tcPr>
          <w:p w14:paraId="771A1580" w14:textId="77777777" w:rsidR="00F30A5F" w:rsidRPr="005E08A1" w:rsidRDefault="00F30A5F" w:rsidP="002D47FD">
            <w:r w:rsidRPr="005E08A1">
              <w:t xml:space="preserve">Revision Description / Summary of Changes </w:t>
            </w:r>
          </w:p>
        </w:tc>
        <w:tc>
          <w:tcPr>
            <w:tcW w:w="2376" w:type="dxa"/>
          </w:tcPr>
          <w:p w14:paraId="3EB7C86F" w14:textId="77777777" w:rsidR="00F30A5F" w:rsidRPr="005E08A1" w:rsidRDefault="00F30A5F" w:rsidP="002D47FD">
            <w:r w:rsidRPr="005E08A1">
              <w:t>Author</w:t>
            </w:r>
          </w:p>
        </w:tc>
        <w:tc>
          <w:tcPr>
            <w:tcW w:w="1190" w:type="dxa"/>
          </w:tcPr>
          <w:p w14:paraId="2B912AC2" w14:textId="77777777" w:rsidR="00F30A5F" w:rsidRPr="005E08A1" w:rsidRDefault="00F30A5F" w:rsidP="002D47FD">
            <w:r w:rsidRPr="005E08A1">
              <w:t>Next Review Date</w:t>
            </w:r>
          </w:p>
        </w:tc>
      </w:tr>
      <w:tr w:rsidR="00F42A5B" w:rsidRPr="004C3545" w14:paraId="5A056374" w14:textId="77777777" w:rsidTr="00A7608F">
        <w:trPr>
          <w:trHeight w:val="407"/>
        </w:trPr>
        <w:tc>
          <w:tcPr>
            <w:tcW w:w="1271" w:type="dxa"/>
          </w:tcPr>
          <w:p w14:paraId="68075A3A" w14:textId="78AFD127" w:rsidR="00F30A5F" w:rsidRDefault="00A7608F" w:rsidP="002D47FD">
            <w:r>
              <w:t>3</w:t>
            </w:r>
          </w:p>
        </w:tc>
        <w:tc>
          <w:tcPr>
            <w:tcW w:w="1134" w:type="dxa"/>
          </w:tcPr>
          <w:p w14:paraId="7D1D5256" w14:textId="26FB0C47" w:rsidR="00F30A5F" w:rsidRPr="004C3545" w:rsidRDefault="00A7608F" w:rsidP="002D47FD">
            <w:r>
              <w:t>July 2023</w:t>
            </w:r>
          </w:p>
        </w:tc>
        <w:tc>
          <w:tcPr>
            <w:tcW w:w="3578" w:type="dxa"/>
          </w:tcPr>
          <w:p w14:paraId="0108575B" w14:textId="7F8C8148" w:rsidR="00A8709C" w:rsidRDefault="00A8709C" w:rsidP="00A8709C">
            <w:pPr>
              <w:pStyle w:val="Textlist-bullet"/>
            </w:pPr>
            <w:r>
              <w:t>The policy has been updated to reflect the framework of volunteering within MHA, including role of the Central</w:t>
            </w:r>
            <w:r w:rsidR="00EA5F05">
              <w:t xml:space="preserve"> V</w:t>
            </w:r>
            <w:r>
              <w:t>olunteering Team</w:t>
            </w:r>
            <w:r w:rsidR="00EA5F05">
              <w:t>.</w:t>
            </w:r>
          </w:p>
          <w:p w14:paraId="68ECA354" w14:textId="5338E887" w:rsidR="00F42A5B" w:rsidRPr="004C3545" w:rsidRDefault="00A8709C" w:rsidP="00A8709C">
            <w:pPr>
              <w:pStyle w:val="Textlist-bullet"/>
            </w:pPr>
            <w:r>
              <w:t>Inclusion of clear levels of responsibility within the policy.</w:t>
            </w:r>
          </w:p>
        </w:tc>
        <w:tc>
          <w:tcPr>
            <w:tcW w:w="2376" w:type="dxa"/>
          </w:tcPr>
          <w:p w14:paraId="7D18A89C" w14:textId="77777777" w:rsidR="00066761" w:rsidRDefault="00A7608F" w:rsidP="00A7608F">
            <w:pPr>
              <w:pStyle w:val="Textlist-bullet"/>
            </w:pPr>
            <w:r>
              <w:t>Volunteer Manager</w:t>
            </w:r>
          </w:p>
          <w:p w14:paraId="44BD137A" w14:textId="77777777" w:rsidR="00A7608F" w:rsidRDefault="00A7608F" w:rsidP="00A7608F">
            <w:pPr>
              <w:pStyle w:val="Textlist-bullet"/>
            </w:pPr>
            <w:r>
              <w:t>Head of Volunteering</w:t>
            </w:r>
          </w:p>
          <w:p w14:paraId="5942B18B" w14:textId="50CBAA6E" w:rsidR="00A7608F" w:rsidRPr="004C3545" w:rsidRDefault="00A7608F" w:rsidP="00A7608F">
            <w:pPr>
              <w:pStyle w:val="Textlist-bullet"/>
            </w:pPr>
            <w:r>
              <w:t>Standards and Policy Manager</w:t>
            </w:r>
          </w:p>
        </w:tc>
        <w:tc>
          <w:tcPr>
            <w:tcW w:w="1190" w:type="dxa"/>
          </w:tcPr>
          <w:p w14:paraId="6EA20E24" w14:textId="0A5878F1" w:rsidR="00F30A5F" w:rsidRPr="004C3545" w:rsidRDefault="00A7608F" w:rsidP="002D47FD">
            <w:r>
              <w:t>July 202</w:t>
            </w:r>
            <w:r w:rsidR="005C0670">
              <w:t>6</w:t>
            </w:r>
          </w:p>
        </w:tc>
      </w:tr>
    </w:tbl>
    <w:p w14:paraId="1BC53408" w14:textId="77777777" w:rsidR="002D47FD" w:rsidRPr="004C3545" w:rsidRDefault="002D47FD" w:rsidP="00265378">
      <w:pPr>
        <w:pStyle w:val="Text"/>
      </w:pPr>
    </w:p>
    <w:sectPr w:rsidR="002D47FD" w:rsidRPr="004C3545" w:rsidSect="00847753">
      <w:headerReference w:type="default" r:id="rId16"/>
      <w:footerReference w:type="default" r:id="rId17"/>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2F9C" w14:textId="77777777" w:rsidR="00CC6FF8" w:rsidRDefault="00CC6FF8" w:rsidP="001876E7">
      <w:pPr>
        <w:spacing w:line="240" w:lineRule="auto"/>
      </w:pPr>
      <w:r>
        <w:separator/>
      </w:r>
    </w:p>
  </w:endnote>
  <w:endnote w:type="continuationSeparator" w:id="0">
    <w:p w14:paraId="724D4F2D" w14:textId="77777777" w:rsidR="00CC6FF8" w:rsidRDefault="00CC6FF8"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214A4FB" w14:textId="77777777" w:rsidR="00764B4C" w:rsidRPr="00764B4C" w:rsidRDefault="00764B4C" w:rsidP="002E4B12">
            <w:pPr>
              <w:pStyle w:val="FooterText"/>
              <w:jc w:val="center"/>
              <w:rPr>
                <w:rFonts w:cs="Arial"/>
                <w:spacing w:val="7"/>
              </w:rPr>
            </w:pPr>
          </w:p>
          <w:p w14:paraId="6D09D572" w14:textId="4443AB70" w:rsidR="003865D9" w:rsidRDefault="00BC6371" w:rsidP="00454821">
            <w:pPr>
              <w:pStyle w:val="FooterText"/>
              <w:tabs>
                <w:tab w:val="right" w:pos="9498"/>
              </w:tabs>
              <w:jc w:val="left"/>
            </w:pPr>
            <w:r>
              <w:t>VP001 Volunteer Policy</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B89E" w14:textId="77777777" w:rsidR="00CC6FF8" w:rsidRDefault="00CC6FF8" w:rsidP="001876E7">
      <w:pPr>
        <w:spacing w:line="240" w:lineRule="auto"/>
      </w:pPr>
      <w:r>
        <w:separator/>
      </w:r>
    </w:p>
  </w:footnote>
  <w:footnote w:type="continuationSeparator" w:id="0">
    <w:p w14:paraId="2D1CAEBF" w14:textId="77777777" w:rsidR="00CC6FF8" w:rsidRDefault="00CC6FF8"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D61F"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B3C9A08" wp14:editId="5EEE3032">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B27F1A"/>
    <w:multiLevelType w:val="hybridMultilevel"/>
    <w:tmpl w:val="CB005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20"/>
  </w:num>
  <w:num w:numId="7" w16cid:durableId="139810974">
    <w:abstractNumId w:val="5"/>
  </w:num>
  <w:num w:numId="8" w16cid:durableId="478111977">
    <w:abstractNumId w:val="16"/>
  </w:num>
  <w:num w:numId="9" w16cid:durableId="672680783">
    <w:abstractNumId w:val="15"/>
  </w:num>
  <w:num w:numId="10" w16cid:durableId="582229400">
    <w:abstractNumId w:val="23"/>
  </w:num>
  <w:num w:numId="11" w16cid:durableId="1068845125">
    <w:abstractNumId w:val="17"/>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3"/>
  </w:num>
  <w:num w:numId="20" w16cid:durableId="1927031610">
    <w:abstractNumId w:val="7"/>
  </w:num>
  <w:num w:numId="21" w16cid:durableId="149368801">
    <w:abstractNumId w:val="9"/>
  </w:num>
  <w:num w:numId="22" w16cid:durableId="537015620">
    <w:abstractNumId w:val="24"/>
  </w:num>
  <w:num w:numId="23" w16cid:durableId="673651929">
    <w:abstractNumId w:val="22"/>
  </w:num>
  <w:num w:numId="24" w16cid:durableId="1700010823">
    <w:abstractNumId w:val="0"/>
  </w:num>
  <w:num w:numId="25" w16cid:durableId="1459950268">
    <w:abstractNumId w:val="25"/>
  </w:num>
  <w:num w:numId="26" w16cid:durableId="2024210744">
    <w:abstractNumId w:val="12"/>
  </w:num>
  <w:num w:numId="27" w16cid:durableId="731196969">
    <w:abstractNumId w:val="6"/>
  </w:num>
  <w:num w:numId="28" w16cid:durableId="1159078511">
    <w:abstractNumId w:val="21"/>
  </w:num>
  <w:num w:numId="29" w16cid:durableId="580483559">
    <w:abstractNumId w:val="19"/>
  </w:num>
  <w:num w:numId="30" w16cid:durableId="1034160516">
    <w:abstractNumId w:val="10"/>
  </w:num>
  <w:num w:numId="31" w16cid:durableId="1233661081">
    <w:abstractNumId w:val="14"/>
  </w:num>
  <w:num w:numId="32" w16cid:durableId="1166898073">
    <w:abstractNumId w:val="4"/>
  </w:num>
  <w:num w:numId="33" w16cid:durableId="191504904">
    <w:abstractNumId w:val="18"/>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6298476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71"/>
    <w:rsid w:val="00010148"/>
    <w:rsid w:val="00011E5A"/>
    <w:rsid w:val="0002533A"/>
    <w:rsid w:val="00053226"/>
    <w:rsid w:val="000553E0"/>
    <w:rsid w:val="000646E5"/>
    <w:rsid w:val="00066761"/>
    <w:rsid w:val="00070650"/>
    <w:rsid w:val="000771AD"/>
    <w:rsid w:val="00082857"/>
    <w:rsid w:val="00094755"/>
    <w:rsid w:val="000C3A9A"/>
    <w:rsid w:val="000C7997"/>
    <w:rsid w:val="000D41D5"/>
    <w:rsid w:val="000F25D4"/>
    <w:rsid w:val="000F64C5"/>
    <w:rsid w:val="001155F8"/>
    <w:rsid w:val="001248CF"/>
    <w:rsid w:val="001310BB"/>
    <w:rsid w:val="0013340B"/>
    <w:rsid w:val="00140C68"/>
    <w:rsid w:val="00147C3B"/>
    <w:rsid w:val="001876E7"/>
    <w:rsid w:val="00194A22"/>
    <w:rsid w:val="001B5C40"/>
    <w:rsid w:val="001C1A88"/>
    <w:rsid w:val="001E4229"/>
    <w:rsid w:val="00244765"/>
    <w:rsid w:val="00247E69"/>
    <w:rsid w:val="002543A7"/>
    <w:rsid w:val="00261059"/>
    <w:rsid w:val="00263D11"/>
    <w:rsid w:val="00265378"/>
    <w:rsid w:val="00273C90"/>
    <w:rsid w:val="00276188"/>
    <w:rsid w:val="00276732"/>
    <w:rsid w:val="00283169"/>
    <w:rsid w:val="002A538B"/>
    <w:rsid w:val="002B5CDA"/>
    <w:rsid w:val="002C0EC0"/>
    <w:rsid w:val="002D47FD"/>
    <w:rsid w:val="002E4B12"/>
    <w:rsid w:val="00302641"/>
    <w:rsid w:val="00306ED7"/>
    <w:rsid w:val="00322ED2"/>
    <w:rsid w:val="003256F1"/>
    <w:rsid w:val="003266FD"/>
    <w:rsid w:val="0033139F"/>
    <w:rsid w:val="00345825"/>
    <w:rsid w:val="0035054F"/>
    <w:rsid w:val="003510EE"/>
    <w:rsid w:val="003865D9"/>
    <w:rsid w:val="00386B5D"/>
    <w:rsid w:val="0038720A"/>
    <w:rsid w:val="003B2431"/>
    <w:rsid w:val="003C04D5"/>
    <w:rsid w:val="003C59CC"/>
    <w:rsid w:val="003F52EA"/>
    <w:rsid w:val="004128E7"/>
    <w:rsid w:val="0042795E"/>
    <w:rsid w:val="0043268D"/>
    <w:rsid w:val="004428C9"/>
    <w:rsid w:val="00451A46"/>
    <w:rsid w:val="00454821"/>
    <w:rsid w:val="0045562B"/>
    <w:rsid w:val="00471203"/>
    <w:rsid w:val="004726A7"/>
    <w:rsid w:val="00480B30"/>
    <w:rsid w:val="004924CF"/>
    <w:rsid w:val="004A48AB"/>
    <w:rsid w:val="004A5F05"/>
    <w:rsid w:val="004B36CD"/>
    <w:rsid w:val="004C3545"/>
    <w:rsid w:val="004F5E04"/>
    <w:rsid w:val="00507AF2"/>
    <w:rsid w:val="00512916"/>
    <w:rsid w:val="0051530E"/>
    <w:rsid w:val="0052519E"/>
    <w:rsid w:val="00545C38"/>
    <w:rsid w:val="005518A9"/>
    <w:rsid w:val="00564D73"/>
    <w:rsid w:val="005711B3"/>
    <w:rsid w:val="00572560"/>
    <w:rsid w:val="0057717F"/>
    <w:rsid w:val="0059266A"/>
    <w:rsid w:val="00594E14"/>
    <w:rsid w:val="005A508B"/>
    <w:rsid w:val="005C0670"/>
    <w:rsid w:val="005D0374"/>
    <w:rsid w:val="005D62C0"/>
    <w:rsid w:val="005E08A1"/>
    <w:rsid w:val="00610B2B"/>
    <w:rsid w:val="0063081A"/>
    <w:rsid w:val="0063326C"/>
    <w:rsid w:val="006423BB"/>
    <w:rsid w:val="0066591C"/>
    <w:rsid w:val="00667C4A"/>
    <w:rsid w:val="006B0609"/>
    <w:rsid w:val="006B41E2"/>
    <w:rsid w:val="006C4935"/>
    <w:rsid w:val="00717A8D"/>
    <w:rsid w:val="00723627"/>
    <w:rsid w:val="007256EF"/>
    <w:rsid w:val="00730CA5"/>
    <w:rsid w:val="00737DCC"/>
    <w:rsid w:val="00744A83"/>
    <w:rsid w:val="007539BA"/>
    <w:rsid w:val="00764B4C"/>
    <w:rsid w:val="00772CA5"/>
    <w:rsid w:val="00776701"/>
    <w:rsid w:val="00784932"/>
    <w:rsid w:val="0078642D"/>
    <w:rsid w:val="007B2919"/>
    <w:rsid w:val="007C2DAF"/>
    <w:rsid w:val="007E1123"/>
    <w:rsid w:val="0081228C"/>
    <w:rsid w:val="00831235"/>
    <w:rsid w:val="00832C4B"/>
    <w:rsid w:val="0084471B"/>
    <w:rsid w:val="00847753"/>
    <w:rsid w:val="00852000"/>
    <w:rsid w:val="00861EB0"/>
    <w:rsid w:val="0087097E"/>
    <w:rsid w:val="008874B0"/>
    <w:rsid w:val="00893D07"/>
    <w:rsid w:val="008A7363"/>
    <w:rsid w:val="008B0A37"/>
    <w:rsid w:val="008B1D97"/>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A0ED4"/>
    <w:rsid w:val="009E3487"/>
    <w:rsid w:val="00A17E0E"/>
    <w:rsid w:val="00A2438D"/>
    <w:rsid w:val="00A24DA1"/>
    <w:rsid w:val="00A34D37"/>
    <w:rsid w:val="00A36714"/>
    <w:rsid w:val="00A43329"/>
    <w:rsid w:val="00A52F66"/>
    <w:rsid w:val="00A61E40"/>
    <w:rsid w:val="00A7608F"/>
    <w:rsid w:val="00A8709C"/>
    <w:rsid w:val="00A92CD7"/>
    <w:rsid w:val="00AA0D99"/>
    <w:rsid w:val="00AB4A71"/>
    <w:rsid w:val="00AC3248"/>
    <w:rsid w:val="00AD5FD5"/>
    <w:rsid w:val="00AE5E04"/>
    <w:rsid w:val="00AF1001"/>
    <w:rsid w:val="00B148E6"/>
    <w:rsid w:val="00B148FF"/>
    <w:rsid w:val="00B22399"/>
    <w:rsid w:val="00B2494E"/>
    <w:rsid w:val="00B275B1"/>
    <w:rsid w:val="00B46F84"/>
    <w:rsid w:val="00B56F75"/>
    <w:rsid w:val="00B8132B"/>
    <w:rsid w:val="00BA22C2"/>
    <w:rsid w:val="00BC6371"/>
    <w:rsid w:val="00C108E0"/>
    <w:rsid w:val="00C114D1"/>
    <w:rsid w:val="00C143CB"/>
    <w:rsid w:val="00C20301"/>
    <w:rsid w:val="00C26C7B"/>
    <w:rsid w:val="00C27093"/>
    <w:rsid w:val="00C41ACB"/>
    <w:rsid w:val="00C44824"/>
    <w:rsid w:val="00C57A51"/>
    <w:rsid w:val="00C778F5"/>
    <w:rsid w:val="00C81C94"/>
    <w:rsid w:val="00C93C14"/>
    <w:rsid w:val="00CB43C5"/>
    <w:rsid w:val="00CB6415"/>
    <w:rsid w:val="00CC6FF8"/>
    <w:rsid w:val="00CD5DBF"/>
    <w:rsid w:val="00CF6C46"/>
    <w:rsid w:val="00CF7537"/>
    <w:rsid w:val="00D10E87"/>
    <w:rsid w:val="00D232C1"/>
    <w:rsid w:val="00D4040D"/>
    <w:rsid w:val="00D40DD9"/>
    <w:rsid w:val="00D47ABA"/>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A17A7"/>
    <w:rsid w:val="00EA5F05"/>
    <w:rsid w:val="00EB35FD"/>
    <w:rsid w:val="00EB4016"/>
    <w:rsid w:val="00EC4F61"/>
    <w:rsid w:val="00ED047B"/>
    <w:rsid w:val="00EE7121"/>
    <w:rsid w:val="00EF3699"/>
    <w:rsid w:val="00EF60A6"/>
    <w:rsid w:val="00F22D39"/>
    <w:rsid w:val="00F30A5F"/>
    <w:rsid w:val="00F42A5B"/>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01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2845&amp;SearchId=0&amp;utm_source=interact&amp;utm_medium=category_search&amp;utm_te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mha.org.uk/Interact/Pages/Section/ContentListing.aspx?subsection=423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2531&amp;utm_source=interact&amp;utm_medium=quick_search&amp;utm_term=confidentiality" TargetMode="External"/><Relationship Id="rId5" Type="http://schemas.openxmlformats.org/officeDocument/2006/relationships/webSettings" Target="webSettings.xml"/><Relationship Id="rId15" Type="http://schemas.openxmlformats.org/officeDocument/2006/relationships/hyperlink" Target="https://intranet.mha.org.uk/Interact/Pages/Content/Document.aspx?id=2847&amp;SearchId=0&amp;utm_source=interact&amp;utm_medium=category_search&amp;utm_term=*" TargetMode="External"/><Relationship Id="rId10" Type="http://schemas.openxmlformats.org/officeDocument/2006/relationships/hyperlink" Target="https://intranet.mha.org.uk/Interact/Pages/Content/Document.aspx?id=2457&amp;utm_source=interact&amp;utm_medium=quick_search&amp;utm_term=equal+o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yperlink" Target="https://intranet.mha.org.uk/Interact/Pages/Content/Document.aspx?id=2844&amp;SearchId=0&amp;utm_source=interact&amp;utm_medium=category_search&amp;utm_te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2023-08-10T08:09:00Z</dcterms:created>
  <dcterms:modified xsi:type="dcterms:W3CDTF">2023-08-10T08:09:00Z</dcterms:modified>
</cp:coreProperties>
</file>