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D3A54"/>
          <w:sz w:val="48"/>
        </w:rPr>
        <w:t>ASSURA NURSING CARE</w:t>
      </w:r>
    </w:p>
    <w:p>
      <w:pPr>
        <w:jc w:val="center"/>
      </w:pPr>
      <w:r>
        <w:rPr>
          <w:rFonts w:ascii="Arial" w:hAnsi="Arial"/>
          <w:color w:val="0284C7"/>
          <w:sz w:val="24"/>
        </w:rPr>
        <w:t>Strategic Business Partner &amp; Investment Pitch Proposal</w:t>
        <w:br/>
        <w:t>Transforming Home Healthcare Through Clinical Tech &amp; 80/20 Economics</w:t>
      </w:r>
    </w:p>
    <w:p>
      <w:pPr>
        <w:spacing w:after="240"/>
      </w:pPr>
    </w:p>
    <w:p>
      <w:pPr>
        <w:pStyle w:val="Heading1"/>
      </w:pPr>
      <w:r>
        <w:rPr>
          <w:color w:val="0D3A54"/>
        </w:rPr>
        <w:t>1. Executive Summary</w:t>
      </w:r>
    </w:p>
    <w:p>
      <w:r>
        <w:rPr>
          <w:color w:val="1E293B"/>
        </w:rPr>
        <w:t>Assura Nursing Care is a tech-enabled, hospital-grade home healthcare platform operating in Malaysia. We deploy licensed Registered Nurses (LJM certified) equipped with a proprietary clinical operating system featuring cloud MEWS scoring, digital MAR medication charting, wound healing staging, tube expiry tracking, and digital procedure consent signatures.</w:t>
      </w:r>
    </w:p>
    <w:p>
      <w:pPr>
        <w:pStyle w:val="Heading1"/>
      </w:pPr>
      <w:r>
        <w:rPr>
          <w:color w:val="0D3A54"/>
        </w:rPr>
        <w:t>2. The Market Problem &amp; Opportunity</w:t>
      </w:r>
    </w:p>
    <w:p>
      <w:r>
        <w:t>• Silver Economy Boom: Malaysia is officially an aging nation (7%+ above 65) reaching super-aged status by 2030, with over 3.5 million seniors requiring chronic disease and post-stroke home care.</w:t>
        <w:br/>
        <w:t>• Hospital Bed Shortages: Private and public tertiary hospitals face severe bed constraints and seek trusted home care partners for early discharge.</w:t>
        <w:br/>
        <w:t>• Fragmented Home Nursing Sector: Traditional agencies rely on pen-and-paper charts, freelance caregivers without clinical tracking, and zero transparency for doctors and families.</w:t>
      </w:r>
    </w:p>
    <w:p>
      <w:pPr>
        <w:pStyle w:val="Heading1"/>
      </w:pPr>
      <w:r>
        <w:rPr>
          <w:color w:val="0D3A54"/>
        </w:rPr>
        <w:t>3. Assura's 8 Unfair Competitive Moats</w:t>
      </w:r>
    </w:p>
    <w:p>
      <w:r>
        <w:rPr>
          <w:b/>
          <w:color w:val="0D3A54"/>
        </w:rPr>
        <w:t xml:space="preserve">• 1. Hospital-Grade Clinical System: </w:t>
      </w:r>
      <w:r>
        <w:rPr>
          <w:color w:val="1E293B"/>
        </w:rPr>
        <w:t>Built-in MEWS vital score calculations, automated vital escalation alerts, and digital MAR drug administration.</w:t>
      </w:r>
    </w:p>
    <w:p>
      <w:r>
        <w:rPr>
          <w:b/>
          <w:color w:val="0D3A54"/>
        </w:rPr>
        <w:t xml:space="preserve">• 2. Scalable 80/20 Unit Economics: </w:t>
      </w:r>
      <w:r>
        <w:rPr>
          <w:color w:val="1E293B"/>
        </w:rPr>
        <w:t>Nurses receive 80% take-home pay; Assura retains 20% platform margin with zero fixed nurse salary overhead.</w:t>
      </w:r>
    </w:p>
    <w:p>
      <w:r>
        <w:rPr>
          <w:b/>
          <w:color w:val="0D3A54"/>
        </w:rPr>
        <w:t xml:space="preserve">• 3. 72-Hour Doctor Referral Link: </w:t>
      </w:r>
      <w:r>
        <w:rPr>
          <w:color w:val="1E293B"/>
        </w:rPr>
        <w:t>Temporary PIN-protected portal for hospital specialists to review vitals and wound healing without app installation.</w:t>
      </w:r>
    </w:p>
    <w:p>
      <w:r>
        <w:rPr>
          <w:b/>
          <w:color w:val="0D3A54"/>
        </w:rPr>
        <w:t xml:space="preserve">• 4. Digital Procedure Consent Signing: </w:t>
      </w:r>
      <w:r>
        <w:rPr>
          <w:color w:val="1E293B"/>
        </w:rPr>
        <w:t>Touchscreen signature capture before invasive procedures, shielding the business from legal liability.</w:t>
      </w:r>
    </w:p>
    <w:p>
      <w:r>
        <w:rPr>
          <w:b/>
          <w:color w:val="0D3A54"/>
        </w:rPr>
        <w:t xml:space="preserve">• 5. Bedside Consumables Auto-Billing: </w:t>
      </w:r>
      <w:r>
        <w:rPr>
          <w:color w:val="1E293B"/>
        </w:rPr>
        <w:t>Automated consumption billing on Clock-Out across ~80 hospital-grade catalog items at 40-60% margins.</w:t>
      </w:r>
    </w:p>
    <w:p>
      <w:r>
        <w:rPr>
          <w:b/>
          <w:color w:val="0D3A54"/>
        </w:rPr>
        <w:t xml:space="preserve">• 6. 1-Tap Emergency SOS Beacon: </w:t>
      </w:r>
      <w:r>
        <w:rPr>
          <w:color w:val="1E293B"/>
        </w:rPr>
        <w:t>Instant 999 dialing and GPS dispatch coordinate generation for acute emergencies.</w:t>
      </w:r>
    </w:p>
    <w:p>
      <w:r>
        <w:rPr>
          <w:b/>
          <w:color w:val="0D3A54"/>
        </w:rPr>
        <w:t xml:space="preserve">• 7. Family WhatsApp Arrival &amp; Care Alerts: </w:t>
      </w:r>
      <w:r>
        <w:rPr>
          <w:color w:val="1E293B"/>
        </w:rPr>
        <w:t>Automated arrival alerts on Clock-In and comprehensive vitals summaries on Clock-Out.</w:t>
      </w:r>
    </w:p>
    <w:p>
      <w:r>
        <w:rPr>
          <w:b/>
          <w:color w:val="0D3A54"/>
        </w:rPr>
        <w:t xml:space="preserve">• 8. Ultra-Light Native Mobile Apps: </w:t>
      </w:r>
      <w:r>
        <w:rPr>
          <w:color w:val="1E293B"/>
        </w:rPr>
        <w:t>4.1MB signed Android releases with biometric PIN security and offline cloud sync.</w:t>
      </w:r>
    </w:p>
    <w:p>
      <w:pPr>
        <w:pStyle w:val="Heading1"/>
      </w:pPr>
      <w:r>
        <w:rPr>
          <w:color w:val="0D3A54"/>
        </w:rPr>
        <w:t>4. Revenue Channels &amp; Financial Economics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D3A54"/>
          </w:tcPr>
          <w:p>
            <w:r>
              <w:rPr>
                <w:b/>
                <w:color w:val="FFFFFF"/>
              </w:rPr>
              <w:t>Service Stream</w:t>
            </w:r>
          </w:p>
        </w:tc>
        <w:tc>
          <w:tcPr>
            <w:tcW w:type="dxa" w:w="2484"/>
            <w:shd w:fill="0D3A54"/>
          </w:tcPr>
          <w:p>
            <w:r>
              <w:rPr>
                <w:b/>
                <w:color w:val="FFFFFF"/>
              </w:rPr>
              <w:t>Client Pricing</w:t>
            </w:r>
          </w:p>
        </w:tc>
        <w:tc>
          <w:tcPr>
            <w:tcW w:type="dxa" w:w="2484"/>
            <w:shd w:fill="0D3A54"/>
          </w:tcPr>
          <w:p>
            <w:r>
              <w:rPr>
                <w:b/>
                <w:color w:val="FFFFFF"/>
              </w:rPr>
              <w:t>Platform Share</w:t>
            </w:r>
          </w:p>
        </w:tc>
        <w:tc>
          <w:tcPr>
            <w:tcW w:type="dxa" w:w="2484"/>
            <w:shd w:fill="0D3A54"/>
          </w:tcPr>
          <w:p>
            <w:r>
              <w:rPr>
                <w:b/>
                <w:color w:val="FFFFFF"/>
              </w:rPr>
              <w:t>Margin %</w:t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  <w:t>Procedure Home Visits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RM 120 - RM 350 / visit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RM 24 - RM 70 / visit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20% + Consumables</w:t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  <w:t>Long-Term Nursing Shifts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RM 250 - RM 650 / shift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RM 50 - RM 130 / shift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20% Commission</w:t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  <w:t>Medical Consumables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Catalog unit pricing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Direct markup profit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40% - 60% Gross Margin</w:t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  <w:t>Hospital Discharge Partner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Contract referral packages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Volume recurring revenue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High recurring LTV</w:t>
            </w:r>
          </w:p>
        </w:tc>
      </w:tr>
    </w:tbl>
    <w:p>
      <w:pPr>
        <w:pStyle w:val="Heading1"/>
      </w:pPr>
      <w:r>
        <w:rPr>
          <w:color w:val="0D3A54"/>
        </w:rPr>
        <w:t>5. Strategic Partnership &amp; Investment Models</w:t>
      </w:r>
    </w:p>
    <w:p>
      <w:r>
        <w:t>1. Equity / Strategic Growth Investor: Capital injection for statewide nurse recruitment and marketing.</w:t>
        <w:br/>
        <w:t>2. Clinical &amp; Medical Partners (Specialists &amp; Hospitals): Patient referral partnerships with revenue sharing.</w:t>
        <w:br/>
        <w:t>3. City / Regional Franchise Operator: Turnkey licensing of the Assura platform to operate in new cities.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