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7899ff881bbf6c71daf86982b2a1930edb07d0e"/>
    <w:p>
      <w:pPr>
        <w:pStyle w:val="Heading1"/>
      </w:pPr>
      <w:r>
        <w:t xml:space="preserve">Revisions tilt the odds toward five stocks</w:t>
      </w:r>
    </w:p>
    <w:p>
      <w:pPr>
        <w:pStyle w:val="FirstParagraph"/>
      </w:pPr>
      <w:r>
        <w:t xml:space="preserve">The five US-listed stocks with the best risk-aware odds of beating the S&amp;P 500 from Mon Sep 28 to Fri Nov 20, 2026 are</w:t>
      </w:r>
      <w:r>
        <w:t xml:space="preserve"> </w:t>
      </w:r>
      <w:r>
        <w:rPr>
          <w:b/>
          <w:bCs/>
        </w:rPr>
        <w:t xml:space="preserve">Nvidia (NVDA), Travelers (TRV), Amphenol (APH), JPMorgan Chase (JPM) and Tenet Healthcare (THC)</w:t>
      </w:r>
      <w:r>
        <w:t xml:space="preserve">. We scored all 21 stress-tested names on one weighted scorecard. Applying the portfolio caps mechanically (no more than two AI-hardware names and no more than two names per sector) gives NVDA, TRV,</w:t>
      </w:r>
      <w:r>
        <w:t xml:space="preserve"> </w:t>
      </w:r>
      <w:r>
        <w:rPr>
          <w:b/>
          <w:bCs/>
        </w:rPr>
        <w:t xml:space="preserve">ANET</w:t>
      </w:r>
      <w:r>
        <w:t xml:space="preserve">, JPM and THC. We replaced Arista with Amphenol by judgment, for reasons given below. A sensitivity test shows that TRV, JPM and THC are robust picks. The two AI slots are close to a toss-up among NVDA, ANET, APH and DELL, and NVDA drops out if its risk score is cut by one point or if it reports after Nov 20. The basket averages</w:t>
      </w:r>
      <w:r>
        <w:t xml:space="preserve"> </w:t>
      </w:r>
      <w:r>
        <w:rPr>
          <w:b/>
          <w:bCs/>
        </w:rPr>
        <w:t xml:space="preserve">3.63 out of 5</w:t>
      </w:r>
      <w:r>
        <w:t xml:space="preserve">. Each pick has upward estimate revisions and a dated catalyst inside the window, and four of the five have a confirmed or strongly patterned earnings report in it. That matters because revisions and price momentum are the only signals with robust evidence at a two-month horizon. Post-earnings drift has largely disappeared in large caps. The edge is modest. A single stock beats the index over about two months only</w:t>
      </w:r>
      <w:r>
        <w:t xml:space="preserve"> </w:t>
      </w:r>
      <w:r>
        <w:rPr>
          <w:b/>
          <w:bCs/>
        </w:rPr>
        <w:t xml:space="preserve">45–48% of the time</w:t>
      </w:r>
      <w:r>
        <w:t xml:space="preserve">, and an equal-weight five-stock basket still carries roughly ±5–7% of one-standard-deviation relative noise. So this is a probability tilt, not a forecast. The backdrop is fragile. The Fed hiked on Sep 16, the 10-year Treasury is near 5.2%, oil is around $92 on the Hormuz standoff, market breadth is at record-weak levels, and "long semis" is the most crowded trade. The basket's weakest scenario is a further yield spike, which would hit JPM and TRV together. The runners-up are</w:t>
      </w:r>
      <w:r>
        <w:t xml:space="preserve"> </w:t>
      </w:r>
      <w:r>
        <w:rPr>
          <w:b/>
          <w:bCs/>
        </w:rPr>
        <w:t xml:space="preserve">Arista (ANET), Dell (DELL), Micron (MU), Valero (VLO) and Cenovus (CVE)</w:t>
      </w:r>
      <w:r>
        <w:t xml:space="preserve">. This is research, not investment advice.</w:t>
      </w:r>
    </w:p>
    <w:p>
      <w:pPr>
        <w:pStyle w:val="BodyText"/>
      </w:pPr>
      <w:r>
        <w:rPr>
          <w:b/>
          <w:bCs/>
        </w:rPr>
        <w:t xml:space="preserve">Read this before using any number in this report.</w:t>
      </w:r>
      <w:r>
        <w:t xml:space="preserve"> </w:t>
      </w:r>
      <w:r>
        <w:t xml:space="preserve">The finance pages that hold quotes, estimates and calendars (Yahoo Finance, CNBC, stockanalysis, MarketBeat, Zacks, GuruFocus, FactSet, SEC, BLS and BEA) were blocked by the research environment's network proxy.</w:t>
      </w:r>
      <w:r>
        <w:t xml:space="preserve"> </w:t>
      </w:r>
      <w:r>
        <w:rPr>
          <w:b/>
          <w:bCs/>
        </w:rPr>
        <w:t xml:space="preserve">Nearly every price, estimate, date and valuation figure here comes from search-engine result snippets, not full-page reads.</w:t>
      </w:r>
      <w:r>
        <w:t xml:space="preserve"> </w:t>
      </w:r>
      <w:r>
        <w:t xml:space="preserve">Snippets can mix dates or paraphrase wrongly, and the notes rejected several stale ones.</w:t>
      </w:r>
      <w:r>
        <w:t xml:space="preserve"> </w:t>
      </w:r>
      <w:r>
        <w:rPr>
          <w:b/>
          <w:bCs/>
        </w:rPr>
        <w:t xml:space="preserve">Re-verify every price, earnings date and estimate with a live quote tool before acting on this report</w:t>
      </w:r>
      <w:r>
        <w:t xml:space="preserve">, especially the Sep 25 closing prices, the unconfirmed earnings dates (NVDA, APH, THC) and the "what proves it wrong" price levels. Figures that are derived rather than quoted are labelled as such.</w:t>
      </w:r>
    </w:p>
    <w:bookmarkStart w:id="18" w:name="X857ad4105f582f72a9a320392de20c667fd0564"/>
    <w:p>
      <w:pPr>
        <w:pStyle w:val="Heading2"/>
      </w:pPr>
      <w:r>
        <w:t xml:space="preserve">A coin flip sets the bar; revisions and momentum tilt it</w:t>
      </w:r>
    </w:p>
    <w:p>
      <w:pPr>
        <w:pStyle w:val="FirstParagraph"/>
      </w:pPr>
      <w:r>
        <w:t xml:space="preserve">Start with the base rate, because it is less favorable than most stock-picking implies. On average, just under half of S&amp;P 500 members beat the index in a calendar year. In narrow, megacap-led years the share falls sharply:</w:t>
      </w:r>
      <w:r>
        <w:t xml:space="preserve"> </w:t>
      </w:r>
      <w:r>
        <w:rPr>
          <w:b/>
          <w:bCs/>
        </w:rPr>
        <w:t xml:space="preserve">44% in 2025 and 28% in 2024</w:t>
      </w:r>
      <w:r>
        <w:t xml:space="preserve"> </w:t>
      </w:r>
      <w:r>
        <w:t xml:space="preserve">(</w:t>
      </w:r>
      <w:hyperlink r:id="rId9">
        <w:r>
          <w:rPr>
            <w:rStyle w:val="Hyperlink"/>
          </w:rPr>
          <w:t xml:space="preserve">Apollo Academy</w:t>
        </w:r>
      </w:hyperlink>
      <w:r>
        <w:t xml:space="preserve">). Our notes infer a</w:t>
      </w:r>
      <w:r>
        <w:t xml:space="preserve"> </w:t>
      </w:r>
      <w:r>
        <w:rPr>
          <w:b/>
          <w:bCs/>
        </w:rPr>
        <w:t xml:space="preserve">45–48% base rate for a single stock beating the index over about two months</w:t>
      </w:r>
      <w:r>
        <w:t xml:space="preserve">. Shorter horizons suffer less skew drag, but 2026's weak breadth lowers the odds for the average stock. That figure is our inference; no published two-month statistic was found. Any selection edge has to be measured against that roughly coin-flip bar.</w:t>
      </w:r>
    </w:p>
    <w:p>
      <w:pPr>
        <w:pStyle w:val="BodyText"/>
      </w:pPr>
      <w:r>
        <w:t xml:space="preserve">The signals with the best evidence at this horizon are estimate revisions and intermediate-term price momentum. Chan, Jegadeesh and Lakonishok found top-minus-bottom decile spreads over the following six months of about</w:t>
      </w:r>
      <w:r>
        <w:t xml:space="preserve"> </w:t>
      </w:r>
      <w:r>
        <w:rPr>
          <w:b/>
          <w:bCs/>
        </w:rPr>
        <w:t xml:space="preserve">8.8% for price momentum and 7.7% for analyst revisions</w:t>
      </w:r>
      <w:r>
        <w:t xml:space="preserve">, and each signal carried independent information (</w:t>
      </w:r>
      <w:hyperlink r:id="rId10">
        <w:r>
          <w:rPr>
            <w:rStyle w:val="Hyperlink"/>
          </w:rPr>
          <w:t xml:space="preserve">J. Finance 1996</w:t>
        </w:r>
      </w:hyperlink>
      <w:r>
        <w:t xml:space="preserve">; these figures come from the canonical paper and were not re-fetched this session). A practitioner update finds that revision breadth and magnitude still correlate with relative returns over one to six months (</w:t>
      </w:r>
      <w:hyperlink r:id="rId11">
        <w:r>
          <w:rPr>
            <w:rStyle w:val="Hyperlink"/>
          </w:rPr>
          <w:t xml:space="preserve">Mill Street Research</w:t>
        </w:r>
      </w:hyperlink>
      <w:r>
        <w:t xml:space="preserve">). Six-month momentum historically earned about 1% a month (</w:t>
      </w:r>
      <w:hyperlink r:id="rId12">
        <w:r>
          <w:rPr>
            <w:rStyle w:val="Hyperlink"/>
          </w:rPr>
          <w:t xml:space="preserve">Jegadeesh &amp; Titman 1993</w:t>
        </w:r>
      </w:hyperlink>
      <w:r>
        <w:t xml:space="preserve">). It is prone to crashes when losers rebound sharply (</w:t>
      </w:r>
      <w:hyperlink r:id="rId13">
        <w:r>
          <w:rPr>
            <w:rStyle w:val="Hyperlink"/>
          </w:rPr>
          <w:t xml:space="preserve">Daniel &amp; Moskowitz</w:t>
        </w:r>
      </w:hyperlink>
      <w:r>
        <w:t xml:space="preserve">). Stocks also earn a premium in months when they are expected to report (</w:t>
      </w:r>
      <w:hyperlink r:id="rId14">
        <w:r>
          <w:rPr>
            <w:rStyle w:val="Hyperlink"/>
          </w:rPr>
          <w:t xml:space="preserve">Frazzini &amp; Lamont</w:t>
        </w:r>
      </w:hyperlink>
      <w:r>
        <w:t xml:space="preserve">). That supports favoring names with an earnings date inside the window.</w:t>
      </w:r>
    </w:p>
    <w:p>
      <w:pPr>
        <w:pStyle w:val="BodyText"/>
      </w:pPr>
      <w:r>
        <w:t xml:space="preserve">Post-earnings-announcement drift is the signal to discount. Martineau concludes that "for large stocks, PEAD has basically been gone since 2006" (</w:t>
      </w:r>
      <w:hyperlink r:id="rId15">
        <w:r>
          <w:rPr>
            <w:rStyle w:val="Hyperlink"/>
          </w:rPr>
          <w:t xml:space="preserve">Critical Finance Review / SSRN</w:t>
        </w:r>
      </w:hyperlink>
      <w:r>
        <w:t xml:space="preserve">). A big August or September beat by itself therefore earns little credit here. This is why the recent beat-and-raise names DELL, Everpure and Snowflake score lower on catalyst than on revisions.</w:t>
      </w:r>
    </w:p>
    <w:p>
      <w:pPr>
        <w:pStyle w:val="BodyText"/>
      </w:pPr>
      <w:r>
        <w:t xml:space="preserve">The momentum signal carries a 2026-specific warning. In 2026, momentum has meant AI semis. The MTUM ETF was up about 27% YTD in early July, then fell nearly 7% in a week, and five stocks accounted for more than half of its gain (</w:t>
      </w:r>
      <w:hyperlink r:id="rId16">
        <w:r>
          <w:rPr>
            <w:rStyle w:val="Hyperlink"/>
          </w:rPr>
          <w:t xml:space="preserve">Yahoo Finance</w:t>
        </w:r>
      </w:hyperlink>
      <w:r>
        <w:t xml:space="preserve">). In May, Goldman put momentum positioning at the</w:t>
      </w:r>
      <w:r>
        <w:t xml:space="preserve"> </w:t>
      </w:r>
      <w:r>
        <w:rPr>
          <w:b/>
          <w:bCs/>
        </w:rPr>
        <w:t xml:space="preserve">100th percentile of the past five years</w:t>
      </w:r>
      <w:r>
        <w:t xml:space="preserve"> </w:t>
      </w:r>
      <w:r>
        <w:t xml:space="preserve">(</w:t>
      </w:r>
      <w:hyperlink r:id="rId17">
        <w:r>
          <w:rPr>
            <w:rStyle w:val="Hyperlink"/>
          </w:rPr>
          <w:t xml:space="preserve">Benzinga</w:t>
        </w:r>
      </w:hyperlink>
      <w:r>
        <w:t xml:space="preserve">). This is why the portfolio caps AI hardware at two names.</w:t>
      </w:r>
    </w:p>
    <w:p>
      <w:pPr>
        <w:pStyle w:val="BodyText"/>
      </w:pPr>
      <w:r>
        <w:t xml:space="preserve">Volatility decides how much a pick can drift from the index by chance. The table below converts annualized relative volatility to an eight-week one-standard-deviation band, using √(8/52) ≈ 0.39. The calculation is ours, not a sourced figure.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Annualized relative volatility</w:t>
            </w:r>
          </w:p>
        </w:tc>
        <w:tc>
          <w:tcPr/>
          <w:p>
            <w:pPr>
              <w:pStyle w:val="Compact"/>
            </w:pPr>
            <w:r>
              <w:t xml:space="preserve">Typical stocks</w:t>
            </w:r>
          </w:p>
        </w:tc>
        <w:tc>
          <w:tcPr/>
          <w:p>
            <w:pPr>
              <w:pStyle w:val="Compact"/>
            </w:pPr>
            <w:r>
              <w:t xml:space="preserve">8-week 1-s.d. relative move</w:t>
            </w:r>
          </w:p>
        </w:tc>
      </w:tr>
      <w:tr>
        <w:tc>
          <w:tcPr/>
          <w:p>
            <w:pPr>
              <w:pStyle w:val="Compact"/>
            </w:pPr>
            <w:r>
              <w:t xml:space="preserve">~20%</w:t>
            </w:r>
          </w:p>
        </w:tc>
        <w:tc>
          <w:tcPr/>
          <w:p>
            <w:pPr>
              <w:pStyle w:val="Compact"/>
            </w:pPr>
            <w:r>
              <w:t xml:space="preserve">Megacap platforms, staples, banks</w:t>
            </w:r>
          </w:p>
        </w:tc>
        <w:tc>
          <w:tcPr/>
          <w:p>
            <w:pPr>
              <w:pStyle w:val="Compact"/>
            </w:pPr>
            <w:r>
              <w:t xml:space="preserve">about ±8%</w:t>
            </w:r>
          </w:p>
        </w:tc>
      </w:tr>
      <w:tr>
        <w:tc>
          <w:tcPr/>
          <w:p>
            <w:pPr>
              <w:pStyle w:val="Compact"/>
            </w:pPr>
            <w:r>
              <w:t xml:space="preserve">~30%</w:t>
            </w:r>
          </w:p>
        </w:tc>
        <w:tc>
          <w:tcPr/>
          <w:p>
            <w:pPr>
              <w:pStyle w:val="Compact"/>
            </w:pPr>
            <w:r>
              <w:t xml:space="preserve">Typical S&amp;P 500 member</w:t>
            </w:r>
          </w:p>
        </w:tc>
        <w:tc>
          <w:tcPr/>
          <w:p>
            <w:pPr>
              <w:pStyle w:val="Compact"/>
            </w:pPr>
            <w:r>
              <w:t xml:space="preserve">about ±12%</w:t>
            </w:r>
          </w:p>
        </w:tc>
      </w:tr>
      <w:tr>
        <w:tc>
          <w:tcPr/>
          <w:p>
            <w:pPr>
              <w:pStyle w:val="Compact"/>
            </w:pPr>
            <w:r>
              <w:t xml:space="preserve">45–60%</w:t>
            </w:r>
          </w:p>
        </w:tc>
        <w:tc>
          <w:tcPr/>
          <w:p>
            <w:pPr>
              <w:pStyle w:val="Compact"/>
            </w:pPr>
            <w:r>
              <w:t xml:space="preserve">Semis, VRT, MU, SMCI</w:t>
            </w:r>
          </w:p>
        </w:tc>
        <w:tc>
          <w:tcPr/>
          <w:p>
            <w:pPr>
              <w:pStyle w:val="Compact"/>
            </w:pPr>
            <w:r>
              <w:t xml:space="preserve">about ±18–24%</w:t>
            </w:r>
          </w:p>
        </w:tc>
      </w:tr>
    </w:tbl>
    <w:p>
      <w:pPr>
        <w:pStyle w:val="BodyText"/>
      </w:pPr>
      <w:r>
        <w:t xml:space="preserve">This is why the scorecard weights downside risk at 15%, where a score of 5 means the lowest risk. A high-beta AI name needs a much larger edge to justify the same slot as a bank or insurer.</w:t>
      </w:r>
    </w:p>
    <w:p>
      <w:pPr>
        <w:pStyle w:val="BodyText"/>
      </w:pPr>
      <w:r>
        <w:t xml:space="preserve">The scorecard is unchanged from the handoff. Each factor is scored 0–5 and weighted as follows: estimate revisions 25%, catalyst strength and timing in the window 20%, momentum and relative strength 20%, downside risk 15% (5 = lowest risk), valuation room 10%, and structural thesis 10%.</w:t>
      </w:r>
    </w:p>
    <w:bookmarkEnd w:id="18"/>
    <w:bookmarkStart w:id="37" w:name="Xa056a6e102647f0922811440cb1af01f4173caf"/>
    <w:p>
      <w:pPr>
        <w:pStyle w:val="Heading2"/>
      </w:pPr>
      <w:r>
        <w:t xml:space="preserve">A hiking Fed and 5.2% yields frame a narrow, AI-led market</w:t>
      </w:r>
    </w:p>
    <w:p>
      <w:pPr>
        <w:pStyle w:val="FirstParagraph"/>
      </w:pPr>
      <w:r>
        <w:t xml:space="preserve">The S&amp;P 500 closed at</w:t>
      </w:r>
      <w:r>
        <w:t xml:space="preserve"> </w:t>
      </w:r>
      <w:r>
        <w:rPr>
          <w:b/>
          <w:bCs/>
        </w:rPr>
        <w:t xml:space="preserve">7,743.41 on Sep 25</w:t>
      </w:r>
      <w:r>
        <w:t xml:space="preserve">, about 0.6% below its Aug 13 record. The VIX was 14.87 and WTI crude was $92.41 (</w:t>
      </w:r>
      <w:hyperlink r:id="rId19">
        <w:r>
          <w:rPr>
            <w:rStyle w:val="Hyperlink"/>
          </w:rPr>
          <w:t xml:space="preserve">TheStreet</w:t>
        </w:r>
      </w:hyperlink>
      <w:r>
        <w:t xml:space="preserve">;</w:t>
      </w:r>
      <w:r>
        <w:t xml:space="preserve"> </w:t>
      </w:r>
      <w:hyperlink r:id="rId20">
        <w:r>
          <w:rPr>
            <w:rStyle w:val="Hyperlink"/>
          </w:rPr>
          <w:t xml:space="preserve">Yahoo Finance</w:t>
        </w:r>
      </w:hyperlink>
      <w:r>
        <w:t xml:space="preserve">). Underneath the index, breadth is historically weak. Only</w:t>
      </w:r>
      <w:r>
        <w:t xml:space="preserve"> </w:t>
      </w:r>
      <w:r>
        <w:rPr>
          <w:b/>
          <w:bCs/>
        </w:rPr>
        <w:t xml:space="preserve">48.9% of members are above their 200-day moving average and 27.4% above their 50-day</w:t>
      </w:r>
      <w:r>
        <w:t xml:space="preserve">, which Backtest calls the weakest breadth at a record high since 2000 (</w:t>
      </w:r>
      <w:hyperlink r:id="rId21">
        <w:r>
          <w:rPr>
            <w:rStyle w:val="Hyperlink"/>
          </w:rPr>
          <w:t xml:space="preserve">Backtest</w:t>
        </w:r>
      </w:hyperlink>
      <w:r>
        <w:t xml:space="preserve">). Small caps are rolling over: the S&amp;P 600 is down 6.25% over the past month (</w:t>
      </w:r>
      <w:hyperlink r:id="rId22">
        <w:r>
          <w:rPr>
            <w:rStyle w:val="Hyperlink"/>
          </w:rPr>
          <w:t xml:space="preserve">Benzinga</w:t>
        </w:r>
      </w:hyperlink>
      <w:r>
        <w:t xml:space="preserve">). Our derived estimate of the S&amp;P 500's YTD return is about +12.9%. It is back-calculated from a March snapshot and needs verifying.</w:t>
      </w:r>
    </w:p>
    <w:p>
      <w:pPr>
        <w:pStyle w:val="BodyText"/>
      </w:pPr>
      <w:r>
        <w:t xml:space="preserve">Macro policy is unusually tight for a market near its highs. The FOMC</w:t>
      </w:r>
      <w:r>
        <w:t xml:space="preserve"> </w:t>
      </w:r>
      <w:r>
        <w:rPr>
          <w:b/>
          <w:bCs/>
        </w:rPr>
        <w:t xml:space="preserve">raised rates 25bp to 3.75–4.00% on Sep 16</w:t>
      </w:r>
      <w:r>
        <w:t xml:space="preserve">. The dot plot points to "continued gradual increases expected into 2027", and markets price the next hike for December, not the</w:t>
      </w:r>
      <w:r>
        <w:t xml:space="preserve"> </w:t>
      </w:r>
      <w:r>
        <w:rPr>
          <w:b/>
          <w:bCs/>
        </w:rPr>
        <w:t xml:space="preserve">Oct 27–28</w:t>
      </w:r>
      <w:r>
        <w:t xml:space="preserve"> </w:t>
      </w:r>
      <w:r>
        <w:t xml:space="preserve">meeting (</w:t>
      </w:r>
      <w:hyperlink r:id="rId23">
        <w:r>
          <w:rPr>
            <w:rStyle w:val="Hyperlink"/>
          </w:rPr>
          <w:t xml:space="preserve">Advisor Perspectives</w:t>
        </w:r>
      </w:hyperlink>
      <w:r>
        <w:t xml:space="preserve">). August CPI ran</w:t>
      </w:r>
      <w:r>
        <w:t xml:space="preserve"> </w:t>
      </w:r>
      <w:r>
        <w:rPr>
          <w:b/>
          <w:bCs/>
        </w:rPr>
        <w:t xml:space="preserve">3.4% headline and 2.4% core</w:t>
      </w:r>
      <w:r>
        <w:t xml:space="preserve">, and gasoline drove more than a third of the monthly gain (</w:t>
      </w:r>
      <w:hyperlink r:id="rId24">
        <w:r>
          <w:rPr>
            <w:rStyle w:val="Hyperlink"/>
          </w:rPr>
          <w:t xml:space="preserve">Yahoo Finance</w:t>
        </w:r>
      </w:hyperlink>
      <w:r>
        <w:t xml:space="preserve">). The 10-year yield sits at about</w:t>
      </w:r>
      <w:r>
        <w:t xml:space="preserve"> </w:t>
      </w:r>
      <w:r>
        <w:rPr>
          <w:b/>
          <w:bCs/>
        </w:rPr>
        <w:t xml:space="preserve">5.18–5.23%, the highest since 2007</w:t>
      </w:r>
      <w:r>
        <w:t xml:space="preserve"> </w:t>
      </w:r>
      <w:r>
        <w:t xml:space="preserve">(</w:t>
      </w:r>
      <w:hyperlink r:id="rId21">
        <w:r>
          <w:rPr>
            <w:rStyle w:val="Hyperlink"/>
          </w:rPr>
          <w:t xml:space="preserve">Backtest</w:t>
        </w:r>
      </w:hyperlink>
      <w:r>
        <w:t xml:space="preserve">).</w:t>
      </w:r>
    </w:p>
    <w:p>
      <w:pPr>
        <w:pStyle w:val="BodyText"/>
      </w:pPr>
      <w:r>
        <w:t xml:space="preserve">Oil is the main swing factor. Iran offered on Sep 25 to reopen the Strait of Hormuz within seven days if its conditions are met (</w:t>
      </w:r>
      <w:hyperlink r:id="rId19">
        <w:r>
          <w:rPr>
            <w:rStyle w:val="Hyperlink"/>
          </w:rPr>
          <w:t xml:space="preserve">TheStreet</w:t>
        </w:r>
      </w:hyperlink>
      <w:r>
        <w:t xml:space="preserve">). However, the June 17 memorandum of understanding "quickly collapsed into renewed fighting" (</w:t>
      </w:r>
      <w:hyperlink r:id="rId25">
        <w:r>
          <w:rPr>
            <w:rStyle w:val="Hyperlink"/>
          </w:rPr>
          <w:t xml:space="preserve">CNBC</w:t>
        </w:r>
      </w:hyperlink>
      <w:r>
        <w:t xml:space="preserve">).</w:t>
      </w:r>
    </w:p>
    <w:p>
      <w:pPr>
        <w:pStyle w:val="BodyText"/>
      </w:pPr>
      <w:r>
        <w:t xml:space="preserve">Earnings are the market's support. FactSet shows Q3 bottom-up EPS</w:t>
      </w:r>
      <w:r>
        <w:t xml:space="preserve"> </w:t>
      </w:r>
      <w:r>
        <w:rPr>
          <w:b/>
          <w:bCs/>
        </w:rPr>
        <w:t xml:space="preserve">rising 1.2% during the quarter</w:t>
      </w:r>
      <w:r>
        <w:t xml:space="preserve">, against a typical decline of 1.7–3.1%. Energy led the revisions at +11.8% and Materials trailed at −9.1% (</w:t>
      </w:r>
      <w:hyperlink r:id="rId26">
        <w:r>
          <w:rPr>
            <w:rStyle w:val="Hyperlink"/>
          </w:rPr>
          <w:t xml:space="preserve">FactSet</w:t>
        </w:r>
      </w:hyperlink>
      <w:r>
        <w:t xml:space="preserve">). Q3 growth is tracking about</w:t>
      </w:r>
      <w:r>
        <w:t xml:space="preserve"> </w:t>
      </w:r>
      <w:r>
        <w:rPr>
          <w:b/>
          <w:bCs/>
        </w:rPr>
        <w:t xml:space="preserve">29%</w:t>
      </w:r>
      <w:r>
        <w:t xml:space="preserve">, which would be the third straight quarter above 25% (</w:t>
      </w:r>
      <w:hyperlink r:id="rId27">
        <w:r>
          <w:rPr>
            <w:rStyle w:val="Hyperlink"/>
          </w:rPr>
          <w:t xml:space="preserve">Motley Fool citing FactSet</w:t>
        </w:r>
      </w:hyperlink>
      <w:r>
        <w:t xml:space="preserve">). The forward P/E has slipped to about</w:t>
      </w:r>
      <w:r>
        <w:t xml:space="preserve"> </w:t>
      </w:r>
      <w:r>
        <w:rPr>
          <w:b/>
          <w:bCs/>
        </w:rPr>
        <w:t xml:space="preserve">19.1, below the 5-year average of 19.8</w:t>
      </w:r>
      <w:r>
        <w:t xml:space="preserve"> </w:t>
      </w:r>
      <w:r>
        <w:t xml:space="preserve">(</w:t>
      </w:r>
      <w:hyperlink r:id="rId28">
        <w:r>
          <w:rPr>
            <w:rStyle w:val="Hyperlink"/>
          </w:rPr>
          <w:t xml:space="preserve">FactSet Earnings Insight</w:t>
        </w:r>
      </w:hyperlink>
      <w:r>
        <w:t xml:space="preserve">).</w:t>
      </w:r>
    </w:p>
    <w:p>
      <w:pPr>
        <w:pStyle w:val="BodyText"/>
      </w:pPr>
      <w:r>
        <w:t xml:space="preserve">Positioning is stretched. The BofA Fund Manager Survey shows cash at 3.9% and a Bull &amp; Bear indicator of 9.5, a "sell" reading. Its top tail risk is a disorderly bond-yield spike (</w:t>
      </w:r>
      <w:hyperlink r:id="rId29">
        <w:r>
          <w:rPr>
            <w:rStyle w:val="Hyperlink"/>
          </w:rPr>
          <w:t xml:space="preserve">Finvaulta summary</w:t>
        </w:r>
      </w:hyperlink>
      <w:r>
        <w:t xml:space="preserve">).</w:t>
      </w:r>
      <w:r>
        <w:t xml:space="preserve"> </w:t>
      </w:r>
      <w:r>
        <w:rPr>
          <w:b/>
          <w:bCs/>
        </w:rPr>
        <w:t xml:space="preserve">"Long semiconductors" is the most crowded trade for the fourth straight month, at 53%.</w:t>
      </w:r>
      <w:r>
        <w:t xml:space="preserve"> </w:t>
      </w:r>
      <w:r>
        <w:t xml:space="preserve">A record 33% say semis are over-invested, and 42% name AI infrastructure spending as the likeliest source of a credit event (</w:t>
      </w:r>
      <w:hyperlink r:id="rId30">
        <w:r>
          <w:rPr>
            <w:rStyle w:val="Hyperlink"/>
          </w:rPr>
          <w:t xml:space="preserve">KuCoin summary of BofA FMS</w:t>
        </w:r>
      </w:hyperlink>
      <w:r>
        <w:t xml:space="preserve">).</w:t>
      </w:r>
    </w:p>
    <w:p>
      <w:pPr>
        <w:pStyle w:val="BodyText"/>
      </w:pPr>
      <w:r>
        <w:t xml:space="preserve">Sector leadership splits two ways. Energy (about +39–40% YTD) and Technology (about +35%) lead, and Utilities is last (about −7.5%). In the final week of September, momentum rotated back toward tech and away from energy (</w:t>
      </w:r>
      <w:hyperlink r:id="rId31">
        <w:r>
          <w:rPr>
            <w:rStyle w:val="Hyperlink"/>
          </w:rPr>
          <w:t xml:space="preserve">currentlogic</w:t>
        </w:r>
      </w:hyperlink>
      <w:r>
        <w:t xml:space="preserve">). StockCharts' relative-rotation chart shows Energy "beginning to roll over", while Health Care and Financials sit in the leading quadrant (</w:t>
      </w:r>
      <w:hyperlink r:id="rId32">
        <w:r>
          <w:rPr>
            <w:rStyle w:val="Hyperlink"/>
          </w:rPr>
          <w:t xml:space="preserve">StockCharts</w:t>
        </w:r>
      </w:hyperlink>
      <w:r>
        <w:t xml:space="preserve">).</w:t>
      </w:r>
    </w:p>
    <w:p>
      <w:pPr>
        <w:pStyle w:val="BodyText"/>
      </w:pPr>
      <w:r>
        <w:t xml:space="preserve">Seasonality is a mild tailwind. October and November are the two strongest months of midterm years, averaging about</w:t>
      </w:r>
      <w:r>
        <w:t xml:space="preserve"> </w:t>
      </w:r>
      <w:r>
        <w:rPr>
          <w:b/>
          <w:bCs/>
        </w:rPr>
        <w:t xml:space="preserve">+5.7% combined</w:t>
      </w:r>
      <w:r>
        <w:t xml:space="preserve"> </w:t>
      </w:r>
      <w:r>
        <w:t xml:space="preserve">(</w:t>
      </w:r>
      <w:hyperlink r:id="rId33">
        <w:r>
          <w:rPr>
            <w:rStyle w:val="Hyperlink"/>
          </w:rPr>
          <w:t xml:space="preserve">Yahoo/GuruFocus citing Carson Group</w:t>
        </w:r>
      </w:hyperlink>
      <w:r>
        <w:t xml:space="preserve">). That rests on only about 19 observations, so we weight it lightly. Shutdown risk is gone for the window, because a continuing resolution funds the government through Dec 11 (</w:t>
      </w:r>
      <w:hyperlink r:id="rId34">
        <w:r>
          <w:rPr>
            <w:rStyle w:val="Hyperlink"/>
          </w:rPr>
          <w:t xml:space="preserve">Breaking Defense</w:t>
        </w:r>
      </w:hyperlink>
      <w:r>
        <w:t xml:space="preserve">).</w:t>
      </w:r>
    </w:p>
    <w:p>
      <w:pPr>
        <w:pStyle w:val="BodyText"/>
      </w:pPr>
      <w:r>
        <w:rPr>
          <w:b/>
          <w:bCs/>
        </w:rPr>
        <w:t xml:space="preserve">Correction to the earlier market-regime note.</w:t>
      </w:r>
      <w:r>
        <w:t xml:space="preserve"> </w:t>
      </w:r>
      <w:r>
        <w:t xml:space="preserve">The regime note parsed the Q3 advance GDP release as Sep 30. That was wrong.</w:t>
      </w:r>
      <w:r>
        <w:t xml:space="preserve"> </w:t>
      </w:r>
      <w:r>
        <w:rPr>
          <w:b/>
          <w:bCs/>
        </w:rPr>
        <w:t xml:space="preserve">Q3 advance GDP comes out Thu Oct 29 at 8:30am ET</w:t>
      </w:r>
      <w:r>
        <w:t xml:space="preserve">, the same day as September PCE and one day after the FOMC decision (</w:t>
      </w:r>
      <w:hyperlink r:id="rId35">
        <w:r>
          <w:rPr>
            <w:rStyle w:val="Hyperlink"/>
          </w:rPr>
          <w:t xml:space="preserve">FinanceCalendar</w:t>
        </w:r>
      </w:hyperlink>
      <w:r>
        <w:t xml:space="preserve">;</w:t>
      </w:r>
      <w:r>
        <w:t xml:space="preserve"> </w:t>
      </w:r>
      <w:hyperlink r:id="rId36">
        <w:r>
          <w:rPr>
            <w:rStyle w:val="Hyperlink"/>
          </w:rPr>
          <w:t xml:space="preserve">BEA schedule note</w:t>
        </w:r>
      </w:hyperlink>
      <w:r>
        <w:t xml:space="preserve">). The Fed will not have Q3 GDP in hand when it decides. That makes</w:t>
      </w:r>
      <w:r>
        <w:t xml:space="preserve"> </w:t>
      </w:r>
      <w:r>
        <w:rPr>
          <w:b/>
          <w:bCs/>
        </w:rPr>
        <w:t xml:space="preserve">Oct 28–30</w:t>
      </w:r>
      <w:r>
        <w:t xml:space="preserve"> </w:t>
      </w:r>
      <w:r>
        <w:t xml:space="preserve">the densest macro-plus-earnings stretch in the window.</w:t>
      </w:r>
    </w:p>
    <w:bookmarkEnd w:id="37"/>
    <w:bookmarkStart w:id="38" w:name="X5c3f0e34c95f87868f66a20c3105fb4ab4e8de9"/>
    <w:p>
      <w:pPr>
        <w:pStyle w:val="Heading2"/>
      </w:pPr>
      <w:r>
        <w:t xml:space="preserve">One scale for 21 names puts NVDA and TRV on top</w:t>
      </w:r>
    </w:p>
    <w:p>
      <w:pPr>
        <w:pStyle w:val="FirstParagraph"/>
      </w:pPr>
      <w:r>
        <w:t xml:space="preserve">The three stress-test notes scored their names separately. The tech and financials/health notes reported weighted scores, but the industrials/energy note reported unweighted totals out of 30. We recomputed all 21 names with the same weights, checked every product by hand and by script, and applied a consistent rule to the catalyst factor: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Catalyst score</w:t>
            </w:r>
          </w:p>
        </w:tc>
        <w:tc>
          <w:tcPr/>
          <w:p>
            <w:pPr>
              <w:pStyle w:val="Compact"/>
            </w:pPr>
            <w:r>
              <w:t xml:space="preserve">Situation</w:t>
            </w:r>
          </w:p>
        </w:tc>
      </w:tr>
      <w:tr>
        <w:tc>
          <w:tcPr/>
          <w:p>
            <w:pPr>
              <w:pStyle w:val="Compact"/>
            </w:pPr>
            <w:r>
              <w:t xml:space="preserve">4</w:t>
            </w:r>
          </w:p>
        </w:tc>
        <w:tc>
          <w:tcPr/>
          <w:p>
            <w:pPr>
              <w:pStyle w:val="Compact"/>
            </w:pPr>
            <w:r>
              <w:t xml:space="preserve">Company-confirmed (or IR/aggregator-listed) in-window report or event</w:t>
            </w:r>
          </w:p>
        </w:tc>
      </w:tr>
      <w:tr>
        <w:tc>
          <w:tcPr/>
          <w:p>
            <w:pPr>
              <w:pStyle w:val="Compact"/>
            </w:pPr>
            <w:r>
              <w:t xml:space="preserve">3</w:t>
            </w:r>
          </w:p>
        </w:tc>
        <w:tc>
          <w:tcPr/>
          <w:p>
            <w:pPr>
              <w:pStyle w:val="Compact"/>
            </w:pPr>
            <w:r>
              <w:t xml:space="preserve">In-window report likely on historical pattern but unconfirmed, or confirmed but with the good news already expected</w:t>
            </w:r>
          </w:p>
        </w:tc>
      </w:tr>
      <w:tr>
        <w:tc>
          <w:tcPr/>
          <w:p>
            <w:pPr>
              <w:pStyle w:val="Compact"/>
            </w:pPr>
            <w:r>
              <w:t xml:space="preserve">1–2</w:t>
            </w:r>
          </w:p>
        </w:tc>
        <w:tc>
          <w:tcPr/>
          <w:p>
            <w:pPr>
              <w:pStyle w:val="Compact"/>
            </w:pPr>
            <w:r>
              <w:t xml:space="preserve">No report inside the window</w:t>
            </w:r>
          </w:p>
        </w:tc>
      </w:tr>
    </w:tbl>
    <w:p>
      <w:pPr>
        <w:pStyle w:val="BodyText"/>
      </w:pPr>
      <w:r>
        <w:rPr>
          <w:b/>
          <w:bCs/>
        </w:rPr>
        <w:t xml:space="preserve">Adjustment: FIX's catalyst score drops from 4 to 3.</w:t>
      </w:r>
      <w:r>
        <w:t xml:space="preserve"> </w:t>
      </w:r>
      <w:r>
        <w:t xml:space="preserve">Its Oct 22 date is an aggregator estimate, not company-confirmed. THC, CVE and GMED all got a 3 for the same status, so FIX's 4 was out of line. The change lowers FIX from 3.25 to</w:t>
      </w:r>
      <w:r>
        <w:t xml:space="preserve"> </w:t>
      </w:r>
      <w:r>
        <w:rPr>
          <w:b/>
          <w:bCs/>
        </w:rPr>
        <w:t xml:space="preserve">3.05</w:t>
      </w:r>
      <w:r>
        <w:t xml:space="preserve">. Every other provisional sub-score already fit the rule and is unchanged. One of them has an explicit rationale. VLO has a confirmed date but keeps its 3, because its Q3 beat is already visible in crack spreads and its Q4 guide depends on Hormuz.</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pPr>
            <w:r>
              <w:t xml:space="preserve">Rank</w:t>
            </w:r>
          </w:p>
        </w:tc>
        <w:tc>
          <w:tcPr/>
          <w:p>
            <w:pPr>
              <w:pStyle w:val="Compact"/>
            </w:pPr>
            <w:r>
              <w:t xml:space="preserve">Ticker</w:t>
            </w:r>
          </w:p>
        </w:tc>
        <w:tc>
          <w:tcPr/>
          <w:p>
            <w:pPr>
              <w:pStyle w:val="Compact"/>
            </w:pPr>
            <w:r>
              <w:t xml:space="preserve">Sector / theme</w:t>
            </w:r>
          </w:p>
        </w:tc>
        <w:tc>
          <w:tcPr/>
          <w:p>
            <w:pPr>
              <w:pStyle w:val="Compact"/>
            </w:pPr>
            <w:r>
              <w:t xml:space="preserve">Rev (25%)</w:t>
            </w:r>
          </w:p>
        </w:tc>
        <w:tc>
          <w:tcPr/>
          <w:p>
            <w:pPr>
              <w:pStyle w:val="Compact"/>
            </w:pPr>
            <w:r>
              <w:t xml:space="preserve">Cat (20%)</w:t>
            </w:r>
          </w:p>
        </w:tc>
        <w:tc>
          <w:tcPr/>
          <w:p>
            <w:pPr>
              <w:pStyle w:val="Compact"/>
            </w:pPr>
            <w:r>
              <w:t xml:space="preserve">Mom (20%)</w:t>
            </w:r>
          </w:p>
        </w:tc>
        <w:tc>
          <w:tcPr/>
          <w:p>
            <w:pPr>
              <w:pStyle w:val="Compact"/>
            </w:pPr>
            <w:r>
              <w:t xml:space="preserve">Risk (15%)</w:t>
            </w:r>
          </w:p>
        </w:tc>
        <w:tc>
          <w:tcPr/>
          <w:p>
            <w:pPr>
              <w:pStyle w:val="Compact"/>
            </w:pPr>
            <w:r>
              <w:t xml:space="preserve">Val (10%)</w:t>
            </w:r>
          </w:p>
        </w:tc>
        <w:tc>
          <w:tcPr/>
          <w:p>
            <w:pPr>
              <w:pStyle w:val="Compact"/>
            </w:pPr>
            <w:r>
              <w:t xml:space="preserve">Struct (10%)</w:t>
            </w:r>
          </w:p>
        </w:tc>
        <w:tc>
          <w:tcPr/>
          <w:p>
            <w:pPr>
              <w:pStyle w:val="Compact"/>
            </w:pPr>
            <w:r>
              <w:t xml:space="preserve">Weighted</w:t>
            </w:r>
          </w:p>
        </w:tc>
        <w:tc>
          <w:tcPr/>
          <w:p>
            <w:pPr>
              <w:pStyle w:val="Compact"/>
            </w:pPr>
            <w:r>
              <w:t xml:space="preserve">Unweighted /30</w:t>
            </w:r>
          </w:p>
        </w:tc>
      </w:tr>
      <w:tr>
        <w:tc>
          <w:tcPr/>
          <w:p>
            <w:pPr>
              <w:pStyle w:val="Compact"/>
            </w:pPr>
            <w:r>
              <w:t xml:space="preserve">1</w:t>
            </w:r>
          </w:p>
        </w:tc>
        <w:tc>
          <w:tcPr/>
          <w:p>
            <w:pPr>
              <w:pStyle w:val="Compact"/>
            </w:pPr>
            <w:r>
              <w:t xml:space="preserve">NVDA</w:t>
            </w:r>
          </w:p>
        </w:tc>
        <w:tc>
          <w:tcPr/>
          <w:p>
            <w:pPr>
              <w:pStyle w:val="Compact"/>
            </w:pPr>
            <w:r>
              <w:t xml:space="preserve">IT: AI compute</w:t>
            </w:r>
          </w:p>
        </w:tc>
        <w:tc>
          <w:tcPr/>
          <w:p>
            <w:pPr>
              <w:pStyle w:val="Compact"/>
            </w:pPr>
            <w:r>
              <w:t xml:space="preserve">5</w:t>
            </w:r>
          </w:p>
        </w:tc>
        <w:tc>
          <w:tcPr/>
          <w:p>
            <w:pPr>
              <w:pStyle w:val="Compact"/>
            </w:pPr>
            <w:r>
              <w:t xml:space="preserve">3</w:t>
            </w:r>
          </w:p>
        </w:tc>
        <w:tc>
          <w:tcPr/>
          <w:p>
            <w:pPr>
              <w:pStyle w:val="Compact"/>
            </w:pPr>
            <w:r>
              <w:t xml:space="preserve">2</w:t>
            </w:r>
          </w:p>
        </w:tc>
        <w:tc>
          <w:tcPr/>
          <w:p>
            <w:pPr>
              <w:pStyle w:val="Compact"/>
            </w:pPr>
            <w:r>
              <w:t xml:space="preserve">4</w:t>
            </w:r>
          </w:p>
        </w:tc>
        <w:tc>
          <w:tcPr/>
          <w:p>
            <w:pPr>
              <w:pStyle w:val="Compact"/>
            </w:pPr>
            <w:r>
              <w:t xml:space="preserve">4</w:t>
            </w:r>
          </w:p>
        </w:tc>
        <w:tc>
          <w:tcPr/>
          <w:p>
            <w:pPr>
              <w:pStyle w:val="Compact"/>
            </w:pPr>
            <w:r>
              <w:t xml:space="preserve">5</w:t>
            </w:r>
          </w:p>
        </w:tc>
        <w:tc>
          <w:tcPr/>
          <w:p>
            <w:pPr>
              <w:pStyle w:val="Compact"/>
            </w:pPr>
            <w:r>
              <w:rPr>
                <w:b/>
                <w:bCs/>
              </w:rPr>
              <w:t xml:space="preserve">3.75</w:t>
            </w:r>
          </w:p>
        </w:tc>
        <w:tc>
          <w:tcPr/>
          <w:p>
            <w:pPr>
              <w:pStyle w:val="Compact"/>
            </w:pPr>
            <w:r>
              <w:t xml:space="preserve">23</w:t>
            </w:r>
          </w:p>
        </w:tc>
      </w:tr>
      <w:tr>
        <w:tc>
          <w:tcPr/>
          <w:p>
            <w:pPr>
              <w:pStyle w:val="Compact"/>
            </w:pPr>
            <w:r>
              <w:t xml:space="preserve">1</w:t>
            </w:r>
          </w:p>
        </w:tc>
        <w:tc>
          <w:tcPr/>
          <w:p>
            <w:pPr>
              <w:pStyle w:val="Compact"/>
            </w:pPr>
            <w:r>
              <w:t xml:space="preserve">TRV</w:t>
            </w:r>
          </w:p>
        </w:tc>
        <w:tc>
          <w:tcPr/>
          <w:p>
            <w:pPr>
              <w:pStyle w:val="Compact"/>
            </w:pPr>
            <w:r>
              <w:t xml:space="preserve">Financials: P&amp;C insurance</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3</w:t>
            </w:r>
          </w:p>
        </w:tc>
        <w:tc>
          <w:tcPr/>
          <w:p>
            <w:pPr>
              <w:pStyle w:val="Compact"/>
            </w:pPr>
            <w:r>
              <w:rPr>
                <w:b/>
                <w:bCs/>
              </w:rPr>
              <w:t xml:space="preserve">3.75</w:t>
            </w:r>
          </w:p>
        </w:tc>
        <w:tc>
          <w:tcPr/>
          <w:p>
            <w:pPr>
              <w:pStyle w:val="Compact"/>
            </w:pPr>
            <w:r>
              <w:t xml:space="preserve">21</w:t>
            </w:r>
          </w:p>
        </w:tc>
      </w:tr>
      <w:tr>
        <w:tc>
          <w:tcPr/>
          <w:p>
            <w:pPr>
              <w:pStyle w:val="Compact"/>
            </w:pPr>
            <w:r>
              <w:t xml:space="preserve">3</w:t>
            </w:r>
          </w:p>
        </w:tc>
        <w:tc>
          <w:tcPr/>
          <w:p>
            <w:pPr>
              <w:pStyle w:val="Compact"/>
            </w:pPr>
            <w:r>
              <w:t xml:space="preserve">DELL</w:t>
            </w:r>
          </w:p>
        </w:tc>
        <w:tc>
          <w:tcPr/>
          <w:p>
            <w:pPr>
              <w:pStyle w:val="Compact"/>
            </w:pPr>
            <w:r>
              <w:t xml:space="preserve">IT: AI servers</w:t>
            </w:r>
          </w:p>
        </w:tc>
        <w:tc>
          <w:tcPr/>
          <w:p>
            <w:pPr>
              <w:pStyle w:val="Compact"/>
            </w:pPr>
            <w:r>
              <w:t xml:space="preserve">5</w:t>
            </w:r>
          </w:p>
        </w:tc>
        <w:tc>
          <w:tcPr/>
          <w:p>
            <w:pPr>
              <w:pStyle w:val="Compact"/>
            </w:pPr>
            <w:r>
              <w:t xml:space="preserve">2</w:t>
            </w:r>
          </w:p>
        </w:tc>
        <w:tc>
          <w:tcPr/>
          <w:p>
            <w:pPr>
              <w:pStyle w:val="Compact"/>
            </w:pPr>
            <w:r>
              <w:t xml:space="preserve">5</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rPr>
                <w:b/>
                <w:bCs/>
              </w:rPr>
              <w:t xml:space="preserve">3.65</w:t>
            </w:r>
          </w:p>
        </w:tc>
        <w:tc>
          <w:tcPr/>
          <w:p>
            <w:pPr>
              <w:pStyle w:val="Compact"/>
            </w:pPr>
            <w:r>
              <w:t xml:space="preserve">21</w:t>
            </w:r>
          </w:p>
        </w:tc>
      </w:tr>
      <w:tr>
        <w:tc>
          <w:tcPr/>
          <w:p>
            <w:pPr>
              <w:pStyle w:val="Compact"/>
            </w:pPr>
            <w:r>
              <w:t xml:space="preserve">3</w:t>
            </w:r>
          </w:p>
        </w:tc>
        <w:tc>
          <w:tcPr/>
          <w:p>
            <w:pPr>
              <w:pStyle w:val="Compact"/>
            </w:pPr>
            <w:r>
              <w:t xml:space="preserve">ANET</w:t>
            </w:r>
          </w:p>
        </w:tc>
        <w:tc>
          <w:tcPr/>
          <w:p>
            <w:pPr>
              <w:pStyle w:val="Compact"/>
            </w:pPr>
            <w:r>
              <w:t xml:space="preserve">IT: AI networking</w:t>
            </w:r>
          </w:p>
        </w:tc>
        <w:tc>
          <w:tcPr/>
          <w:p>
            <w:pPr>
              <w:pStyle w:val="Compact"/>
            </w:pPr>
            <w:r>
              <w:t xml:space="preserve">4</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4</w:t>
            </w:r>
          </w:p>
        </w:tc>
        <w:tc>
          <w:tcPr/>
          <w:p>
            <w:pPr>
              <w:pStyle w:val="Compact"/>
            </w:pPr>
            <w:r>
              <w:rPr>
                <w:b/>
                <w:bCs/>
              </w:rPr>
              <w:t xml:space="preserve">3.65</w:t>
            </w:r>
          </w:p>
        </w:tc>
        <w:tc>
          <w:tcPr/>
          <w:p>
            <w:pPr>
              <w:pStyle w:val="Compact"/>
            </w:pPr>
            <w:r>
              <w:t xml:space="preserve">21</w:t>
            </w:r>
          </w:p>
        </w:tc>
      </w:tr>
      <w:tr>
        <w:tc>
          <w:tcPr/>
          <w:p>
            <w:pPr>
              <w:pStyle w:val="Compact"/>
            </w:pPr>
            <w:r>
              <w:t xml:space="preserve">5</w:t>
            </w:r>
          </w:p>
        </w:tc>
        <w:tc>
          <w:tcPr/>
          <w:p>
            <w:pPr>
              <w:pStyle w:val="Compact"/>
            </w:pPr>
            <w:r>
              <w:t xml:space="preserve">APH</w:t>
            </w:r>
          </w:p>
        </w:tc>
        <w:tc>
          <w:tcPr/>
          <w:p>
            <w:pPr>
              <w:pStyle w:val="Compact"/>
            </w:pPr>
            <w:r>
              <w:t xml:space="preserve">IT: interconnect (AI + diversified)</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4</w:t>
            </w:r>
          </w:p>
        </w:tc>
        <w:tc>
          <w:tcPr/>
          <w:p>
            <w:pPr>
              <w:pStyle w:val="Compact"/>
            </w:pPr>
            <w:r>
              <w:rPr>
                <w:b/>
                <w:bCs/>
              </w:rPr>
              <w:t xml:space="preserve">3.60</w:t>
            </w:r>
          </w:p>
        </w:tc>
        <w:tc>
          <w:tcPr/>
          <w:p>
            <w:pPr>
              <w:pStyle w:val="Compact"/>
            </w:pPr>
            <w:r>
              <w:t xml:space="preserve">21</w:t>
            </w:r>
          </w:p>
        </w:tc>
      </w:tr>
      <w:tr>
        <w:tc>
          <w:tcPr/>
          <w:p>
            <w:pPr>
              <w:pStyle w:val="Compact"/>
            </w:pPr>
            <w:r>
              <w:t xml:space="preserve">6</w:t>
            </w:r>
          </w:p>
        </w:tc>
        <w:tc>
          <w:tcPr/>
          <w:p>
            <w:pPr>
              <w:pStyle w:val="Compact"/>
            </w:pPr>
            <w:r>
              <w:t xml:space="preserve">JPM</w:t>
            </w:r>
          </w:p>
        </w:tc>
        <w:tc>
          <w:tcPr/>
          <w:p>
            <w:pPr>
              <w:pStyle w:val="Compact"/>
            </w:pPr>
            <w:r>
              <w:t xml:space="preserve">Financials: bank</w:t>
            </w:r>
          </w:p>
        </w:tc>
        <w:tc>
          <w:tcPr/>
          <w:p>
            <w:pPr>
              <w:pStyle w:val="Compact"/>
            </w:pPr>
            <w:r>
              <w:t xml:space="preserve">4</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3</w:t>
            </w:r>
          </w:p>
        </w:tc>
        <w:tc>
          <w:tcPr/>
          <w:p>
            <w:pPr>
              <w:pStyle w:val="Compact"/>
            </w:pPr>
            <w:r>
              <w:t xml:space="preserve">4</w:t>
            </w:r>
          </w:p>
        </w:tc>
        <w:tc>
          <w:tcPr/>
          <w:p>
            <w:pPr>
              <w:pStyle w:val="Compact"/>
            </w:pPr>
            <w:r>
              <w:rPr>
                <w:b/>
                <w:bCs/>
              </w:rPr>
              <w:t xml:space="preserve">3.55</w:t>
            </w:r>
          </w:p>
        </w:tc>
        <w:tc>
          <w:tcPr/>
          <w:p>
            <w:pPr>
              <w:pStyle w:val="Compact"/>
            </w:pPr>
            <w:r>
              <w:t xml:space="preserve">21</w:t>
            </w:r>
          </w:p>
        </w:tc>
      </w:tr>
      <w:tr>
        <w:tc>
          <w:tcPr/>
          <w:p>
            <w:pPr>
              <w:pStyle w:val="Compact"/>
            </w:pPr>
            <w:r>
              <w:t xml:space="preserve">7</w:t>
            </w:r>
          </w:p>
        </w:tc>
        <w:tc>
          <w:tcPr/>
          <w:p>
            <w:pPr>
              <w:pStyle w:val="Compact"/>
            </w:pPr>
            <w:r>
              <w:t xml:space="preserve">MU</w:t>
            </w:r>
          </w:p>
        </w:tc>
        <w:tc>
          <w:tcPr/>
          <w:p>
            <w:pPr>
              <w:pStyle w:val="Compact"/>
            </w:pPr>
            <w:r>
              <w:t xml:space="preserve">IT: AI memory</w:t>
            </w:r>
          </w:p>
        </w:tc>
        <w:tc>
          <w:tcPr/>
          <w:p>
            <w:pPr>
              <w:pStyle w:val="Compact"/>
            </w:pPr>
            <w:r>
              <w:t xml:space="preserve">5</w:t>
            </w:r>
          </w:p>
        </w:tc>
        <w:tc>
          <w:tcPr/>
          <w:p>
            <w:pPr>
              <w:pStyle w:val="Compact"/>
            </w:pPr>
            <w:r>
              <w:t xml:space="preserve">4</w:t>
            </w:r>
          </w:p>
        </w:tc>
        <w:tc>
          <w:tcPr/>
          <w:p>
            <w:pPr>
              <w:pStyle w:val="Compact"/>
            </w:pPr>
            <w:r>
              <w:t xml:space="preserve">4</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rPr>
                <w:b/>
                <w:bCs/>
              </w:rPr>
              <w:t xml:space="preserve">3.50</w:t>
            </w:r>
          </w:p>
        </w:tc>
        <w:tc>
          <w:tcPr/>
          <w:p>
            <w:pPr>
              <w:pStyle w:val="Compact"/>
            </w:pPr>
            <w:r>
              <w:t xml:space="preserve">19</w:t>
            </w:r>
          </w:p>
        </w:tc>
      </w:tr>
      <w:tr>
        <w:tc>
          <w:tcPr/>
          <w:p>
            <w:pPr>
              <w:pStyle w:val="Compact"/>
            </w:pPr>
            <w:r>
              <w:t xml:space="preserve">7</w:t>
            </w:r>
          </w:p>
        </w:tc>
        <w:tc>
          <w:tcPr/>
          <w:p>
            <w:pPr>
              <w:pStyle w:val="Compact"/>
            </w:pPr>
            <w:r>
              <w:t xml:space="preserve">THC</w:t>
            </w:r>
          </w:p>
        </w:tc>
        <w:tc>
          <w:tcPr/>
          <w:p>
            <w:pPr>
              <w:pStyle w:val="Compact"/>
            </w:pPr>
            <w:r>
              <w:t xml:space="preserve">Health care: hospitals</w:t>
            </w:r>
          </w:p>
        </w:tc>
        <w:tc>
          <w:tcPr/>
          <w:p>
            <w:pPr>
              <w:pStyle w:val="Compact"/>
            </w:pPr>
            <w:r>
              <w:t xml:space="preserve">4</w:t>
            </w:r>
          </w:p>
        </w:tc>
        <w:tc>
          <w:tcPr/>
          <w:p>
            <w:pPr>
              <w:pStyle w:val="Compact"/>
            </w:pPr>
            <w:r>
              <w:t xml:space="preserve">3</w:t>
            </w:r>
          </w:p>
        </w:tc>
        <w:tc>
          <w:tcPr/>
          <w:p>
            <w:pPr>
              <w:pStyle w:val="Compact"/>
            </w:pPr>
            <w:r>
              <w:t xml:space="preserve">5</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rPr>
                <w:b/>
                <w:bCs/>
              </w:rPr>
              <w:t xml:space="preserve">3.50</w:t>
            </w:r>
          </w:p>
        </w:tc>
        <w:tc>
          <w:tcPr/>
          <w:p>
            <w:pPr>
              <w:pStyle w:val="Compact"/>
            </w:pPr>
            <w:r>
              <w:t xml:space="preserve">20</w:t>
            </w:r>
          </w:p>
        </w:tc>
      </w:tr>
      <w:tr>
        <w:tc>
          <w:tcPr/>
          <w:p>
            <w:pPr>
              <w:pStyle w:val="Compact"/>
            </w:pPr>
            <w:r>
              <w:t xml:space="preserve">9</w:t>
            </w:r>
          </w:p>
        </w:tc>
        <w:tc>
          <w:tcPr/>
          <w:p>
            <w:pPr>
              <w:pStyle w:val="Compact"/>
            </w:pPr>
            <w:r>
              <w:t xml:space="preserve">VLO</w:t>
            </w:r>
          </w:p>
        </w:tc>
        <w:tc>
          <w:tcPr/>
          <w:p>
            <w:pPr>
              <w:pStyle w:val="Compact"/>
            </w:pPr>
            <w:r>
              <w:t xml:space="preserve">Energy: refining</w:t>
            </w:r>
          </w:p>
        </w:tc>
        <w:tc>
          <w:tcPr/>
          <w:p>
            <w:pPr>
              <w:pStyle w:val="Compact"/>
            </w:pPr>
            <w:r>
              <w:t xml:space="preserve">5</w:t>
            </w:r>
          </w:p>
        </w:tc>
        <w:tc>
          <w:tcPr/>
          <w:p>
            <w:pPr>
              <w:pStyle w:val="Compact"/>
            </w:pPr>
            <w:r>
              <w:t xml:space="preserve">3</w:t>
            </w:r>
          </w:p>
        </w:tc>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rPr>
                <w:b/>
                <w:bCs/>
              </w:rPr>
              <w:t xml:space="preserve">3.30</w:t>
            </w:r>
          </w:p>
        </w:tc>
        <w:tc>
          <w:tcPr/>
          <w:p>
            <w:pPr>
              <w:pStyle w:val="Compact"/>
            </w:pPr>
            <w:r>
              <w:t xml:space="preserve">18</w:t>
            </w:r>
          </w:p>
        </w:tc>
      </w:tr>
      <w:tr>
        <w:tc>
          <w:tcPr/>
          <w:p>
            <w:pPr>
              <w:pStyle w:val="Compact"/>
            </w:pPr>
            <w:r>
              <w:t xml:space="preserve">10</w:t>
            </w:r>
          </w:p>
        </w:tc>
        <w:tc>
          <w:tcPr/>
          <w:p>
            <w:pPr>
              <w:pStyle w:val="Compact"/>
            </w:pPr>
            <w:r>
              <w:t xml:space="preserve">P (Everpure)</w:t>
            </w:r>
          </w:p>
        </w:tc>
        <w:tc>
          <w:tcPr/>
          <w:p>
            <w:pPr>
              <w:pStyle w:val="Compact"/>
            </w:pPr>
            <w:r>
              <w:t xml:space="preserve">IT: AI storage</w:t>
            </w:r>
          </w:p>
        </w:tc>
        <w:tc>
          <w:tcPr/>
          <w:p>
            <w:pPr>
              <w:pStyle w:val="Compact"/>
            </w:pPr>
            <w:r>
              <w:t xml:space="preserve">5</w:t>
            </w:r>
          </w:p>
        </w:tc>
        <w:tc>
          <w:tcPr/>
          <w:p>
            <w:pPr>
              <w:pStyle w:val="Compact"/>
            </w:pPr>
            <w:r>
              <w:t xml:space="preserve">2</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4</w:t>
            </w:r>
          </w:p>
        </w:tc>
        <w:tc>
          <w:tcPr/>
          <w:p>
            <w:pPr>
              <w:pStyle w:val="Compact"/>
            </w:pPr>
            <w:r>
              <w:rPr>
                <w:b/>
                <w:bCs/>
              </w:rPr>
              <w:t xml:space="preserve">3.25</w:t>
            </w:r>
          </w:p>
        </w:tc>
        <w:tc>
          <w:tcPr/>
          <w:p>
            <w:pPr>
              <w:pStyle w:val="Compact"/>
            </w:pPr>
            <w:r>
              <w:t xml:space="preserve">18</w:t>
            </w:r>
          </w:p>
        </w:tc>
      </w:tr>
      <w:tr>
        <w:tc>
          <w:tcPr/>
          <w:p>
            <w:pPr>
              <w:pStyle w:val="Compact"/>
            </w:pPr>
            <w:r>
              <w:t xml:space="preserve">11</w:t>
            </w:r>
          </w:p>
        </w:tc>
        <w:tc>
          <w:tcPr/>
          <w:p>
            <w:pPr>
              <w:pStyle w:val="Compact"/>
            </w:pPr>
            <w:r>
              <w:t xml:space="preserve">CVE</w:t>
            </w:r>
          </w:p>
        </w:tc>
        <w:tc>
          <w:tcPr/>
          <w:p>
            <w:pPr>
              <w:pStyle w:val="Compact"/>
            </w:pPr>
            <w:r>
              <w:t xml:space="preserve">Energy: integrated oil</w:t>
            </w:r>
          </w:p>
        </w:tc>
        <w:tc>
          <w:tcPr/>
          <w:p>
            <w:pPr>
              <w:pStyle w:val="Compact"/>
            </w:pPr>
            <w:r>
              <w:t xml:space="preserve">4</w:t>
            </w:r>
          </w:p>
        </w:tc>
        <w:tc>
          <w:tcPr/>
          <w:p>
            <w:pPr>
              <w:pStyle w:val="Compact"/>
            </w:pPr>
            <w:r>
              <w:t xml:space="preserve">3</w:t>
            </w:r>
          </w:p>
        </w:tc>
        <w:tc>
          <w:tcPr/>
          <w:p>
            <w:pPr>
              <w:pStyle w:val="Compact"/>
            </w:pPr>
            <w:r>
              <w:t xml:space="preserve">3</w:t>
            </w:r>
          </w:p>
        </w:tc>
        <w:tc>
          <w:tcPr/>
          <w:p>
            <w:pPr>
              <w:pStyle w:val="Compact"/>
            </w:pPr>
            <w:r>
              <w:t xml:space="preserve">2</w:t>
            </w:r>
          </w:p>
        </w:tc>
        <w:tc>
          <w:tcPr/>
          <w:p>
            <w:pPr>
              <w:pStyle w:val="Compact"/>
            </w:pPr>
            <w:r>
              <w:t xml:space="preserve">4</w:t>
            </w:r>
          </w:p>
        </w:tc>
        <w:tc>
          <w:tcPr/>
          <w:p>
            <w:pPr>
              <w:pStyle w:val="Compact"/>
            </w:pPr>
            <w:r>
              <w:t xml:space="preserve">3</w:t>
            </w:r>
          </w:p>
        </w:tc>
        <w:tc>
          <w:tcPr/>
          <w:p>
            <w:pPr>
              <w:pStyle w:val="Compact"/>
            </w:pPr>
            <w:r>
              <w:rPr>
                <w:b/>
                <w:bCs/>
              </w:rPr>
              <w:t xml:space="preserve">3.20</w:t>
            </w:r>
          </w:p>
        </w:tc>
        <w:tc>
          <w:tcPr/>
          <w:p>
            <w:pPr>
              <w:pStyle w:val="Compact"/>
            </w:pPr>
            <w:r>
              <w:t xml:space="preserve">19</w:t>
            </w:r>
          </w:p>
        </w:tc>
      </w:tr>
      <w:tr>
        <w:tc>
          <w:tcPr/>
          <w:p>
            <w:pPr>
              <w:pStyle w:val="Compact"/>
            </w:pPr>
            <w:r>
              <w:t xml:space="preserve">12</w:t>
            </w:r>
          </w:p>
        </w:tc>
        <w:tc>
          <w:tcPr/>
          <w:p>
            <w:pPr>
              <w:pStyle w:val="Compact"/>
            </w:pPr>
            <w:r>
              <w:t xml:space="preserve">GEV</w:t>
            </w:r>
          </w:p>
        </w:tc>
        <w:tc>
          <w:tcPr/>
          <w:p>
            <w:pPr>
              <w:pStyle w:val="Compact"/>
            </w:pPr>
            <w:r>
              <w:t xml:space="preserve">Industrials: AI power</w:t>
            </w:r>
          </w:p>
        </w:tc>
        <w:tc>
          <w:tcPr/>
          <w:p>
            <w:pPr>
              <w:pStyle w:val="Compact"/>
            </w:pPr>
            <w:r>
              <w:t xml:space="preserve">3</w:t>
            </w:r>
          </w:p>
        </w:tc>
        <w:tc>
          <w:tcPr/>
          <w:p>
            <w:pPr>
              <w:pStyle w:val="Compact"/>
            </w:pPr>
            <w:r>
              <w:t xml:space="preserve">4</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5</w:t>
            </w:r>
          </w:p>
        </w:tc>
        <w:tc>
          <w:tcPr/>
          <w:p>
            <w:pPr>
              <w:pStyle w:val="Compact"/>
            </w:pPr>
            <w:r>
              <w:rPr>
                <w:b/>
                <w:bCs/>
              </w:rPr>
              <w:t xml:space="preserve">3.10</w:t>
            </w:r>
          </w:p>
        </w:tc>
        <w:tc>
          <w:tcPr/>
          <w:p>
            <w:pPr>
              <w:pStyle w:val="Compact"/>
            </w:pPr>
            <w:r>
              <w:t xml:space="preserve">19</w:t>
            </w:r>
          </w:p>
        </w:tc>
      </w:tr>
      <w:tr>
        <w:tc>
          <w:tcPr/>
          <w:p>
            <w:pPr>
              <w:pStyle w:val="Compact"/>
            </w:pPr>
            <w:r>
              <w:t xml:space="preserve">13</w:t>
            </w:r>
          </w:p>
        </w:tc>
        <w:tc>
          <w:tcPr/>
          <w:p>
            <w:pPr>
              <w:pStyle w:val="Compact"/>
            </w:pPr>
            <w:r>
              <w:t xml:space="preserve">FIX</w:t>
            </w:r>
          </w:p>
        </w:tc>
        <w:tc>
          <w:tcPr/>
          <w:p>
            <w:pPr>
              <w:pStyle w:val="Compact"/>
            </w:pPr>
            <w:r>
              <w:t xml:space="preserve">Industrials: AI power/MEP (adjusted)</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3</w:t>
            </w:r>
          </w:p>
        </w:tc>
        <w:tc>
          <w:tcPr/>
          <w:p>
            <w:pPr>
              <w:pStyle w:val="Compact"/>
            </w:pPr>
            <w:r>
              <w:t xml:space="preserve">2</w:t>
            </w:r>
          </w:p>
        </w:tc>
        <w:tc>
          <w:tcPr/>
          <w:p>
            <w:pPr>
              <w:pStyle w:val="Compact"/>
            </w:pPr>
            <w:r>
              <w:t xml:space="preserve">4</w:t>
            </w:r>
          </w:p>
        </w:tc>
        <w:tc>
          <w:tcPr/>
          <w:p>
            <w:pPr>
              <w:pStyle w:val="Compact"/>
            </w:pPr>
            <w:r>
              <w:rPr>
                <w:b/>
                <w:bCs/>
              </w:rPr>
              <w:t xml:space="preserve">3.05</w:t>
            </w:r>
          </w:p>
        </w:tc>
        <w:tc>
          <w:tcPr/>
          <w:p>
            <w:pPr>
              <w:pStyle w:val="Compact"/>
            </w:pPr>
            <w:r>
              <w:t xml:space="preserve">18</w:t>
            </w:r>
          </w:p>
        </w:tc>
      </w:tr>
      <w:tr>
        <w:tc>
          <w:tcPr/>
          <w:p>
            <w:pPr>
              <w:pStyle w:val="Compact"/>
            </w:pPr>
            <w:r>
              <w:t xml:space="preserve">14</w:t>
            </w:r>
          </w:p>
        </w:tc>
        <w:tc>
          <w:tcPr/>
          <w:p>
            <w:pPr>
              <w:pStyle w:val="Compact"/>
            </w:pPr>
            <w:r>
              <w:t xml:space="preserve">GMED</w:t>
            </w:r>
          </w:p>
        </w:tc>
        <w:tc>
          <w:tcPr/>
          <w:p>
            <w:pPr>
              <w:pStyle w:val="Compact"/>
            </w:pPr>
            <w:r>
              <w:t xml:space="preserve">Health care: med devices</w:t>
            </w:r>
          </w:p>
        </w:tc>
        <w:tc>
          <w:tcPr/>
          <w:p>
            <w:pPr>
              <w:pStyle w:val="Compact"/>
            </w:pPr>
            <w:r>
              <w:t xml:space="preserve">4</w:t>
            </w:r>
          </w:p>
        </w:tc>
        <w:tc>
          <w:tcPr/>
          <w:p>
            <w:pPr>
              <w:pStyle w:val="Compact"/>
            </w:pPr>
            <w:r>
              <w:t xml:space="preserve">3</w:t>
            </w:r>
          </w:p>
        </w:tc>
        <w:tc>
          <w:tcPr/>
          <w:p>
            <w:pPr>
              <w:pStyle w:val="Compact"/>
            </w:pPr>
            <w:r>
              <w:t xml:space="preserve">1</w:t>
            </w:r>
          </w:p>
        </w:tc>
        <w:tc>
          <w:tcPr/>
          <w:p>
            <w:pPr>
              <w:pStyle w:val="Compact"/>
            </w:pPr>
            <w:r>
              <w:t xml:space="preserve">3</w:t>
            </w:r>
          </w:p>
        </w:tc>
        <w:tc>
          <w:tcPr/>
          <w:p>
            <w:pPr>
              <w:pStyle w:val="Compact"/>
            </w:pPr>
            <w:r>
              <w:t xml:space="preserve">4</w:t>
            </w:r>
          </w:p>
        </w:tc>
        <w:tc>
          <w:tcPr/>
          <w:p>
            <w:pPr>
              <w:pStyle w:val="Compact"/>
            </w:pPr>
            <w:r>
              <w:t xml:space="preserve">3</w:t>
            </w:r>
          </w:p>
        </w:tc>
        <w:tc>
          <w:tcPr/>
          <w:p>
            <w:pPr>
              <w:pStyle w:val="Compact"/>
            </w:pPr>
            <w:r>
              <w:rPr>
                <w:b/>
                <w:bCs/>
              </w:rPr>
              <w:t xml:space="preserve">2.95</w:t>
            </w:r>
          </w:p>
        </w:tc>
        <w:tc>
          <w:tcPr/>
          <w:p>
            <w:pPr>
              <w:pStyle w:val="Compact"/>
            </w:pPr>
            <w:r>
              <w:t xml:space="preserve">18</w:t>
            </w:r>
          </w:p>
        </w:tc>
      </w:tr>
      <w:tr>
        <w:tc>
          <w:tcPr/>
          <w:p>
            <w:pPr>
              <w:pStyle w:val="Compact"/>
            </w:pPr>
            <w:r>
              <w:t xml:space="preserve">15</w:t>
            </w:r>
          </w:p>
        </w:tc>
        <w:tc>
          <w:tcPr/>
          <w:p>
            <w:pPr>
              <w:pStyle w:val="Compact"/>
            </w:pPr>
            <w:r>
              <w:t xml:space="preserve">VRT</w:t>
            </w:r>
          </w:p>
        </w:tc>
        <w:tc>
          <w:tcPr/>
          <w:p>
            <w:pPr>
              <w:pStyle w:val="Compact"/>
            </w:pPr>
            <w:r>
              <w:t xml:space="preserve">Industrials: AI power/cooling</w:t>
            </w:r>
          </w:p>
        </w:tc>
        <w:tc>
          <w:tcPr/>
          <w:p>
            <w:pPr>
              <w:pStyle w:val="Compact"/>
            </w:pPr>
            <w:r>
              <w:t xml:space="preserve">4</w:t>
            </w:r>
          </w:p>
        </w:tc>
        <w:tc>
          <w:tcPr/>
          <w:p>
            <w:pPr>
              <w:pStyle w:val="Compact"/>
            </w:pPr>
            <w:r>
              <w:t xml:space="preserve">4</w:t>
            </w:r>
          </w:p>
        </w:tc>
        <w:tc>
          <w:tcPr/>
          <w:p>
            <w:pPr>
              <w:pStyle w:val="Compact"/>
            </w:pPr>
            <w:r>
              <w:t xml:space="preserve">1</w:t>
            </w:r>
          </w:p>
        </w:tc>
        <w:tc>
          <w:tcPr/>
          <w:p>
            <w:pPr>
              <w:pStyle w:val="Compact"/>
            </w:pPr>
            <w:r>
              <w:t xml:space="preserve">1</w:t>
            </w:r>
          </w:p>
        </w:tc>
        <w:tc>
          <w:tcPr/>
          <w:p>
            <w:pPr>
              <w:pStyle w:val="Compact"/>
            </w:pPr>
            <w:r>
              <w:t xml:space="preserve">3</w:t>
            </w:r>
          </w:p>
        </w:tc>
        <w:tc>
          <w:tcPr/>
          <w:p>
            <w:pPr>
              <w:pStyle w:val="Compact"/>
            </w:pPr>
            <w:r>
              <w:t xml:space="preserve">4</w:t>
            </w:r>
          </w:p>
        </w:tc>
        <w:tc>
          <w:tcPr/>
          <w:p>
            <w:pPr>
              <w:pStyle w:val="Compact"/>
            </w:pPr>
            <w:r>
              <w:rPr>
                <w:b/>
                <w:bCs/>
              </w:rPr>
              <w:t xml:space="preserve">2.85</w:t>
            </w:r>
          </w:p>
        </w:tc>
        <w:tc>
          <w:tcPr/>
          <w:p>
            <w:pPr>
              <w:pStyle w:val="Compact"/>
            </w:pPr>
            <w:r>
              <w:t xml:space="preserve">17</w:t>
            </w:r>
          </w:p>
        </w:tc>
      </w:tr>
      <w:tr>
        <w:tc>
          <w:tcPr/>
          <w:p>
            <w:pPr>
              <w:pStyle w:val="Compact"/>
            </w:pPr>
            <w:r>
              <w:t xml:space="preserve">16</w:t>
            </w:r>
          </w:p>
        </w:tc>
        <w:tc>
          <w:tcPr/>
          <w:p>
            <w:pPr>
              <w:pStyle w:val="Compact"/>
            </w:pPr>
            <w:r>
              <w:t xml:space="preserve">CRWD</w:t>
            </w:r>
          </w:p>
        </w:tc>
        <w:tc>
          <w:tcPr/>
          <w:p>
            <w:pPr>
              <w:pStyle w:val="Compact"/>
            </w:pPr>
            <w:r>
              <w:t xml:space="preserve">IT: security software</w:t>
            </w:r>
          </w:p>
        </w:tc>
        <w:tc>
          <w:tcPr/>
          <w:p>
            <w:pPr>
              <w:pStyle w:val="Compact"/>
            </w:pPr>
            <w:r>
              <w:t xml:space="preserve">4</w:t>
            </w:r>
          </w:p>
        </w:tc>
        <w:tc>
          <w:tcPr/>
          <w:p>
            <w:pPr>
              <w:pStyle w:val="Compact"/>
            </w:pPr>
            <w:r>
              <w:t xml:space="preserve">1</w:t>
            </w:r>
          </w:p>
        </w:tc>
        <w:tc>
          <w:tcPr/>
          <w:p>
            <w:pPr>
              <w:pStyle w:val="Compact"/>
            </w:pPr>
            <w:r>
              <w:t xml:space="preserve">4</w:t>
            </w:r>
          </w:p>
        </w:tc>
        <w:tc>
          <w:tcPr/>
          <w:p>
            <w:pPr>
              <w:pStyle w:val="Compact"/>
            </w:pPr>
            <w:r>
              <w:t xml:space="preserve">2</w:t>
            </w:r>
          </w:p>
        </w:tc>
        <w:tc>
          <w:tcPr/>
          <w:p>
            <w:pPr>
              <w:pStyle w:val="Compact"/>
            </w:pPr>
            <w:r>
              <w:t xml:space="preserve">1</w:t>
            </w:r>
          </w:p>
        </w:tc>
        <w:tc>
          <w:tcPr/>
          <w:p>
            <w:pPr>
              <w:pStyle w:val="Compact"/>
            </w:pPr>
            <w:r>
              <w:t xml:space="preserve">4</w:t>
            </w:r>
          </w:p>
        </w:tc>
        <w:tc>
          <w:tcPr/>
          <w:p>
            <w:pPr>
              <w:pStyle w:val="Compact"/>
            </w:pPr>
            <w:r>
              <w:rPr>
                <w:b/>
                <w:bCs/>
              </w:rPr>
              <w:t xml:space="preserve">2.80</w:t>
            </w:r>
          </w:p>
        </w:tc>
        <w:tc>
          <w:tcPr/>
          <w:p>
            <w:pPr>
              <w:pStyle w:val="Compact"/>
            </w:pPr>
            <w:r>
              <w:t xml:space="preserve">16</w:t>
            </w:r>
          </w:p>
        </w:tc>
      </w:tr>
      <w:tr>
        <w:tc>
          <w:tcPr/>
          <w:p>
            <w:pPr>
              <w:pStyle w:val="Compact"/>
            </w:pPr>
            <w:r>
              <w:t xml:space="preserve">17</w:t>
            </w:r>
          </w:p>
        </w:tc>
        <w:tc>
          <w:tcPr/>
          <w:p>
            <w:pPr>
              <w:pStyle w:val="Compact"/>
            </w:pPr>
            <w:r>
              <w:t xml:space="preserve">SNOW</w:t>
            </w:r>
          </w:p>
        </w:tc>
        <w:tc>
          <w:tcPr/>
          <w:p>
            <w:pPr>
              <w:pStyle w:val="Compact"/>
            </w:pPr>
            <w:r>
              <w:t xml:space="preserve">IT: data software</w:t>
            </w:r>
          </w:p>
        </w:tc>
        <w:tc>
          <w:tcPr/>
          <w:p>
            <w:pPr>
              <w:pStyle w:val="Compact"/>
            </w:pPr>
            <w:r>
              <w:t xml:space="preserve">4</w:t>
            </w:r>
          </w:p>
        </w:tc>
        <w:tc>
          <w:tcPr/>
          <w:p>
            <w:pPr>
              <w:pStyle w:val="Compact"/>
            </w:pPr>
            <w:r>
              <w:t xml:space="preserve">1</w:t>
            </w:r>
          </w:p>
        </w:tc>
        <w:tc>
          <w:tcPr/>
          <w:p>
            <w:pPr>
              <w:pStyle w:val="Compact"/>
            </w:pPr>
            <w:r>
              <w:t xml:space="preserve">3</w:t>
            </w:r>
          </w:p>
        </w:tc>
        <w:tc>
          <w:tcPr/>
          <w:p>
            <w:pPr>
              <w:pStyle w:val="Compact"/>
            </w:pPr>
            <w:r>
              <w:t xml:space="preserve">2</w:t>
            </w:r>
          </w:p>
        </w:tc>
        <w:tc>
          <w:tcPr/>
          <w:p>
            <w:pPr>
              <w:pStyle w:val="Compact"/>
            </w:pPr>
            <w:r>
              <w:t xml:space="preserve">2</w:t>
            </w:r>
          </w:p>
        </w:tc>
        <w:tc>
          <w:tcPr/>
          <w:p>
            <w:pPr>
              <w:pStyle w:val="Compact"/>
            </w:pPr>
            <w:r>
              <w:t xml:space="preserve">4</w:t>
            </w:r>
          </w:p>
        </w:tc>
        <w:tc>
          <w:tcPr/>
          <w:p>
            <w:pPr>
              <w:pStyle w:val="Compact"/>
            </w:pPr>
            <w:r>
              <w:rPr>
                <w:b/>
                <w:bCs/>
              </w:rPr>
              <w:t xml:space="preserve">2.70</w:t>
            </w:r>
          </w:p>
        </w:tc>
        <w:tc>
          <w:tcPr/>
          <w:p>
            <w:pPr>
              <w:pStyle w:val="Compact"/>
            </w:pPr>
            <w:r>
              <w:t xml:space="preserve">16</w:t>
            </w:r>
          </w:p>
        </w:tc>
      </w:tr>
      <w:tr>
        <w:tc>
          <w:tcPr/>
          <w:p>
            <w:pPr>
              <w:pStyle w:val="Compact"/>
            </w:pPr>
            <w:r>
              <w:t xml:space="preserve">17</w:t>
            </w:r>
          </w:p>
        </w:tc>
        <w:tc>
          <w:tcPr/>
          <w:p>
            <w:pPr>
              <w:pStyle w:val="Compact"/>
            </w:pPr>
            <w:r>
              <w:t xml:space="preserve">KR</w:t>
            </w:r>
          </w:p>
        </w:tc>
        <w:tc>
          <w:tcPr/>
          <w:p>
            <w:pPr>
              <w:pStyle w:val="Compact"/>
            </w:pPr>
            <w:r>
              <w:t xml:space="preserve">Staples: grocery</w:t>
            </w:r>
          </w:p>
        </w:tc>
        <w:tc>
          <w:tcPr/>
          <w:p>
            <w:pPr>
              <w:pStyle w:val="Compact"/>
            </w:pPr>
            <w:r>
              <w:t xml:space="preserve">2</w:t>
            </w:r>
          </w:p>
        </w:tc>
        <w:tc>
          <w:tcPr/>
          <w:p>
            <w:pPr>
              <w:pStyle w:val="Compact"/>
            </w:pPr>
            <w:r>
              <w:t xml:space="preserve">4</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t xml:space="preserve">2</w:t>
            </w:r>
          </w:p>
        </w:tc>
        <w:tc>
          <w:tcPr/>
          <w:p>
            <w:pPr>
              <w:pStyle w:val="Compact"/>
            </w:pPr>
            <w:r>
              <w:rPr>
                <w:b/>
                <w:bCs/>
              </w:rPr>
              <w:t xml:space="preserve">2.70</w:t>
            </w:r>
          </w:p>
        </w:tc>
        <w:tc>
          <w:tcPr/>
          <w:p>
            <w:pPr>
              <w:pStyle w:val="Compact"/>
            </w:pPr>
            <w:r>
              <w:t xml:space="preserve">17</w:t>
            </w:r>
          </w:p>
        </w:tc>
      </w:tr>
      <w:tr>
        <w:tc>
          <w:tcPr/>
          <w:p>
            <w:pPr>
              <w:pStyle w:val="Compact"/>
            </w:pPr>
            <w:r>
              <w:t xml:space="preserve">19</w:t>
            </w:r>
          </w:p>
        </w:tc>
        <w:tc>
          <w:tcPr/>
          <w:p>
            <w:pPr>
              <w:pStyle w:val="Compact"/>
            </w:pPr>
            <w:r>
              <w:t xml:space="preserve">STRL</w:t>
            </w:r>
          </w:p>
        </w:tc>
        <w:tc>
          <w:tcPr/>
          <w:p>
            <w:pPr>
              <w:pStyle w:val="Compact"/>
            </w:pPr>
            <w:r>
              <w:t xml:space="preserve">Industrials: AI site work</w:t>
            </w:r>
          </w:p>
        </w:tc>
        <w:tc>
          <w:tcPr/>
          <w:p>
            <w:pPr>
              <w:pStyle w:val="Compact"/>
            </w:pPr>
            <w:r>
              <w:t xml:space="preserve">4</w:t>
            </w:r>
          </w:p>
        </w:tc>
        <w:tc>
          <w:tcPr/>
          <w:p>
            <w:pPr>
              <w:pStyle w:val="Compact"/>
            </w:pPr>
            <w:r>
              <w:t xml:space="preserve">3</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4</w:t>
            </w:r>
          </w:p>
        </w:tc>
        <w:tc>
          <w:tcPr/>
          <w:p>
            <w:pPr>
              <w:pStyle w:val="Compact"/>
            </w:pPr>
            <w:r>
              <w:rPr>
                <w:b/>
                <w:bCs/>
              </w:rPr>
              <w:t xml:space="preserve">2.55</w:t>
            </w:r>
          </w:p>
        </w:tc>
        <w:tc>
          <w:tcPr/>
          <w:p>
            <w:pPr>
              <w:pStyle w:val="Compact"/>
            </w:pPr>
            <w:r>
              <w:t xml:space="preserve">16</w:t>
            </w:r>
          </w:p>
        </w:tc>
      </w:tr>
      <w:tr>
        <w:tc>
          <w:tcPr/>
          <w:p>
            <w:pPr>
              <w:pStyle w:val="Compact"/>
            </w:pPr>
            <w:r>
              <w:t xml:space="preserve">20</w:t>
            </w:r>
          </w:p>
        </w:tc>
        <w:tc>
          <w:tcPr/>
          <w:p>
            <w:pPr>
              <w:pStyle w:val="Compact"/>
            </w:pPr>
            <w:r>
              <w:t xml:space="preserve">GS</w:t>
            </w:r>
          </w:p>
        </w:tc>
        <w:tc>
          <w:tcPr/>
          <w:p>
            <w:pPr>
              <w:pStyle w:val="Compact"/>
            </w:pPr>
            <w:r>
              <w:t xml:space="preserve">Financials: investment bank</w:t>
            </w:r>
          </w:p>
        </w:tc>
        <w:tc>
          <w:tcPr/>
          <w:p>
            <w:pPr>
              <w:pStyle w:val="Compact"/>
            </w:pPr>
            <w:r>
              <w:t xml:space="preserve">1</w:t>
            </w:r>
          </w:p>
        </w:tc>
        <w:tc>
          <w:tcPr/>
          <w:p>
            <w:pPr>
              <w:pStyle w:val="Compact"/>
            </w:pPr>
            <w:r>
              <w:t xml:space="preserve">3</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3</w:t>
            </w:r>
          </w:p>
        </w:tc>
        <w:tc>
          <w:tcPr/>
          <w:p>
            <w:pPr>
              <w:pStyle w:val="Compact"/>
            </w:pPr>
            <w:r>
              <w:rPr>
                <w:b/>
                <w:bCs/>
              </w:rPr>
              <w:t xml:space="preserve">1.95</w:t>
            </w:r>
          </w:p>
        </w:tc>
        <w:tc>
          <w:tcPr/>
          <w:p>
            <w:pPr>
              <w:pStyle w:val="Compact"/>
            </w:pPr>
            <w:r>
              <w:t xml:space="preserve">13</w:t>
            </w:r>
          </w:p>
        </w:tc>
      </w:tr>
      <w:tr>
        <w:tc>
          <w:tcPr/>
          <w:p>
            <w:pPr>
              <w:pStyle w:val="Compact"/>
            </w:pPr>
            <w:r>
              <w:t xml:space="preserve">21</w:t>
            </w:r>
          </w:p>
        </w:tc>
        <w:tc>
          <w:tcPr/>
          <w:p>
            <w:pPr>
              <w:pStyle w:val="Compact"/>
            </w:pPr>
            <w:r>
              <w:t xml:space="preserve">CCL</w:t>
            </w:r>
          </w:p>
        </w:tc>
        <w:tc>
          <w:tcPr/>
          <w:p>
            <w:pPr>
              <w:pStyle w:val="Compact"/>
            </w:pPr>
            <w:r>
              <w:t xml:space="preserve">Discretionary: cruise</w:t>
            </w:r>
          </w:p>
        </w:tc>
        <w:tc>
          <w:tcPr/>
          <w:p>
            <w:pPr>
              <w:pStyle w:val="Compact"/>
            </w:pPr>
            <w:r>
              <w:t xml:space="preserve">1</w:t>
            </w:r>
          </w:p>
        </w:tc>
        <w:tc>
          <w:tcPr/>
          <w:p>
            <w:pPr>
              <w:pStyle w:val="Compact"/>
            </w:pPr>
            <w:r>
              <w:t xml:space="preserve">4</w:t>
            </w:r>
          </w:p>
        </w:tc>
        <w:tc>
          <w:tcPr/>
          <w:p>
            <w:pPr>
              <w:pStyle w:val="Compact"/>
            </w:pPr>
            <w:r>
              <w:t xml:space="preserve">0</w:t>
            </w:r>
          </w:p>
        </w:tc>
        <w:tc>
          <w:tcPr/>
          <w:p>
            <w:pPr>
              <w:pStyle w:val="Compact"/>
            </w:pPr>
            <w:r>
              <w:t xml:space="preserve">1</w:t>
            </w:r>
          </w:p>
        </w:tc>
        <w:tc>
          <w:tcPr/>
          <w:p>
            <w:pPr>
              <w:pStyle w:val="Compact"/>
            </w:pPr>
            <w:r>
              <w:t xml:space="preserve">4</w:t>
            </w:r>
          </w:p>
        </w:tc>
        <w:tc>
          <w:tcPr/>
          <w:p>
            <w:pPr>
              <w:pStyle w:val="Compact"/>
            </w:pPr>
            <w:r>
              <w:t xml:space="preserve">3</w:t>
            </w:r>
          </w:p>
        </w:tc>
        <w:tc>
          <w:tcPr/>
          <w:p>
            <w:pPr>
              <w:pStyle w:val="Compact"/>
            </w:pPr>
            <w:r>
              <w:rPr>
                <w:b/>
                <w:bCs/>
              </w:rPr>
              <w:t xml:space="preserve">1.90</w:t>
            </w:r>
          </w:p>
        </w:tc>
        <w:tc>
          <w:tcPr/>
          <w:p>
            <w:pPr>
              <w:pStyle w:val="Compact"/>
            </w:pPr>
            <w:r>
              <w:t xml:space="preserve">13</w:t>
            </w:r>
          </w:p>
        </w:tc>
      </w:tr>
    </w:tbl>
    <w:p>
      <w:pPr>
        <w:pStyle w:val="BodyText"/>
      </w:pPr>
      <w:r>
        <w:rPr>
          <w:b/>
          <w:bCs/>
        </w:rPr>
        <w:t xml:space="preserve">Arithmetic check for the top three:</w:t>
      </w:r>
    </w:p>
    <w:p>
      <w:pPr>
        <w:pStyle w:val="Compact"/>
        <w:numPr>
          <w:ilvl w:val="0"/>
          <w:numId w:val="1001"/>
        </w:numPr>
      </w:pPr>
      <w:r>
        <w:t xml:space="preserve">NVDA: 5×0.25 + 3×0.20 + 2×0.20 + 4×0.15 + 4×0.10 + 5×0.10 = 1.25 + 0.60 + 0.40 + 0.60 + 0.40 + 0.50 =</w:t>
      </w:r>
      <w:r>
        <w:t xml:space="preserve"> </w:t>
      </w:r>
      <w:r>
        <w:rPr>
          <w:b/>
          <w:bCs/>
        </w:rPr>
        <w:t xml:space="preserve">3.75</w:t>
      </w:r>
    </w:p>
    <w:p>
      <w:pPr>
        <w:pStyle w:val="Compact"/>
        <w:numPr>
          <w:ilvl w:val="0"/>
          <w:numId w:val="1001"/>
        </w:numPr>
      </w:pPr>
      <w:r>
        <w:t xml:space="preserve">TRV: 1.25 + 0.80 + 0.60 + 0.60 + 0.20 + 0.30 =</w:t>
      </w:r>
      <w:r>
        <w:t xml:space="preserve"> </w:t>
      </w:r>
      <w:r>
        <w:rPr>
          <w:b/>
          <w:bCs/>
        </w:rPr>
        <w:t xml:space="preserve">3.75</w:t>
      </w:r>
    </w:p>
    <w:p>
      <w:pPr>
        <w:pStyle w:val="Compact"/>
        <w:numPr>
          <w:ilvl w:val="0"/>
          <w:numId w:val="1001"/>
        </w:numPr>
      </w:pPr>
      <w:r>
        <w:t xml:space="preserve">FIX (adjusted): 1.00 + 0.60 + 0.40 + 0.45 + 0.20 + 0.40 =</w:t>
      </w:r>
      <w:r>
        <w:t xml:space="preserve"> </w:t>
      </w:r>
      <w:r>
        <w:rPr>
          <w:b/>
          <w:bCs/>
        </w:rPr>
        <w:t xml:space="preserve">3.05</w:t>
      </w:r>
    </w:p>
    <w:p>
      <w:pPr>
        <w:pStyle w:val="FirstParagraph"/>
      </w:pPr>
      <w:r>
        <w:rPr>
          <w:b/>
          <w:bCs/>
        </w:rPr>
        <w:t xml:space="preserve">Reweighting changes the industrial/energy ranking.</w:t>
      </w:r>
      <w:r>
        <w:t xml:space="preserve"> </w:t>
      </w:r>
      <w:r>
        <w:t xml:space="preserve">The unweighted totals had GEV, FIX and CVE tied at 19 with VLO at 18. Weighted, VLO (3.30) ranks first of the six, because its maximum revisions score carries 25% weight. CVE is 3.20 and GEV 3.10. The weighted version better matches the evidence that revisions are the strongest two-month signal.</w:t>
      </w:r>
    </w:p>
    <w:p>
      <w:pPr>
        <w:pStyle w:val="BodyText"/>
      </w:pPr>
      <w:r>
        <w:t xml:space="preserve">Treat the scores with caution. No verified short-interest figures, betas or 30/60/90-day revision histories were available for most names, so the revisions scores rest on guidance raises, target changes and Zacks ranks.</w:t>
      </w:r>
      <w:r>
        <w:t xml:space="preserve"> </w:t>
      </w:r>
      <w:r>
        <w:rPr>
          <w:b/>
          <w:bCs/>
        </w:rPr>
        <w:t xml:space="preserve">A 0.05 gap is half a notch on a 10%-weighted factor (one full notch there is worth 0.10), and sits well within the measurement noise.</w:t>
      </w:r>
      <w:r>
        <w:t xml:space="preserve"> </w:t>
      </w:r>
      <w:r>
        <w:t xml:space="preserve">The section on fragility below tests how much the ranking moves when these inputs change.</w:t>
      </w:r>
    </w:p>
    <w:bookmarkEnd w:id="38"/>
    <w:bookmarkStart w:id="54" w:name="Xfc047a7a2022a51f5cdbdc72ef8170f4fbcec73"/>
    <w:p>
      <w:pPr>
        <w:pStyle w:val="Heading2"/>
      </w:pPr>
      <w:r>
        <w:t xml:space="preserve">Theme caps turn the ranking into a five-stock basket</w:t>
      </w:r>
    </w:p>
    <w:p>
      <w:pPr>
        <w:pStyle w:val="FirstParagraph"/>
      </w:pPr>
      <w:r>
        <w:t xml:space="preserve">Three constraints shape the basket:</w:t>
      </w:r>
    </w:p>
    <w:p>
      <w:pPr>
        <w:pStyle w:val="Compact"/>
        <w:numPr>
          <w:ilvl w:val="0"/>
          <w:numId w:val="1002"/>
        </w:numPr>
      </w:pPr>
      <w:r>
        <w:t xml:space="preserve">At most two picks per sector, and they must have distinct drivers.</w:t>
      </w:r>
    </w:p>
    <w:p>
      <w:pPr>
        <w:pStyle w:val="Compact"/>
        <w:numPr>
          <w:ilvl w:val="0"/>
          <w:numId w:val="1002"/>
        </w:numPr>
      </w:pPr>
      <w:r>
        <w:t xml:space="preserve">At most two names whose main driver is AI-hardware capex. AI-power industrials count toward this limit.</w:t>
      </w:r>
    </w:p>
    <w:p>
      <w:pPr>
        <w:pStyle w:val="Compact"/>
        <w:numPr>
          <w:ilvl w:val="0"/>
          <w:numId w:val="1002"/>
        </w:numPr>
      </w:pPr>
      <w:r>
        <w:t xml:space="preserve">When scores are close, favor names with a confirmed or likely earnings report inside the window.</w:t>
      </w:r>
    </w:p>
    <w:p>
      <w:pPr>
        <w:pStyle w:val="FirstParagraph"/>
      </w:pPr>
      <w:r>
        <w:rPr>
          <w:b/>
          <w:bCs/>
        </w:rPr>
        <w:t xml:space="preserve">AI hardware (two slots): NVDA and APH.</w:t>
      </w:r>
      <w:r>
        <w:t xml:space="preserve"> </w:t>
      </w:r>
      <w:r>
        <w:t xml:space="preserve">Five of the top eight names (NVDA, DELL, ANET, APH and MU) are AI-hardware plays, all driven by one factor: hyperscaler capex. NVDA has the top score (3.75) and takes the first slot. Four names compete for the second: DELL and ANET at 3.65, APH at 3.60 and MU at 3.50.</w:t>
      </w:r>
    </w:p>
    <w:p>
      <w:pPr>
        <w:pStyle w:val="Compact"/>
        <w:numPr>
          <w:ilvl w:val="0"/>
          <w:numId w:val="1003"/>
        </w:numPr>
      </w:pPr>
      <w:r>
        <w:rPr>
          <w:b/>
          <w:bCs/>
        </w:rPr>
        <w:t xml:space="preserve">DELL</w:t>
      </w:r>
      <w:r>
        <w:t xml:space="preserve"> </w:t>
      </w:r>
      <w:r>
        <w:t xml:space="preserve">loses the tie-break with ANET. Its next report most likely falls around Nov 24–25, after the window closes, while ANET has a Nov 2 report inside it (</w:t>
      </w:r>
      <w:hyperlink r:id="rId39">
        <w:r>
          <w:rPr>
            <w:rStyle w:val="Hyperlink"/>
          </w:rPr>
          <w:t xml:space="preserve">Nasdaq ANET earnings</w:t>
        </w:r>
      </w:hyperlink>
      <w:r>
        <w:t xml:space="preserve">).</w:t>
      </w:r>
    </w:p>
    <w:p>
      <w:pPr>
        <w:pStyle w:val="Compact"/>
        <w:numPr>
          <w:ilvl w:val="0"/>
          <w:numId w:val="1003"/>
        </w:numPr>
      </w:pPr>
      <w:r>
        <w:rPr>
          <w:b/>
          <w:bCs/>
        </w:rPr>
        <w:t xml:space="preserve">ANET vs APH</w:t>
      </w:r>
      <w:r>
        <w:t xml:space="preserve"> </w:t>
      </w:r>
      <w:r>
        <w:t xml:space="preserve">is a 0.05 difference, half a notch on a 10% factor.</w:t>
      </w:r>
      <w:r>
        <w:t xml:space="preserve"> </w:t>
      </w:r>
      <w:r>
        <w:rPr>
          <w:b/>
          <w:bCs/>
        </w:rPr>
        <w:t xml:space="preserve">The mechanical rule picks ANET.</w:t>
      </w:r>
      <w:r>
        <w:t xml:space="preserve"> </w:t>
      </w:r>
      <w:r>
        <w:t xml:space="preserve">We overrode it and chose APH for two reasons. Both are judgments, not scores. First, its downside-risk score is higher (4 vs 3). ANET has 42% revenue concentration in META and MSFT and trades near 47x P/E, while APH's diversified auto, defense and industrial end-markets make it a genuinely different driver from NVDA. Second, NVDA and ANET would both sit directly on the late-October hyperscaler capex guides, so they are closer to a single bet.</w:t>
      </w:r>
    </w:p>
    <w:p>
      <w:pPr>
        <w:pStyle w:val="Compact"/>
        <w:numPr>
          <w:ilvl w:val="0"/>
          <w:numId w:val="1003"/>
        </w:numPr>
      </w:pPr>
      <w:r>
        <w:rPr>
          <w:b/>
          <w:bCs/>
        </w:rPr>
        <w:t xml:space="preserve">MU</w:t>
      </w:r>
      <w:r>
        <w:t xml:space="preserve"> </w:t>
      </w:r>
      <w:r>
        <w:t xml:space="preserve">is excluded by the theme cap. On its own merits it is also a day-3 binary event, with options implying about a ±10% move (</w:t>
      </w:r>
      <w:hyperlink r:id="rId40">
        <w:r>
          <w:rPr>
            <w:rStyle w:val="Hyperlink"/>
          </w:rPr>
          <w:t xml:space="preserve">TipRanks</w:t>
        </w:r>
      </w:hyperlink>
      <w:r>
        <w:t xml:space="preserve">).</w:t>
      </w:r>
    </w:p>
    <w:p>
      <w:pPr>
        <w:pStyle w:val="FirstParagraph"/>
      </w:pPr>
      <w:r>
        <w:t xml:space="preserve">Swapping ANET in for APH would raise the basket average by only 0.01. It is the first alternate.</w:t>
      </w:r>
    </w:p>
    <w:p>
      <w:pPr>
        <w:pStyle w:val="BodyText"/>
      </w:pPr>
      <w:r>
        <w:rPr>
          <w:b/>
          <w:bCs/>
        </w:rPr>
        <w:t xml:space="preserve">Financials (two slots): TRV and JPM.</w:t>
      </w:r>
      <w:r>
        <w:t xml:space="preserve"> </w:t>
      </w:r>
      <w:r>
        <w:t xml:space="preserve">TRV (3.75) and JPM (3.55) are both Financials but have distinct drivers. TRV depends on underwriting margins in a quiet catastrophe season. JPM depends on markets and investment-banking fees plus net interest income. GS (1.95) fails outright, because its estimates are being cut.</w:t>
      </w:r>
    </w:p>
    <w:p>
      <w:pPr>
        <w:pStyle w:val="BodyText"/>
      </w:pPr>
      <w:r>
        <w:rPr>
          <w:b/>
          <w:bCs/>
        </w:rPr>
        <w:t xml:space="preserve">Fifth slot: THC.</w:t>
      </w:r>
      <w:r>
        <w:t xml:space="preserve"> </w:t>
      </w:r>
      <w:r>
        <w:t xml:space="preserve">THC (3.50) takes the fifth slot as the only health-care name with momentum. It ranks ahead of VLO (3.30) and CVE (3.20), which would be the energy choice.</w:t>
      </w:r>
    </w:p>
    <w:p>
      <w:pPr>
        <w:pStyle w:val="BodyText"/>
      </w:pPr>
      <w:r>
        <w:t xml:space="preserve">The basket is NVDA, TRV, APH, JPM and THC, with an average score of 3.63. It holds two IT names with distinct drivers, two Financials with distinct drivers and one Health Care name, and it has no direct oil exposure.</w:t>
      </w:r>
    </w:p>
    <w:p>
      <w:pPr>
        <w:pStyle w:val="BodyText"/>
      </w:pPr>
      <w:r>
        <w:rPr>
          <w:b/>
          <w:bCs/>
        </w:rPr>
        <w:t xml:space="preserve">Runners-up</w:t>
      </w:r>
      <w:r>
        <w:t xml:space="preserve">, in order of use as substitutes: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Runner-up</w:t>
            </w:r>
          </w:p>
        </w:tc>
        <w:tc>
          <w:tcPr/>
          <w:p>
            <w:pPr>
              <w:pStyle w:val="Compact"/>
            </w:pPr>
            <w:r>
              <w:t xml:space="preserve">Score</w:t>
            </w:r>
          </w:p>
        </w:tc>
        <w:tc>
          <w:tcPr/>
          <w:p>
            <w:pPr>
              <w:pStyle w:val="Compact"/>
            </w:pPr>
            <w:r>
              <w:t xml:space="preserve">Why it is not a pick</w:t>
            </w:r>
          </w:p>
        </w:tc>
        <w:tc>
          <w:tcPr/>
          <w:p>
            <w:pPr>
              <w:pStyle w:val="Compact"/>
            </w:pPr>
            <w:r>
              <w:t xml:space="preserve">When to use it</w:t>
            </w:r>
          </w:p>
        </w:tc>
      </w:tr>
      <w:tr>
        <w:tc>
          <w:tcPr/>
          <w:p>
            <w:pPr>
              <w:pStyle w:val="Compact"/>
            </w:pPr>
            <w:r>
              <w:t xml:space="preserve">ANET</w:t>
            </w:r>
          </w:p>
        </w:tc>
        <w:tc>
          <w:tcPr/>
          <w:p>
            <w:pPr>
              <w:pStyle w:val="Compact"/>
            </w:pPr>
            <w:r>
              <w:t xml:space="preserve">3.65</w:t>
            </w:r>
          </w:p>
        </w:tc>
        <w:tc>
          <w:tcPr/>
          <w:p>
            <w:pPr>
              <w:pStyle w:val="Compact"/>
            </w:pPr>
            <w:r>
              <w:t xml:space="preserve">AI-hardware cap; higher customer-concentration and valuation risk than APH</w:t>
            </w:r>
          </w:p>
        </w:tc>
        <w:tc>
          <w:tcPr/>
          <w:p>
            <w:pPr>
              <w:pStyle w:val="Compact"/>
            </w:pPr>
            <w:r>
              <w:t xml:space="preserve">First swap if APH or NVDA drops out; confirmed Nov 2 report</w:t>
            </w:r>
          </w:p>
        </w:tc>
      </w:tr>
      <w:tr>
        <w:tc>
          <w:tcPr/>
          <w:p>
            <w:pPr>
              <w:pStyle w:val="Compact"/>
            </w:pPr>
            <w:r>
              <w:t xml:space="preserve">DELL</w:t>
            </w:r>
          </w:p>
        </w:tc>
        <w:tc>
          <w:tcPr/>
          <w:p>
            <w:pPr>
              <w:pStyle w:val="Compact"/>
            </w:pPr>
            <w:r>
              <w:t xml:space="preserve">3.65</w:t>
            </w:r>
          </w:p>
        </w:tc>
        <w:tc>
          <w:tcPr/>
          <w:p>
            <w:pPr>
              <w:pStyle w:val="Compact"/>
            </w:pPr>
            <w:r>
              <w:t xml:space="preserve">AI-hardware cap; report probably just after Nov 20; up about 351% YTD</w:t>
            </w:r>
          </w:p>
        </w:tc>
        <w:tc>
          <w:tcPr/>
          <w:p>
            <w:pPr>
              <w:pStyle w:val="Compact"/>
            </w:pPr>
            <w:r>
              <w:t xml:space="preserve">Alternate AI name if the MU print on Sep 30 clears memory-cost fears</w:t>
            </w:r>
          </w:p>
        </w:tc>
      </w:tr>
      <w:tr>
        <w:tc>
          <w:tcPr/>
          <w:p>
            <w:pPr>
              <w:pStyle w:val="Compact"/>
            </w:pPr>
            <w:r>
              <w:t xml:space="preserve">MU</w:t>
            </w:r>
          </w:p>
        </w:tc>
        <w:tc>
          <w:tcPr/>
          <w:p>
            <w:pPr>
              <w:pStyle w:val="Compact"/>
            </w:pPr>
            <w:r>
              <w:t xml:space="preserve">3.50</w:t>
            </w:r>
          </w:p>
        </w:tc>
        <w:tc>
          <w:tcPr/>
          <w:p>
            <w:pPr>
              <w:pStyle w:val="Compact"/>
            </w:pPr>
            <w:r>
              <w:t xml:space="preserve">AI-hardware cap; ±10% binary on day 3</w:t>
            </w:r>
          </w:p>
        </w:tc>
        <w:tc>
          <w:tcPr/>
          <w:p>
            <w:pPr>
              <w:pStyle w:val="Compact"/>
            </w:pPr>
            <w:r>
              <w:t xml:space="preserve">Only after the Sep 30 guide is known</w:t>
            </w:r>
          </w:p>
        </w:tc>
      </w:tr>
      <w:tr>
        <w:tc>
          <w:tcPr/>
          <w:p>
            <w:pPr>
              <w:pStyle w:val="Compact"/>
            </w:pPr>
            <w:r>
              <w:t xml:space="preserve">VLO</w:t>
            </w:r>
          </w:p>
        </w:tc>
        <w:tc>
          <w:tcPr/>
          <w:p>
            <w:pPr>
              <w:pStyle w:val="Compact"/>
            </w:pPr>
            <w:r>
              <w:t xml:space="preserve">3.30</w:t>
            </w:r>
          </w:p>
        </w:tc>
        <w:tc>
          <w:tcPr/>
          <w:p>
            <w:pPr>
              <w:pStyle w:val="Compact"/>
            </w:pPr>
            <w:r>
              <w:t xml:space="preserve">Hormuz-deal loser; refiners at a historic extreme</w:t>
            </w:r>
          </w:p>
        </w:tc>
        <w:tc>
          <w:tcPr/>
          <w:p>
            <w:pPr>
              <w:pStyle w:val="Compact"/>
            </w:pPr>
            <w:r>
              <w:t xml:space="preserve">Only if Hormuz talks collapse and cracks stay extreme</w:t>
            </w:r>
          </w:p>
        </w:tc>
      </w:tr>
      <w:tr>
        <w:tc>
          <w:tcPr/>
          <w:p>
            <w:pPr>
              <w:pStyle w:val="Compact"/>
            </w:pPr>
            <w:r>
              <w:t xml:space="preserve">CVE</w:t>
            </w:r>
          </w:p>
        </w:tc>
        <w:tc>
          <w:tcPr/>
          <w:p>
            <w:pPr>
              <w:pStyle w:val="Compact"/>
            </w:pPr>
            <w:r>
              <w:t xml:space="preserve">3.20</w:t>
            </w:r>
          </w:p>
        </w:tc>
        <w:tc>
          <w:tcPr/>
          <w:p>
            <w:pPr>
              <w:pStyle w:val="Compact"/>
            </w:pPr>
            <w:r>
              <w:t xml:space="preserve">Oil beta, unconfirmed Q3 date</w:t>
            </w:r>
          </w:p>
        </w:tc>
        <w:tc>
          <w:tcPr/>
          <w:p>
            <w:pPr>
              <w:pStyle w:val="Compact"/>
            </w:pPr>
            <w:r>
              <w:t xml:space="preserve">Preferred energy hedge. Notes favor it over VLO for its $45 WTI breakeven and downstream offset (</w:t>
            </w:r>
            <w:hyperlink r:id="rId41">
              <w:r>
                <w:rPr>
                  <w:rStyle w:val="Hyperlink"/>
                </w:rPr>
                <w:t xml:space="preserve">Cenovus Q2</w:t>
              </w:r>
            </w:hyperlink>
            <w:r>
              <w:t xml:space="preserve">)</w:t>
            </w:r>
          </w:p>
        </w:tc>
      </w:tr>
    </w:tbl>
    <w:p>
      <w:pPr>
        <w:pStyle w:val="BodyText"/>
      </w:pPr>
      <w:r>
        <w:rPr>
          <w:b/>
          <w:bCs/>
        </w:rPr>
        <w:t xml:space="preserve">Rejected names and why: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Score</w:t>
            </w:r>
          </w:p>
        </w:tc>
        <w:tc>
          <w:tcPr/>
          <w:p>
            <w:pPr>
              <w:pStyle w:val="Compact"/>
            </w:pPr>
            <w:r>
              <w:t xml:space="preserve">Reason for rejection</w:t>
            </w:r>
          </w:p>
        </w:tc>
      </w:tr>
      <w:tr>
        <w:tc>
          <w:tcPr/>
          <w:p>
            <w:pPr>
              <w:pStyle w:val="Compact"/>
            </w:pPr>
            <w:r>
              <w:t xml:space="preserve">P (Everpure)</w:t>
            </w:r>
          </w:p>
        </w:tc>
        <w:tc>
          <w:tcPr/>
          <w:p>
            <w:pPr>
              <w:pStyle w:val="Compact"/>
            </w:pPr>
            <w:r>
              <w:t xml:space="preserve">3.25</w:t>
            </w:r>
          </w:p>
        </w:tc>
        <w:tc>
          <w:tcPr/>
          <w:p>
            <w:pPr>
              <w:pStyle w:val="Compact"/>
            </w:pPr>
            <w:r>
              <w:t xml:space="preserve">FY28 guide is well above consensus, but the stock is up about 25% in days, the mean target is only about 9% above the price, the co-founder sold 100,000 shares, and no report falls in the window (</w:t>
            </w:r>
            <w:hyperlink r:id="rId42">
              <w:r>
                <w:rPr>
                  <w:rStyle w:val="Hyperlink"/>
                </w:rPr>
                <w:t xml:space="preserve">MarketBeat</w:t>
              </w:r>
            </w:hyperlink>
            <w:r>
              <w:t xml:space="preserve">;</w:t>
            </w:r>
            <w:r>
              <w:t xml:space="preserve"> </w:t>
            </w:r>
            <w:hyperlink r:id="rId43">
              <w:r>
                <w:rPr>
                  <w:rStyle w:val="Hyperlink"/>
                </w:rPr>
                <w:t xml:space="preserve">Defense World</w:t>
              </w:r>
            </w:hyperlink>
            <w:r>
              <w:t xml:space="preserve">)</w:t>
            </w:r>
          </w:p>
        </w:tc>
      </w:tr>
      <w:tr>
        <w:tc>
          <w:tcPr/>
          <w:p>
            <w:pPr>
              <w:pStyle w:val="Compact"/>
            </w:pPr>
            <w:r>
              <w:t xml:space="preserve">GEV</w:t>
            </w:r>
          </w:p>
        </w:tc>
        <w:tc>
          <w:tcPr/>
          <w:p>
            <w:pPr>
              <w:pStyle w:val="Compact"/>
            </w:pPr>
            <w:r>
              <w:t xml:space="preserve">3.10</w:t>
            </w:r>
          </w:p>
        </w:tc>
        <w:tc>
          <w:tcPr/>
          <w:p>
            <w:pPr>
              <w:pStyle w:val="Compact"/>
            </w:pPr>
            <w:r>
              <w:t xml:space="preserve">AI-power theme would breach the cap; Q2 EPS missed by about 19%; about 40x forward; GLJ Sell at $470 knocked it 9% in a day (</w:t>
            </w:r>
            <w:hyperlink r:id="rId44">
              <w:r>
                <w:rPr>
                  <w:rStyle w:val="Hyperlink"/>
                </w:rPr>
                <w:t xml:space="preserve">Investing.com</w:t>
              </w:r>
            </w:hyperlink>
            <w:r>
              <w:t xml:space="preserve">)</w:t>
            </w:r>
          </w:p>
        </w:tc>
      </w:tr>
      <w:tr>
        <w:tc>
          <w:tcPr/>
          <w:p>
            <w:pPr>
              <w:pStyle w:val="Compact"/>
            </w:pPr>
            <w:r>
              <w:t xml:space="preserve">FIX</w:t>
            </w:r>
          </w:p>
        </w:tc>
        <w:tc>
          <w:tcPr/>
          <w:p>
            <w:pPr>
              <w:pStyle w:val="Compact"/>
            </w:pPr>
            <w:r>
              <w:t xml:space="preserve">3.05</w:t>
            </w:r>
          </w:p>
        </w:tc>
        <w:tc>
          <w:tcPr/>
          <w:p>
            <w:pPr>
              <w:pStyle w:val="Compact"/>
            </w:pPr>
            <w:r>
              <w:t xml:space="preserve">AI-power theme; −20% from its all-time high; Zacks cut it to Hold on Sep 26 (</w:t>
            </w:r>
            <w:hyperlink r:id="rId45">
              <w:r>
                <w:rPr>
                  <w:rStyle w:val="Hyperlink"/>
                </w:rPr>
                <w:t xml:space="preserve">MarketBeat</w:t>
              </w:r>
            </w:hyperlink>
            <w:r>
              <w:t xml:space="preserve">)</w:t>
            </w:r>
          </w:p>
        </w:tc>
      </w:tr>
      <w:tr>
        <w:tc>
          <w:tcPr/>
          <w:p>
            <w:pPr>
              <w:pStyle w:val="Compact"/>
            </w:pPr>
            <w:r>
              <w:t xml:space="preserve">GMED</w:t>
            </w:r>
          </w:p>
        </w:tc>
        <w:tc>
          <w:tcPr/>
          <w:p>
            <w:pPr>
              <w:pStyle w:val="Compact"/>
            </w:pPr>
            <w:r>
              <w:t xml:space="preserve">2.95</w:t>
            </w:r>
          </w:p>
        </w:tc>
        <w:tc>
          <w:tcPr/>
          <w:p>
            <w:pPr>
              <w:pStyle w:val="Compact"/>
            </w:pPr>
            <w:r>
              <w:t xml:space="preserve">Revisions are up, but the stock is about 27% below its 52-week high and the Nevro recovery is a "show-me story" (</w:t>
            </w:r>
            <w:hyperlink r:id="rId46">
              <w:r>
                <w:rPr>
                  <w:rStyle w:val="Hyperlink"/>
                </w:rPr>
                <w:t xml:space="preserve">GlobeNewswire Q2</w:t>
              </w:r>
            </w:hyperlink>
            <w:r>
              <w:t xml:space="preserve">)</w:t>
            </w:r>
          </w:p>
        </w:tc>
      </w:tr>
      <w:tr>
        <w:tc>
          <w:tcPr/>
          <w:p>
            <w:pPr>
              <w:pStyle w:val="Compact"/>
            </w:pPr>
            <w:r>
              <w:t xml:space="preserve">VRT</w:t>
            </w:r>
          </w:p>
        </w:tc>
        <w:tc>
          <w:tcPr/>
          <w:p>
            <w:pPr>
              <w:pStyle w:val="Compact"/>
            </w:pPr>
            <w:r>
              <w:t xml:space="preserve">2.85</w:t>
            </w:r>
          </w:p>
        </w:tc>
        <w:tc>
          <w:tcPr/>
          <w:p>
            <w:pPr>
              <w:pStyle w:val="Compact"/>
            </w:pPr>
            <w:r>
              <w:t xml:space="preserve">Beta about 2; −33% from its May all-time high (</w:t>
            </w:r>
            <w:hyperlink r:id="rId47">
              <w:r>
                <w:rPr>
                  <w:rStyle w:val="Hyperlink"/>
                </w:rPr>
                <w:t xml:space="preserve">MacroTrends</w:t>
              </w:r>
            </w:hyperlink>
            <w:r>
              <w:t xml:space="preserve">); the Q3 report is a high-variance binary</w:t>
            </w:r>
          </w:p>
        </w:tc>
      </w:tr>
      <w:tr>
        <w:tc>
          <w:tcPr/>
          <w:p>
            <w:pPr>
              <w:pStyle w:val="Compact"/>
            </w:pPr>
            <w:r>
              <w:t xml:space="preserve">CRWD</w:t>
            </w:r>
          </w:p>
        </w:tc>
        <w:tc>
          <w:tcPr/>
          <w:p>
            <w:pPr>
              <w:pStyle w:val="Compact"/>
            </w:pPr>
            <w:r>
              <w:t xml:space="preserve">2.80</w:t>
            </w:r>
          </w:p>
        </w:tc>
        <w:tc>
          <w:tcPr/>
          <w:p>
            <w:pPr>
              <w:pStyle w:val="Compact"/>
            </w:pPr>
            <w:r>
              <w:t xml:space="preserve">Richest multiple (about 40x sales, estimated); no report in the window; hit by the Akamai–Anthropic read-through (</w:t>
            </w:r>
            <w:hyperlink r:id="rId48">
              <w:r>
                <w:rPr>
                  <w:rStyle w:val="Hyperlink"/>
                </w:rPr>
                <w:t xml:space="preserve">Benzinga</w:t>
              </w:r>
            </w:hyperlink>
            <w:r>
              <w:t xml:space="preserve">)</w:t>
            </w:r>
          </w:p>
        </w:tc>
      </w:tr>
      <w:tr>
        <w:tc>
          <w:tcPr/>
          <w:p>
            <w:pPr>
              <w:pStyle w:val="Compact"/>
            </w:pPr>
            <w:r>
              <w:t xml:space="preserve">SNOW</w:t>
            </w:r>
          </w:p>
        </w:tc>
        <w:tc>
          <w:tcPr/>
          <w:p>
            <w:pPr>
              <w:pStyle w:val="Compact"/>
            </w:pPr>
            <w:r>
              <w:t xml:space="preserve">2.70</w:t>
            </w:r>
          </w:p>
        </w:tc>
        <w:tc>
          <w:tcPr/>
          <w:p>
            <w:pPr>
              <w:pStyle w:val="Compact"/>
            </w:pPr>
            <w:r>
              <w:t xml:space="preserve">Filling its post-earnings gap; director sold about $100M (</w:t>
            </w:r>
            <w:hyperlink r:id="rId49">
              <w:r>
                <w:rPr>
                  <w:rStyle w:val="Hyperlink"/>
                </w:rPr>
                <w:t xml:space="preserve">Investing.com</w:t>
              </w:r>
            </w:hyperlink>
            <w:r>
              <w:t xml:space="preserve">); no report in the window</w:t>
            </w:r>
          </w:p>
        </w:tc>
      </w:tr>
      <w:tr>
        <w:tc>
          <w:tcPr/>
          <w:p>
            <w:pPr>
              <w:pStyle w:val="Compact"/>
            </w:pPr>
            <w:r>
              <w:t xml:space="preserve">KR</w:t>
            </w:r>
          </w:p>
        </w:tc>
        <w:tc>
          <w:tcPr/>
          <w:p>
            <w:pPr>
              <w:pStyle w:val="Compact"/>
            </w:pPr>
            <w:r>
              <w:t xml:space="preserve">2.70</w:t>
            </w:r>
          </w:p>
        </w:tc>
        <w:tc>
          <w:tcPr/>
          <w:p>
            <w:pPr>
              <w:pStyle w:val="Compact"/>
            </w:pPr>
            <w:r>
              <w:t xml:space="preserve">Identical-sales guide cut to 0.2–0.8% (</w:t>
            </w:r>
            <w:hyperlink r:id="rId50">
              <w:r>
                <w:rPr>
                  <w:rStyle w:val="Hyperlink"/>
                </w:rPr>
                <w:t xml:space="preserve">Quartz</w:t>
              </w:r>
            </w:hyperlink>
            <w:r>
              <w:t xml:space="preserve">); the Oct 20 investor day could cut either way</w:t>
            </w:r>
          </w:p>
        </w:tc>
      </w:tr>
      <w:tr>
        <w:tc>
          <w:tcPr/>
          <w:p>
            <w:pPr>
              <w:pStyle w:val="Compact"/>
            </w:pPr>
            <w:r>
              <w:t xml:space="preserve">STRL</w:t>
            </w:r>
          </w:p>
        </w:tc>
        <w:tc>
          <w:tcPr/>
          <w:p>
            <w:pPr>
              <w:pStyle w:val="Compact"/>
            </w:pPr>
            <w:r>
              <w:t xml:space="preserve">2.55</w:t>
            </w:r>
          </w:p>
        </w:tc>
        <w:tc>
          <w:tcPr/>
          <w:p>
            <w:pPr>
              <w:pStyle w:val="Compact"/>
            </w:pPr>
            <w:r>
              <w:t xml:space="preserve">About −41% over 3 months and −48% from its high (</w:t>
            </w:r>
            <w:hyperlink r:id="rId51">
              <w:r>
                <w:rPr>
                  <w:rStyle w:val="Hyperlink"/>
                </w:rPr>
                <w:t xml:space="preserve">Zacks via TradingView</w:t>
              </w:r>
            </w:hyperlink>
            <w:r>
              <w:t xml:space="preserve">); a broken chart</w:t>
            </w:r>
          </w:p>
        </w:tc>
      </w:tr>
      <w:tr>
        <w:tc>
          <w:tcPr/>
          <w:p>
            <w:pPr>
              <w:pStyle w:val="Compact"/>
            </w:pPr>
            <w:r>
              <w:t xml:space="preserve">GS</w:t>
            </w:r>
          </w:p>
        </w:tc>
        <w:tc>
          <w:tcPr/>
          <w:p>
            <w:pPr>
              <w:pStyle w:val="Compact"/>
            </w:pPr>
            <w:r>
              <w:t xml:space="preserve">1.95</w:t>
            </w:r>
          </w:p>
        </w:tc>
        <w:tc>
          <w:tcPr/>
          <w:p>
            <w:pPr>
              <w:pStyle w:val="Compact"/>
            </w:pPr>
            <w:r>
              <w:t xml:space="preserve">Morgan Stanley cut its Q3 EPS estimate 11.3% (</w:t>
            </w:r>
            <w:hyperlink r:id="rId52">
              <w:r>
                <w:rPr>
                  <w:rStyle w:val="Hyperlink"/>
                </w:rPr>
                <w:t xml:space="preserve">ad-hoc-news</w:t>
              </w:r>
            </w:hyperlink>
            <w:r>
              <w:t xml:space="preserve">); in a downtrend</w:t>
            </w:r>
          </w:p>
        </w:tc>
      </w:tr>
      <w:tr>
        <w:tc>
          <w:tcPr/>
          <w:p>
            <w:pPr>
              <w:pStyle w:val="Compact"/>
            </w:pPr>
            <w:r>
              <w:t xml:space="preserve">CCL</w:t>
            </w:r>
          </w:p>
        </w:tc>
        <w:tc>
          <w:tcPr/>
          <w:p>
            <w:pPr>
              <w:pStyle w:val="Compact"/>
            </w:pPr>
            <w:r>
              <w:t xml:space="preserve">1.90</w:t>
            </w:r>
          </w:p>
        </w:tc>
        <w:tc>
          <w:tcPr/>
          <w:p>
            <w:pPr>
              <w:pStyle w:val="Compact"/>
            </w:pPr>
            <w:r>
              <w:t xml:space="preserve">Consensus cut 11.8% in 30 days (</w:t>
            </w:r>
            <w:hyperlink r:id="rId53">
              <w:r>
                <w:rPr>
                  <w:rStyle w:val="Hyperlink"/>
                </w:rPr>
                <w:t xml:space="preserve">Zacks via Yahoo</w:t>
              </w:r>
            </w:hyperlink>
            <w:r>
              <w:t xml:space="preserve">); unhedged fuel; near its 52-week low</w:t>
            </w:r>
          </w:p>
        </w:tc>
      </w:tr>
    </w:tbl>
    <w:p>
      <w:pPr>
        <w:pStyle w:val="BodyText"/>
      </w:pPr>
      <w:r>
        <w:t xml:space="preserve">Names screened out before the stress test, and not scored:</w:t>
      </w:r>
    </w:p>
    <w:p>
      <w:pPr>
        <w:pStyle w:val="Compact"/>
        <w:numPr>
          <w:ilvl w:val="0"/>
          <w:numId w:val="1004"/>
        </w:numPr>
      </w:pPr>
      <w:r>
        <w:rPr>
          <w:b/>
          <w:bCs/>
        </w:rPr>
        <w:t xml:space="preserve">HPE and ANF</w:t>
      </w:r>
      <w:r>
        <w:t xml:space="preserve">: no report in the window.</w:t>
      </w:r>
    </w:p>
    <w:p>
      <w:pPr>
        <w:pStyle w:val="Compact"/>
        <w:numPr>
          <w:ilvl w:val="0"/>
          <w:numId w:val="1004"/>
        </w:numPr>
      </w:pPr>
      <w:r>
        <w:rPr>
          <w:b/>
          <w:bCs/>
        </w:rPr>
        <w:t xml:space="preserve">HCA</w:t>
      </w:r>
      <w:r>
        <w:t xml:space="preserve">: no momentum.</w:t>
      </w:r>
    </w:p>
    <w:p>
      <w:pPr>
        <w:pStyle w:val="Compact"/>
        <w:numPr>
          <w:ilvl w:val="0"/>
          <w:numId w:val="1004"/>
        </w:numPr>
      </w:pPr>
      <w:r>
        <w:rPr>
          <w:b/>
          <w:bCs/>
        </w:rPr>
        <w:t xml:space="preserve">LLY</w:t>
      </w:r>
      <w:r>
        <w:t xml:space="preserve">: lagging YTD.</w:t>
      </w:r>
    </w:p>
    <w:p>
      <w:pPr>
        <w:pStyle w:val="Compact"/>
        <w:numPr>
          <w:ilvl w:val="0"/>
          <w:numId w:val="1004"/>
        </w:numPr>
      </w:pPr>
      <w:r>
        <w:rPr>
          <w:b/>
          <w:bCs/>
        </w:rPr>
        <w:t xml:space="preserve">Micro-caps</w:t>
      </w:r>
      <w:r>
        <w:t xml:space="preserve"> </w:t>
      </w:r>
      <w:r>
        <w:t xml:space="preserve">on the Zacks lists: below the $2B market-cap floor.</w:t>
      </w:r>
    </w:p>
    <w:bookmarkEnd w:id="54"/>
    <w:bookmarkStart w:id="55" w:name="how-fragile-the-ranking-is"/>
    <w:p>
      <w:pPr>
        <w:pStyle w:val="Heading2"/>
      </w:pPr>
      <w:r>
        <w:t xml:space="preserve">How fragile the ranking is</w:t>
      </w:r>
    </w:p>
    <w:p>
      <w:pPr>
        <w:pStyle w:val="FirstParagraph"/>
      </w:pPr>
      <w:r>
        <w:t xml:space="preserve">The scorecard rests on judgment calls, and several inputs are stand-ins. Revisions scores use guidance raises, target changes and Zacks ranks because measured revision histories were unavailable. So we tested how much the selection moves when those inputs change. The test applies the report's selection rule mechanically: rank by weighted score, break ties in favor of an in-window report and then lower risk, and apply both caps. The script and its full output are in</w:t>
      </w:r>
      <w:r>
        <w:t xml:space="preserve"> </w:t>
      </w:r>
      <w:r>
        <w:rPr>
          <w:rStyle w:val="VerbatimChar"/>
        </w:rPr>
        <w:t xml:space="preserve">analysis/sensitivity.py</w:t>
      </w:r>
      <w:r>
        <w:t xml:space="preserve"> </w:t>
      </w:r>
      <w:r>
        <w:t xml:space="preserve">and</w:t>
      </w:r>
      <w:r>
        <w:t xml:space="preserve"> </w:t>
      </w:r>
      <w:r>
        <w:rPr>
          <w:rStyle w:val="VerbatimChar"/>
        </w:rPr>
        <w:t xml:space="preserve">analysis/sensitivity_output.txt</w:t>
      </w:r>
      <w:r>
        <w:t xml:space="preserve">.</w:t>
      </w:r>
    </w:p>
    <w:p>
      <w:pPr>
        <w:pStyle w:val="BodyText"/>
      </w:pPr>
      <w:r>
        <w:rPr>
          <w:b/>
          <w:bCs/>
        </w:rPr>
        <w:t xml:space="preserve">The mechanical rule does not pick APH.</w:t>
      </w:r>
      <w:r>
        <w:t xml:space="preserve"> </w:t>
      </w:r>
      <w:r>
        <w:t xml:space="preserve">It selects NVDA, TRV, ANET, JPM and THC. APH is in the report's basket only through the judgment override described above.</w:t>
      </w:r>
    </w:p>
    <w:p>
      <w:pPr>
        <w:pStyle w:val="BodyText"/>
      </w:pPr>
      <w:r>
        <w:rPr>
          <w:b/>
          <w:bCs/>
        </w:rPr>
        <w:t xml:space="preserve">NVDA depends on two uncertain inputs: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NVDA score</w:t>
            </w:r>
          </w:p>
        </w:tc>
        <w:tc>
          <w:tcPr/>
          <w:p>
            <w:pPr>
              <w:pStyle w:val="Compact"/>
            </w:pPr>
            <w:r>
              <w:t xml:space="preserve">Mechanical basket</w:t>
            </w:r>
          </w:p>
        </w:tc>
      </w:tr>
      <w:tr>
        <w:tc>
          <w:tcPr/>
          <w:p>
            <w:pPr>
              <w:pStyle w:val="Compact"/>
            </w:pPr>
            <w:r>
              <w:t xml:space="preserve">As scored</w:t>
            </w:r>
          </w:p>
        </w:tc>
        <w:tc>
          <w:tcPr/>
          <w:p>
            <w:pPr>
              <w:pStyle w:val="Compact"/>
            </w:pPr>
            <w:r>
              <w:t xml:space="preserve">3.75</w:t>
            </w:r>
          </w:p>
        </w:tc>
        <w:tc>
          <w:tcPr/>
          <w:p>
            <w:pPr>
              <w:pStyle w:val="Compact"/>
            </w:pPr>
            <w:r>
              <w:t xml:space="preserve">NVDA, TRV, ANET, JPM, THC</w:t>
            </w:r>
          </w:p>
        </w:tc>
      </w:tr>
      <w:tr>
        <w:tc>
          <w:tcPr/>
          <w:p>
            <w:pPr>
              <w:pStyle w:val="Compact"/>
            </w:pPr>
            <w:r>
              <w:t xml:space="preserve">NVDA risk 4 → 3</w:t>
            </w:r>
          </w:p>
        </w:tc>
        <w:tc>
          <w:tcPr/>
          <w:p>
            <w:pPr>
              <w:pStyle w:val="Compact"/>
            </w:pPr>
            <w:r>
              <w:t xml:space="preserve">3.60</w:t>
            </w:r>
          </w:p>
        </w:tc>
        <w:tc>
          <w:tcPr/>
          <w:p>
            <w:pPr>
              <w:pStyle w:val="Compact"/>
            </w:pPr>
            <w:r>
              <w:t xml:space="preserve">DELL, TRV, ANET, JPM, THC</w:t>
            </w:r>
          </w:p>
        </w:tc>
      </w:tr>
      <w:tr>
        <w:tc>
          <w:tcPr/>
          <w:p>
            <w:pPr>
              <w:pStyle w:val="Compact"/>
            </w:pPr>
            <w:r>
              <w:t xml:space="preserve">NVDA risk 4 → 2</w:t>
            </w:r>
          </w:p>
        </w:tc>
        <w:tc>
          <w:tcPr/>
          <w:p>
            <w:pPr>
              <w:pStyle w:val="Compact"/>
            </w:pPr>
            <w:r>
              <w:t xml:space="preserve">3.45</w:t>
            </w:r>
          </w:p>
        </w:tc>
        <w:tc>
          <w:tcPr/>
          <w:p>
            <w:pPr>
              <w:pStyle w:val="Compact"/>
            </w:pPr>
            <w:r>
              <w:t xml:space="preserve">DELL, TRV, ANET, JPM, THC</w:t>
            </w:r>
          </w:p>
        </w:tc>
      </w:tr>
      <w:tr>
        <w:tc>
          <w:tcPr/>
          <w:p>
            <w:pPr>
              <w:pStyle w:val="Compact"/>
            </w:pPr>
            <w:r>
              <w:t xml:space="preserve">NVDA reports Nov 25, after the window (catalyst 3 → 2, the same treatment as DELL)</w:t>
            </w:r>
          </w:p>
        </w:tc>
        <w:tc>
          <w:tcPr/>
          <w:p>
            <w:pPr>
              <w:pStyle w:val="Compact"/>
            </w:pPr>
            <w:r>
              <w:t xml:space="preserve">3.55</w:t>
            </w:r>
          </w:p>
        </w:tc>
        <w:tc>
          <w:tcPr/>
          <w:p>
            <w:pPr>
              <w:pStyle w:val="Compact"/>
            </w:pPr>
            <w:r>
              <w:t xml:space="preserve">DELL, TRV, ANET, JPM, THC</w:t>
            </w:r>
          </w:p>
        </w:tc>
      </w:tr>
      <w:tr>
        <w:tc>
          <w:tcPr/>
          <w:p>
            <w:pPr>
              <w:pStyle w:val="Compact"/>
            </w:pPr>
            <w:r>
              <w:t xml:space="preserve">Both: risk 2 and Nov 25 report</w:t>
            </w:r>
          </w:p>
        </w:tc>
        <w:tc>
          <w:tcPr/>
          <w:p>
            <w:pPr>
              <w:pStyle w:val="Compact"/>
            </w:pPr>
            <w:r>
              <w:t xml:space="preserve">3.25</w:t>
            </w:r>
          </w:p>
        </w:tc>
        <w:tc>
          <w:tcPr/>
          <w:p>
            <w:pPr>
              <w:pStyle w:val="Compact"/>
            </w:pPr>
            <w:r>
              <w:t xml:space="preserve">DELL, TRV, ANET, JPM, THC</w:t>
            </w:r>
          </w:p>
        </w:tc>
      </w:tr>
    </w:tbl>
    <w:p>
      <w:pPr>
        <w:pStyle w:val="BodyText"/>
      </w:pPr>
      <w:r>
        <w:t xml:space="preserve">NVDA's selection therefore depends on the unresolved report date as well as the risk judgment. If NVDA confirms a date after Nov 20 before the window starts, DELL takes its slot under the report's own rules.</w:t>
      </w:r>
    </w:p>
    <w:p>
      <w:pPr>
        <w:pStyle w:val="BodyText"/>
      </w:pPr>
      <w:r>
        <w:rPr>
          <w:b/>
          <w:bCs/>
        </w:rPr>
        <w:t xml:space="preserve">Weight changes.</w:t>
      </w:r>
      <w:r>
        <w:t xml:space="preserve"> </w:t>
      </w:r>
      <w:r>
        <w:t xml:space="preserve">Moving any one factor weight by 5 percentage points, and rescaling the others, changed the basket in 7 of 12 cases. Every change was inside the AI slots: NVDA, ANET, APH and DELL rotate, while TRV, JPM and THC stayed in all 12.</w:t>
      </w:r>
    </w:p>
    <w:p>
      <w:pPr>
        <w:pStyle w:val="BodyText"/>
      </w:pPr>
      <w:r>
        <w:rPr>
          <w:b/>
          <w:bCs/>
        </w:rPr>
        <w:t xml:space="preserve">Single-point changes.</w:t>
      </w:r>
      <w:r>
        <w:t xml:space="preserve"> </w:t>
      </w:r>
      <w:r>
        <w:t xml:space="preserve">Across all 252 one-point moves (21 names × 6 factors × up or down), the basket changed in 24. Twenty-two of those rotated the AI slots. The other two were THC losing a point on revisions or catalyst.</w:t>
      </w:r>
    </w:p>
    <w:p>
      <w:pPr>
        <w:pStyle w:val="BodyText"/>
      </w:pPr>
      <w:r>
        <w:rPr>
          <w:b/>
          <w:bCs/>
        </w:rPr>
        <w:t xml:space="preserve">Random noise.</w:t>
      </w:r>
      <w:r>
        <w:t xml:space="preserve"> </w:t>
      </w:r>
      <w:r>
        <w:t xml:space="preserve">We moved every sub-score by −1, 0 or +1 (probabilities 25%, 50%, 25%) and re-ran the selection 20,000 times: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Ticker</w:t>
            </w:r>
          </w:p>
        </w:tc>
        <w:tc>
          <w:tcPr/>
          <w:p>
            <w:pPr>
              <w:pStyle w:val="Compact"/>
            </w:pPr>
            <w:r>
              <w:t xml:space="preserve">Selected in % of draws</w:t>
            </w:r>
          </w:p>
        </w:tc>
      </w:tr>
      <w:tr>
        <w:tc>
          <w:tcPr/>
          <w:p>
            <w:pPr>
              <w:pStyle w:val="Compact"/>
            </w:pPr>
            <w:r>
              <w:t xml:space="preserve">TRV</w:t>
            </w:r>
          </w:p>
        </w:tc>
        <w:tc>
          <w:tcPr/>
          <w:p>
            <w:pPr>
              <w:pStyle w:val="Compact"/>
            </w:pPr>
            <w:r>
              <w:t xml:space="preserve">91%</w:t>
            </w:r>
          </w:p>
        </w:tc>
      </w:tr>
      <w:tr>
        <w:tc>
          <w:tcPr/>
          <w:p>
            <w:pPr>
              <w:pStyle w:val="Compact"/>
            </w:pPr>
            <w:r>
              <w:t xml:space="preserve">JPM</w:t>
            </w:r>
          </w:p>
        </w:tc>
        <w:tc>
          <w:tcPr/>
          <w:p>
            <w:pPr>
              <w:pStyle w:val="Compact"/>
            </w:pPr>
            <w:r>
              <w:t xml:space="preserve">77%</w:t>
            </w:r>
          </w:p>
        </w:tc>
      </w:tr>
      <w:tr>
        <w:tc>
          <w:tcPr/>
          <w:p>
            <w:pPr>
              <w:pStyle w:val="Compact"/>
            </w:pPr>
            <w:r>
              <w:t xml:space="preserve">THC</w:t>
            </w:r>
          </w:p>
        </w:tc>
        <w:tc>
          <w:tcPr/>
          <w:p>
            <w:pPr>
              <w:pStyle w:val="Compact"/>
            </w:pPr>
            <w:r>
              <w:t xml:space="preserve">64%</w:t>
            </w:r>
          </w:p>
        </w:tc>
      </w:tr>
      <w:tr>
        <w:tc>
          <w:tcPr/>
          <w:p>
            <w:pPr>
              <w:pStyle w:val="Compact"/>
            </w:pPr>
            <w:r>
              <w:t xml:space="preserve">NVDA</w:t>
            </w:r>
          </w:p>
        </w:tc>
        <w:tc>
          <w:tcPr/>
          <w:p>
            <w:pPr>
              <w:pStyle w:val="Compact"/>
            </w:pPr>
            <w:r>
              <w:t xml:space="preserve">52%</w:t>
            </w:r>
          </w:p>
        </w:tc>
      </w:tr>
      <w:tr>
        <w:tc>
          <w:tcPr/>
          <w:p>
            <w:pPr>
              <w:pStyle w:val="Compact"/>
            </w:pPr>
            <w:r>
              <w:t xml:space="preserve">ANET</w:t>
            </w:r>
          </w:p>
        </w:tc>
        <w:tc>
          <w:tcPr/>
          <w:p>
            <w:pPr>
              <w:pStyle w:val="Compact"/>
            </w:pPr>
            <w:r>
              <w:t xml:space="preserve">49%</w:t>
            </w:r>
          </w:p>
        </w:tc>
      </w:tr>
      <w:tr>
        <w:tc>
          <w:tcPr/>
          <w:p>
            <w:pPr>
              <w:pStyle w:val="Compact"/>
            </w:pPr>
            <w:r>
              <w:t xml:space="preserve">APH</w:t>
            </w:r>
          </w:p>
        </w:tc>
        <w:tc>
          <w:tcPr/>
          <w:p>
            <w:pPr>
              <w:pStyle w:val="Compact"/>
            </w:pPr>
            <w:r>
              <w:t xml:space="preserve">43%</w:t>
            </w:r>
          </w:p>
        </w:tc>
      </w:tr>
      <w:tr>
        <w:tc>
          <w:tcPr/>
          <w:p>
            <w:pPr>
              <w:pStyle w:val="Compact"/>
            </w:pPr>
            <w:r>
              <w:t xml:space="preserve">VLO</w:t>
            </w:r>
          </w:p>
        </w:tc>
        <w:tc>
          <w:tcPr/>
          <w:p>
            <w:pPr>
              <w:pStyle w:val="Compact"/>
            </w:pPr>
            <w:r>
              <w:t xml:space="preserve">30%</w:t>
            </w:r>
          </w:p>
        </w:tc>
      </w:tr>
      <w:tr>
        <w:tc>
          <w:tcPr/>
          <w:p>
            <w:pPr>
              <w:pStyle w:val="Compact"/>
            </w:pPr>
            <w:r>
              <w:t xml:space="preserve">CVE</w:t>
            </w:r>
          </w:p>
        </w:tc>
        <w:tc>
          <w:tcPr/>
          <w:p>
            <w:pPr>
              <w:pStyle w:val="Compact"/>
            </w:pPr>
            <w:r>
              <w:t xml:space="preserve">29%</w:t>
            </w:r>
          </w:p>
        </w:tc>
      </w:tr>
      <w:tr>
        <w:tc>
          <w:tcPr/>
          <w:p>
            <w:pPr>
              <w:pStyle w:val="Compact"/>
            </w:pPr>
            <w:r>
              <w:t xml:space="preserve">DELL</w:t>
            </w:r>
          </w:p>
        </w:tc>
        <w:tc>
          <w:tcPr/>
          <w:p>
            <w:pPr>
              <w:pStyle w:val="Compact"/>
            </w:pPr>
            <w:r>
              <w:t xml:space="preserve">28%</w:t>
            </w:r>
          </w:p>
        </w:tc>
      </w:tr>
      <w:tr>
        <w:tc>
          <w:tcPr/>
          <w:p>
            <w:pPr>
              <w:pStyle w:val="Compact"/>
            </w:pPr>
            <w:r>
              <w:t xml:space="preserve">MU</w:t>
            </w:r>
          </w:p>
        </w:tc>
        <w:tc>
          <w:tcPr/>
          <w:p>
            <w:pPr>
              <w:pStyle w:val="Compact"/>
            </w:pPr>
            <w:r>
              <w:t xml:space="preserve">18%</w:t>
            </w:r>
          </w:p>
        </w:tc>
      </w:tr>
    </w:tbl>
    <w:p>
      <w:pPr>
        <w:pStyle w:val="BodyText"/>
      </w:pPr>
      <w:r>
        <w:t xml:space="preserve">The exact report basket came up in only 6% of draws, and the most common basket (the mechanical one) in 7%.</w:t>
      </w:r>
      <w:r>
        <w:t xml:space="preserve"> </w:t>
      </w:r>
      <w:r>
        <w:rPr>
          <w:b/>
          <w:bCs/>
        </w:rPr>
        <w:t xml:space="preserve">Read the output as a robust core of TRV, JPM and THC plus two AI slots that are close to a toss-up among NVDA, ANET, APH and DELL.</w:t>
      </w:r>
      <w:r>
        <w:t xml:space="preserve"> </w:t>
      </w:r>
      <w:r>
        <w:t xml:space="preserve">The claim that these are</w:t>
      </w:r>
      <w:r>
        <w:t xml:space="preserve"> </w:t>
      </w:r>
      <w:r>
        <w:rPr>
          <w:i/>
          <w:iCs/>
        </w:rPr>
        <w:t xml:space="preserve">the</w:t>
      </w:r>
      <w:r>
        <w:t xml:space="preserve"> </w:t>
      </w:r>
      <w:r>
        <w:t xml:space="preserve">five best stocks is not supported. The data support a shortlist of hypotheses with low confidence in the exact order.</w:t>
      </w:r>
    </w:p>
    <w:p>
      <w:pPr>
        <w:pStyle w:val="BodyText"/>
      </w:pPr>
      <w:r>
        <w:rPr>
          <w:b/>
          <w:bCs/>
        </w:rPr>
        <w:t xml:space="preserve">What the scorecard does not answer.</w:t>
      </w:r>
      <w:r>
        <w:t xml:space="preserve"> </w:t>
      </w:r>
      <w:r>
        <w:t xml:space="preserve">Rising estimates are a documented predictive signal, but the scorecard never asks what the price already expects. TRV's quiet hurricane season is public. JPM's raised guidance is already in the higher consensus. NVDA's relative return depends on beating expectations embedded in a $5.4T valuation. The picks rest on the statistical tendency of revisions and momentum to persist, not on evidence that consensus is wrong.</w:t>
      </w:r>
    </w:p>
    <w:bookmarkEnd w:id="55"/>
    <w:bookmarkStart w:id="108" w:name="X910b931f07d9527c9934127e8b2d1fa2639ddcb"/>
    <w:p>
      <w:pPr>
        <w:pStyle w:val="Heading2"/>
      </w:pPr>
      <w:r>
        <w:t xml:space="preserve">Five picks: thesis, data, catalysts and kill signals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Pick</w:t>
            </w:r>
          </w:p>
        </w:tc>
        <w:tc>
          <w:tcPr/>
          <w:p>
            <w:pPr>
              <w:pStyle w:val="Compact"/>
            </w:pPr>
            <w:r>
              <w:t xml:space="preserve">Reference price</w:t>
            </w:r>
          </w:p>
        </w:tc>
        <w:tc>
          <w:tcPr/>
          <w:p>
            <w:pPr>
              <w:pStyle w:val="Compact"/>
            </w:pPr>
            <w:r>
              <w:t xml:space="preserve">Price date</w:t>
            </w:r>
          </w:p>
        </w:tc>
        <w:tc>
          <w:tcPr/>
          <w:p>
            <w:pPr>
              <w:pStyle w:val="Compact"/>
            </w:pPr>
            <w:r>
              <w:t xml:space="preserve">Price source</w:t>
            </w:r>
          </w:p>
        </w:tc>
        <w:tc>
          <w:tcPr/>
          <w:p>
            <w:pPr>
              <w:pStyle w:val="Compact"/>
            </w:pPr>
            <w:r>
              <w:t xml:space="preserve">Distance from high</w:t>
            </w:r>
          </w:p>
        </w:tc>
        <w:tc>
          <w:tcPr/>
          <w:p>
            <w:pPr>
              <w:pStyle w:val="Compact"/>
            </w:pPr>
            <w:r>
              <w:t xml:space="preserve">Next report (status)</w:t>
            </w:r>
          </w:p>
        </w:tc>
      </w:tr>
      <w:tr>
        <w:tc>
          <w:tcPr/>
          <w:p>
            <w:pPr>
              <w:pStyle w:val="Compact"/>
            </w:pPr>
            <w:r>
              <w:t xml:space="preserve">NVDA</w:t>
            </w:r>
          </w:p>
        </w:tc>
        <w:tc>
          <w:tcPr/>
          <w:p>
            <w:pPr>
              <w:pStyle w:val="Compact"/>
            </w:pPr>
            <m:oMath>
              <m:r>
                <m:t>224.58</m:t>
              </m:r>
              <m:r>
                <m:rPr>
                  <m:sty m:val="p"/>
                </m:rPr>
                <m:t>(</m:t>
              </m:r>
              <m:r>
                <m:t>m</m:t>
              </m:r>
              <m:r>
                <m:t>k</m:t>
              </m:r>
              <m:r>
                <m:t>t</m:t>
              </m:r>
              <m:r>
                <m:t>c</m:t>
              </m:r>
              <m:r>
                <m:t>a</m:t>
              </m:r>
              <m:r>
                <m:t>p</m:t>
              </m:r>
              <m:r>
                <m:t> </m:t>
              </m:r>
            </m:oMath>
            <w:r>
              <w:t xml:space="preserve">5.43T)</w:t>
            </w:r>
          </w:p>
        </w:tc>
        <w:tc>
          <w:tcPr/>
          <w:p>
            <w:pPr>
              <w:pStyle w:val="Compact"/>
            </w:pPr>
            <w:r>
              <w:t xml:space="preserve">Sep 25 close</w:t>
            </w:r>
          </w:p>
        </w:tc>
        <w:tc>
          <w:tcPr/>
          <w:p>
            <w:pPr>
              <w:pStyle w:val="Compact"/>
            </w:pPr>
            <w:hyperlink r:id="rId56">
              <w:r>
                <w:rPr>
                  <w:rStyle w:val="Hyperlink"/>
                </w:rPr>
                <w:t xml:space="preserve">StockAnalysis snippet</w:t>
              </w:r>
            </w:hyperlink>
          </w:p>
        </w:tc>
        <w:tc>
          <w:tcPr/>
          <w:p>
            <w:pPr>
              <w:pStyle w:val="Compact"/>
            </w:pPr>
            <w:r>
              <w:t xml:space="preserve">n/f; about +16% YTD</w:t>
            </w:r>
          </w:p>
        </w:tc>
        <w:tc>
          <w:tcPr/>
          <w:p>
            <w:pPr>
              <w:pStyle w:val="Compact"/>
            </w:pPr>
            <w:r>
              <w:t xml:space="preserve">Nov 17 AMC vs Nov 25 (conflicting)</w:t>
            </w:r>
          </w:p>
        </w:tc>
      </w:tr>
      <w:tr>
        <w:tc>
          <w:tcPr/>
          <w:p>
            <w:pPr>
              <w:pStyle w:val="Compact"/>
            </w:pPr>
            <w:r>
              <w:t xml:space="preserve">TRV</w:t>
            </w:r>
          </w:p>
        </w:tc>
        <w:tc>
          <w:tcPr/>
          <w:p>
            <w:pPr>
              <w:pStyle w:val="Compact"/>
            </w:pPr>
            <m:oMath>
              <m:r>
                <m:t>362.39</m:t>
              </m:r>
              <m:r>
                <m:rPr>
                  <m:sty m:val="p"/>
                </m:rPr>
                <m:t>(</m:t>
              </m:r>
              <m:r>
                <m:t>m</m:t>
              </m:r>
              <m:r>
                <m:t>k</m:t>
              </m:r>
              <m:r>
                <m:t>t</m:t>
              </m:r>
              <m:r>
                <m:t>c</m:t>
              </m:r>
              <m:r>
                <m:t>a</m:t>
              </m:r>
              <m:r>
                <m:t>p</m:t>
              </m:r>
              <m:r>
                <m:t> </m:t>
              </m:r>
            </m:oMath>
            <w:r>
              <w:t xml:space="preserve">75.7B)</w:t>
            </w:r>
          </w:p>
        </w:tc>
        <w:tc>
          <w:tcPr/>
          <w:p>
            <w:pPr>
              <w:pStyle w:val="Compact"/>
            </w:pPr>
            <w:r>
              <w:t xml:space="preserve">Sep 24 close</w:t>
            </w:r>
          </w:p>
        </w:tc>
        <w:tc>
          <w:tcPr/>
          <w:p>
            <w:pPr>
              <w:pStyle w:val="Compact"/>
            </w:pPr>
            <w:hyperlink r:id="rId57">
              <w:r>
                <w:rPr>
                  <w:rStyle w:val="Hyperlink"/>
                </w:rPr>
                <w:t xml:space="preserve">Yahoo/Simply Wall St</w:t>
              </w:r>
            </w:hyperlink>
          </w:p>
        </w:tc>
        <w:tc>
          <w:tcPr/>
          <w:p>
            <w:pPr>
              <w:pStyle w:val="Compact"/>
            </w:pPr>
            <w:r>
              <w:t xml:space="preserve">−9.1% vs $398.70 (Jul 28)</w:t>
            </w:r>
          </w:p>
        </w:tc>
        <w:tc>
          <w:tcPr/>
          <w:p>
            <w:pPr>
              <w:pStyle w:val="Compact"/>
            </w:pPr>
            <w:r>
              <w:t xml:space="preserve">Fri Oct 16 BMO (company-confirmed)</w:t>
            </w:r>
          </w:p>
        </w:tc>
      </w:tr>
      <w:tr>
        <w:tc>
          <w:tcPr/>
          <w:p>
            <w:pPr>
              <w:pStyle w:val="Compact"/>
            </w:pPr>
            <w:r>
              <w:t xml:space="preserve">APH</w:t>
            </w:r>
          </w:p>
        </w:tc>
        <w:tc>
          <w:tcPr/>
          <w:p>
            <w:pPr>
              <w:pStyle w:val="Compact"/>
            </w:pPr>
            <w:r>
              <w:t xml:space="preserve">$84.09 (post 2-for-1 split)</w:t>
            </w:r>
          </w:p>
        </w:tc>
        <w:tc>
          <w:tcPr/>
          <w:p>
            <w:pPr>
              <w:pStyle w:val="Compact"/>
            </w:pPr>
            <w:r>
              <w:t xml:space="preserve">Sep 25 close</w:t>
            </w:r>
          </w:p>
        </w:tc>
        <w:tc>
          <w:tcPr/>
          <w:p>
            <w:pPr>
              <w:pStyle w:val="Compact"/>
            </w:pPr>
            <w:hyperlink r:id="rId58">
              <w:r>
                <w:rPr>
                  <w:rStyle w:val="Hyperlink"/>
                </w:rPr>
                <w:t xml:space="preserve">CNN quote snippet</w:t>
              </w:r>
            </w:hyperlink>
            <w:r>
              <w:t xml:space="preserve">;</w:t>
            </w:r>
            <w:r>
              <w:t xml:space="preserve"> </w:t>
            </w:r>
            <w:hyperlink r:id="rId59">
              <w:r>
                <w:rPr>
                  <w:rStyle w:val="Hyperlink"/>
                </w:rPr>
                <w:t xml:space="preserve">ad-hoc-news</w:t>
              </w:r>
            </w:hyperlink>
          </w:p>
        </w:tc>
        <w:tc>
          <w:tcPr/>
          <w:p>
            <w:pPr>
              <w:pStyle w:val="Compact"/>
            </w:pPr>
            <w:r>
              <w:t xml:space="preserve">−4.6% vs $88.16 (Jun 30)</w:t>
            </w:r>
          </w:p>
        </w:tc>
        <w:tc>
          <w:tcPr/>
          <w:p>
            <w:pPr>
              <w:pStyle w:val="Compact"/>
            </w:pPr>
            <w:r>
              <w:t xml:space="preserve">Wed Oct 28 BMO (aggregator-confirmed)</w:t>
            </w:r>
          </w:p>
        </w:tc>
      </w:tr>
      <w:tr>
        <w:tc>
          <w:tcPr/>
          <w:p>
            <w:pPr>
              <w:pStyle w:val="Compact"/>
            </w:pPr>
            <w:r>
              <w:t xml:space="preserve">JPM</w:t>
            </w:r>
          </w:p>
        </w:tc>
        <w:tc>
          <w:tcPr/>
          <w:p>
            <w:pPr>
              <w:pStyle w:val="Compact"/>
            </w:pPr>
            <m:oMath>
              <m:r>
                <m:t>343.06</m:t>
              </m:r>
              <m:r>
                <m:rPr>
                  <m:sty m:val="p"/>
                </m:rPr>
                <m:t>(</m:t>
              </m:r>
              <m:r>
                <m:t>m</m:t>
              </m:r>
              <m:r>
                <m:t>k</m:t>
              </m:r>
              <m:r>
                <m:t>t</m:t>
              </m:r>
              <m:r>
                <m:t>c</m:t>
              </m:r>
              <m:r>
                <m:t>a</m:t>
              </m:r>
              <m:r>
                <m:t>p</m:t>
              </m:r>
              <m:r>
                <m:t> </m:t>
              </m:r>
            </m:oMath>
            <w:r>
              <w:t xml:space="preserve">911B)</w:t>
            </w:r>
          </w:p>
        </w:tc>
        <w:tc>
          <w:tcPr/>
          <w:p>
            <w:pPr>
              <w:pStyle w:val="Compact"/>
            </w:pPr>
            <w:r>
              <w:t xml:space="preserve">Sep 25 close</w:t>
            </w:r>
          </w:p>
        </w:tc>
        <w:tc>
          <w:tcPr/>
          <w:p>
            <w:pPr>
              <w:pStyle w:val="Compact"/>
            </w:pPr>
            <w:hyperlink r:id="rId60">
              <w:r>
                <w:rPr>
                  <w:rStyle w:val="Hyperlink"/>
                </w:rPr>
                <w:t xml:space="preserve">StockAnalysis</w:t>
              </w:r>
            </w:hyperlink>
            <w:r>
              <w:t xml:space="preserve">;</w:t>
            </w:r>
            <w:r>
              <w:t xml:space="preserve"> </w:t>
            </w:r>
            <w:hyperlink r:id="rId61">
              <w:r>
                <w:rPr>
                  <w:rStyle w:val="Hyperlink"/>
                </w:rPr>
                <w:t xml:space="preserve">Investing.com</w:t>
              </w:r>
            </w:hyperlink>
          </w:p>
        </w:tc>
        <w:tc>
          <w:tcPr/>
          <w:p>
            <w:pPr>
              <w:pStyle w:val="Compact"/>
            </w:pPr>
            <w:r>
              <w:t xml:space="preserve">−6.1% vs $365.18 (Aug 12)</w:t>
            </w:r>
          </w:p>
        </w:tc>
        <w:tc>
          <w:tcPr/>
          <w:p>
            <w:pPr>
              <w:pStyle w:val="Compact"/>
            </w:pPr>
            <w:r>
              <w:t xml:space="preserve">Tue Oct 13 ~7:00am ET (company-confirmed)</w:t>
            </w:r>
          </w:p>
        </w:tc>
      </w:tr>
      <w:tr>
        <w:tc>
          <w:tcPr/>
          <w:p>
            <w:pPr>
              <w:pStyle w:val="Compact"/>
            </w:pPr>
            <w:r>
              <w:t xml:space="preserve">THC</w:t>
            </w:r>
          </w:p>
        </w:tc>
        <w:tc>
          <w:tcPr/>
          <w:p>
            <w:pPr>
              <w:pStyle w:val="Compact"/>
            </w:pPr>
            <w:r>
              <w:t xml:space="preserve">$259.71</w:t>
            </w:r>
          </w:p>
        </w:tc>
        <w:tc>
          <w:tcPr/>
          <w:p>
            <w:pPr>
              <w:pStyle w:val="Compact"/>
            </w:pPr>
            <w:r>
              <w:t xml:space="preserve">Sep 25 close</w:t>
            </w:r>
          </w:p>
        </w:tc>
        <w:tc>
          <w:tcPr/>
          <w:p>
            <w:pPr>
              <w:pStyle w:val="Compact"/>
            </w:pPr>
            <w:hyperlink r:id="rId62">
              <w:r>
                <w:rPr>
                  <w:rStyle w:val="Hyperlink"/>
                </w:rPr>
                <w:t xml:space="preserve">GuruFocus</w:t>
              </w:r>
            </w:hyperlink>
          </w:p>
        </w:tc>
        <w:tc>
          <w:tcPr/>
          <w:p>
            <w:pPr>
              <w:pStyle w:val="Compact"/>
            </w:pPr>
            <w:r>
              <w:t xml:space="preserve">Near highs; $263.69 on Sep 11</w:t>
            </w:r>
          </w:p>
        </w:tc>
        <w:tc>
          <w:tcPr/>
          <w:p>
            <w:pPr>
              <w:pStyle w:val="Compact"/>
            </w:pPr>
            <w:r>
              <w:t xml:space="preserve">~Oct 27–29 (pattern; unconfirmed)</w:t>
            </w:r>
          </w:p>
        </w:tc>
      </w:tr>
    </w:tbl>
    <w:p>
      <w:pPr>
        <w:pStyle w:val="BodyText"/>
      </w:pPr>
      <w:r>
        <w:t xml:space="preserve">All prices are snippet-sourced and must be re-verified. "n/f" means not found in the notes.</w:t>
      </w:r>
    </w:p>
    <w:bookmarkStart w:id="74" w:name="Xdaab0caf1efa5c8a7fa875a11e3d429b5c02763"/>
    <w:p>
      <w:pPr>
        <w:pStyle w:val="Heading3"/>
      </w:pPr>
      <w:r>
        <w:t xml:space="preserve">NVDA: the laggard with the biggest revisions</w:t>
      </w:r>
    </w:p>
    <w:p>
      <w:pPr>
        <w:pStyle w:val="FirstParagraph"/>
      </w:pPr>
      <w:r>
        <w:rPr>
          <w:b/>
          <w:bCs/>
        </w:rPr>
        <w:t xml:space="preserve">Thesis.</w:t>
      </w:r>
      <w:r>
        <w:t xml:space="preserve"> </w:t>
      </w:r>
      <w:r>
        <w:t xml:space="preserve">NVDA combines the strongest absolute revisions in the universe with the least-extended chart among AI leaders. It is the least-crowded way to hold one AI-compute slot.</w:t>
      </w:r>
    </w:p>
    <w:p>
      <w:pPr>
        <w:pStyle w:val="BodyText"/>
      </w:pPr>
      <w:r>
        <w:rPr>
          <w:b/>
          <w:bCs/>
        </w:rPr>
        <w:t xml:space="preserve">Revisions.</w:t>
      </w:r>
      <w:r>
        <w:t xml:space="preserve"> </w:t>
      </w:r>
      <w:r>
        <w:t xml:space="preserve">Fiscal Q2 FY27 revenue was</w:t>
      </w:r>
      <w:r>
        <w:t xml:space="preserve"> </w:t>
      </w:r>
      <m:oMath>
        <m:r>
          <m:t>96.2</m:t>
        </m:r>
        <m:r>
          <m:t>B</m:t>
        </m:r>
        <m:r>
          <m:rPr>
            <m:sty m:val="p"/>
          </m:rPr>
          <m:t>(</m:t>
        </m:r>
        <m:r>
          <m:rPr>
            <m:sty m:val="p"/>
          </m:rPr>
          <m:t>+</m:t>
        </m:r>
        <m:r>
          <m:t>106</m:t>
        </m:r>
      </m:oMath>
      <w:r>
        <w:rPr>
          <w:b/>
          <w:bCs/>
        </w:rPr>
        <w:t xml:space="preserve">2.22 vs</w:t>
      </w:r>
      <w:r>
        <w:rPr>
          <w:b/>
          <w:bCs/>
        </w:rPr>
        <w:t xml:space="preserve"> </w:t>
      </w:r>
      <m:oMath>
        <m:r>
          <m:t>2.09</m:t>
        </m:r>
        <m:r>
          <m:rPr>
            <m:sty m:val="p"/>
          </m:rPr>
          <m:t>*</m:t>
        </m:r>
        <m:r>
          <m:rPr>
            <m:sty m:val="p"/>
          </m:rPr>
          <m:t>*</m:t>
        </m:r>
        <m:r>
          <m:t>e</m:t>
        </m:r>
        <m:r>
          <m:t>x</m:t>
        </m:r>
        <m:r>
          <m:t>p</m:t>
        </m:r>
        <m:r>
          <m:t>e</m:t>
        </m:r>
        <m:r>
          <m:t>c</m:t>
        </m:r>
        <m:r>
          <m:t>t</m:t>
        </m:r>
        <m:r>
          <m:t>e</m:t>
        </m:r>
        <m:r>
          <m:t>d</m:t>
        </m:r>
        <m:r>
          <m:rPr>
            <m:sty m:val="p"/>
          </m:rPr>
          <m:t>.</m:t>
        </m:r>
        <m:r>
          <m:t>N</m:t>
        </m:r>
        <m:r>
          <m:t>V</m:t>
        </m:r>
        <m:r>
          <m:t>D</m:t>
        </m:r>
        <m:r>
          <m:t>A</m:t>
        </m:r>
        <m:r>
          <m:t>g</m:t>
        </m:r>
        <m:r>
          <m:t>u</m:t>
        </m:r>
        <m:r>
          <m:t>i</m:t>
        </m:r>
        <m:r>
          <m:t>d</m:t>
        </m:r>
        <m:r>
          <m:t>e</m:t>
        </m:r>
        <m:r>
          <m:t>d</m:t>
        </m:r>
        <m:r>
          <m:t>Q</m:t>
        </m:r>
        <m:r>
          <m:t>3</m:t>
        </m:r>
        <m:r>
          <m:t>t</m:t>
        </m:r>
        <m:r>
          <m:t>o</m:t>
        </m:r>
        <m:r>
          <m:rPr>
            <m:sty m:val="p"/>
          </m:rPr>
          <m:t>*</m:t>
        </m:r>
        <m:r>
          <m:rPr>
            <m:sty m:val="p"/>
          </m:rPr>
          <m:t>*</m:t>
        </m:r>
      </m:oMath>
      <w:r>
        <w:rPr>
          <w:b/>
          <w:bCs/>
        </w:rPr>
        <w:t xml:space="preserve">108.0B ±2%</w:t>
      </w:r>
      <w:r>
        <w:t xml:space="preserve">, about 4% above the Street, and supply commitments rose to $279B from $119B (</w:t>
      </w:r>
      <w:hyperlink r:id="rId63">
        <w:r>
          <w:rPr>
            <w:rStyle w:val="Hyperlink"/>
          </w:rPr>
          <w:t xml:space="preserve">NVIDIA</w:t>
        </w:r>
      </w:hyperlink>
      <w:r>
        <w:t xml:space="preserve">;</w:t>
      </w:r>
      <w:r>
        <w:t xml:space="preserve"> </w:t>
      </w:r>
      <w:hyperlink r:id="rId64">
        <w:r>
          <w:rPr>
            <w:rStyle w:val="Hyperlink"/>
          </w:rPr>
          <w:t xml:space="preserve">SEC 8-K</w:t>
        </w:r>
      </w:hyperlink>
      <w:r>
        <w:t xml:space="preserve">). It is Zacks Rank #1 (</w:t>
      </w:r>
      <w:hyperlink r:id="rId65">
        <w:r>
          <w:rPr>
            <w:rStyle w:val="Hyperlink"/>
          </w:rPr>
          <w:t xml:space="preserve">Zacks via TradingView</w:t>
        </w:r>
      </w:hyperlink>
      <w:r>
        <w:t xml:space="preserve">).</w:t>
      </w:r>
    </w:p>
    <w:p>
      <w:pPr>
        <w:pStyle w:val="BodyText"/>
      </w:pPr>
      <w:r>
        <w:rPr>
          <w:b/>
          <w:bCs/>
        </w:rPr>
        <w:t xml:space="preserve">Momentum.</w:t>
      </w:r>
      <w:r>
        <w:t xml:space="preserve"> </w:t>
      </w:r>
      <w:r>
        <w:t xml:space="preserve">Momentum is the weak factor. NVDA was up only about</w:t>
      </w:r>
      <w:r>
        <w:t xml:space="preserve"> </w:t>
      </w:r>
      <w:r>
        <w:rPr>
          <w:b/>
          <w:bCs/>
        </w:rPr>
        <w:t xml:space="preserve">16% YTD against +62% for the SOX index</w:t>
      </w:r>
      <w:r>
        <w:t xml:space="preserve"> </w:t>
      </w:r>
      <w:r>
        <w:t xml:space="preserve">at the end of August (</w:t>
      </w:r>
      <w:hyperlink r:id="rId66">
        <w:r>
          <w:rPr>
            <w:rStyle w:val="Hyperlink"/>
          </w:rPr>
          <w:t xml:space="preserve">Motley Fool</w:t>
        </w:r>
      </w:hyperlink>
      <w:r>
        <w:t xml:space="preserve">).</w:t>
      </w:r>
    </w:p>
    <w:p>
      <w:pPr>
        <w:pStyle w:val="BodyText"/>
      </w:pPr>
      <w:r>
        <w:rPr>
          <w:b/>
          <w:bCs/>
        </w:rPr>
        <w:t xml:space="preserve">Valuation and relative volatility.</w:t>
      </w:r>
      <w:r>
        <w:t xml:space="preserve"> </w:t>
      </w:r>
      <w:r>
        <w:t xml:space="preserve">We estimate about 23–25x forward earnings. That is our estimate, not a quoted figure. At roughly 8% of the index, NVDA's relative volatility is lower than its standalone volatility, and that was the basis for its downside-risk score of 4. That reasoning is incomplete. The risk score was never defined as relative rather than standalone risk. The same volatility table puts semis at about ±18–24% over eight weeks, and semis are the most crowded trade. A score of 3 is at least as defensible.</w:t>
      </w:r>
      <w:r>
        <w:t xml:space="preserve"> </w:t>
      </w:r>
      <w:r>
        <w:rPr>
          <w:b/>
          <w:bCs/>
        </w:rPr>
        <w:t xml:space="preserve">At 3, NVDA falls to 3.60 and leaves the basket, replaced by DELL.</w:t>
      </w:r>
      <w:r>
        <w:t xml:space="preserve"> </w:t>
      </w:r>
      <w:r>
        <w:t xml:space="preserve">The same weight also means NVDA needs stock-specific outperformance to add much.</w:t>
      </w:r>
    </w:p>
    <w:p>
      <w:pPr>
        <w:pStyle w:val="BodyText"/>
      </w:pPr>
      <w:r>
        <w:rPr>
          <w:b/>
          <w:bCs/>
        </w:rPr>
        <w:t xml:space="preserve">Catalysts in the window:</w:t>
      </w:r>
    </w:p>
    <w:p>
      <w:pPr>
        <w:pStyle w:val="Compact"/>
        <w:numPr>
          <w:ilvl w:val="0"/>
          <w:numId w:val="1005"/>
        </w:numPr>
      </w:pPr>
      <w:r>
        <w:t xml:space="preserve">MU's report on Sep 30, as a read-across on AI memory demand.</w:t>
      </w:r>
    </w:p>
    <w:p>
      <w:pPr>
        <w:pStyle w:val="Compact"/>
        <w:numPr>
          <w:ilvl w:val="0"/>
          <w:numId w:val="1005"/>
        </w:numPr>
      </w:pPr>
      <w:r>
        <w:t xml:space="preserve">TSMC's Q3 call on Oct 15 (</w:t>
      </w:r>
      <w:hyperlink r:id="rId67">
        <w:r>
          <w:rPr>
            <w:rStyle w:val="Hyperlink"/>
          </w:rPr>
          <w:t xml:space="preserve">TSMC IR</w:t>
        </w:r>
      </w:hyperlink>
      <w:r>
        <w:t xml:space="preserve">).</w:t>
      </w:r>
    </w:p>
    <w:p>
      <w:pPr>
        <w:pStyle w:val="Compact"/>
        <w:numPr>
          <w:ilvl w:val="0"/>
          <w:numId w:val="1005"/>
        </w:numPr>
      </w:pPr>
      <w:r>
        <w:t xml:space="preserve">Hyperscaler reports around Oct 27–30. MSFT is expected Oct 28 but is unconfirmed (</w:t>
      </w:r>
      <w:hyperlink r:id="rId68">
        <w:r>
          <w:rPr>
            <w:rStyle w:val="Hyperlink"/>
          </w:rPr>
          <w:t xml:space="preserve">Wall Street Horizon</w:t>
        </w:r>
      </w:hyperlink>
      <w:r>
        <w:t xml:space="preserve">).</w:t>
      </w:r>
    </w:p>
    <w:p>
      <w:pPr>
        <w:pStyle w:val="Compact"/>
        <w:numPr>
          <w:ilvl w:val="0"/>
          <w:numId w:val="1005"/>
        </w:numPr>
      </w:pPr>
      <w:r>
        <w:t xml:space="preserve">NVDA's own Q3 FY27 report. Wall Street Horizon lists it as confirmed for</w:t>
      </w:r>
      <w:r>
        <w:t xml:space="preserve"> </w:t>
      </w:r>
      <w:r>
        <w:rPr>
          <w:b/>
          <w:bCs/>
        </w:rPr>
        <w:t xml:space="preserve">Nov 17</w:t>
      </w:r>
      <w:r>
        <w:t xml:space="preserve"> </w:t>
      </w:r>
      <w:r>
        <w:t xml:space="preserve">after the close, but Investing.com shows Nov 25, outside the window (</w:t>
      </w:r>
      <w:hyperlink r:id="rId69">
        <w:r>
          <w:rPr>
            <w:rStyle w:val="Hyperlink"/>
          </w:rPr>
          <w:t xml:space="preserve">Wall Street Horizon</w:t>
        </w:r>
      </w:hyperlink>
      <w:r>
        <w:t xml:space="preserve">;</w:t>
      </w:r>
      <w:r>
        <w:t xml:space="preserve"> </w:t>
      </w:r>
      <w:hyperlink r:id="rId70">
        <w:r>
          <w:rPr>
            <w:rStyle w:val="Hyperlink"/>
          </w:rPr>
          <w:t xml:space="preserve">Investing.com</w:t>
        </w:r>
      </w:hyperlink>
      <w:r>
        <w:t xml:space="preserve">).</w:t>
      </w:r>
    </w:p>
    <w:p>
      <w:pPr>
        <w:pStyle w:val="FirstParagraph"/>
      </w:pPr>
      <w:r>
        <w:rPr>
          <w:b/>
          <w:bCs/>
        </w:rPr>
        <w:t xml:space="preserve">Bear case.</w:t>
      </w:r>
      <w:r>
        <w:t xml:space="preserve"> </w:t>
      </w:r>
      <w:r>
        <w:t xml:space="preserve">Shares have "stalled" despite $600B of AI capex, because investors doubt that AI revenue scales with spending (</w:t>
      </w:r>
      <w:hyperlink r:id="rId71">
        <w:r>
          <w:rPr>
            <w:rStyle w:val="Hyperlink"/>
          </w:rPr>
          <w:t xml:space="preserve">Yahoo Finance</w:t>
        </w:r>
      </w:hyperlink>
      <w:r>
        <w:t xml:space="preserve">). A third-party estimate puts hyperscaler capex at about</w:t>
      </w:r>
      <w:r>
        <w:t xml:space="preserve"> </w:t>
      </w:r>
      <w:r>
        <w:rPr>
          <w:b/>
          <w:bCs/>
        </w:rPr>
        <w:t xml:space="preserve">94% of operating cash flow in 2026–27</w:t>
      </w:r>
      <w:r>
        <w:t xml:space="preserve"> </w:t>
      </w:r>
      <w:r>
        <w:t xml:space="preserve">(</w:t>
      </w:r>
      <w:hyperlink r:id="rId72">
        <w:r>
          <w:rPr>
            <w:rStyle w:val="Hyperlink"/>
          </w:rPr>
          <w:t xml:space="preserve">AL Capital Advisory</w:t>
        </w:r>
      </w:hyperlink>
      <w:r>
        <w:t xml:space="preserve">). On Sep 24, Oracle's force-majeure notice on the New Mexico Stargate site became the first dated crack in AI-capex financing (</w:t>
      </w:r>
      <w:hyperlink r:id="rId73">
        <w:r>
          <w:rPr>
            <w:rStyle w:val="Hyperlink"/>
          </w:rPr>
          <w:t xml:space="preserve">CNBC</w:t>
        </w:r>
      </w:hyperlink>
      <w:r>
        <w:t xml:space="preserve">).</w:t>
      </w:r>
    </w:p>
    <w:p>
      <w:pPr>
        <w:pStyle w:val="BodyText"/>
      </w:pPr>
      <w:r>
        <w:rPr>
          <w:b/>
          <w:bCs/>
        </w:rPr>
        <w:t xml:space="preserve">What proves it wrong:</w:t>
      </w:r>
    </w:p>
    <w:p>
      <w:pPr>
        <w:pStyle w:val="Compact"/>
        <w:numPr>
          <w:ilvl w:val="0"/>
          <w:numId w:val="1006"/>
        </w:numPr>
      </w:pPr>
      <w:r>
        <w:t xml:space="preserve">One or more of MSFT, GOOGL, META or AMZN guides 2027 capex flat or down in late October.</w:t>
      </w:r>
    </w:p>
    <w:p>
      <w:pPr>
        <w:pStyle w:val="Compact"/>
        <w:numPr>
          <w:ilvl w:val="0"/>
          <w:numId w:val="1006"/>
        </w:numPr>
      </w:pPr>
      <w:r>
        <w:t xml:space="preserve">NVDA's Q4 guide comes in only in line, at about $118–120B (our estimate of an in-line figure).</w:t>
      </w:r>
    </w:p>
    <w:p>
      <w:pPr>
        <w:pStyle w:val="Compact"/>
        <w:numPr>
          <w:ilvl w:val="0"/>
          <w:numId w:val="1006"/>
        </w:numPr>
      </w:pPr>
      <w:r>
        <w:t xml:space="preserve">NVDA closes below</w:t>
      </w:r>
      <w:r>
        <w:t xml:space="preserve"> </w:t>
      </w:r>
      <w:r>
        <w:rPr>
          <w:b/>
          <w:bCs/>
        </w:rPr>
        <w:t xml:space="preserve">about $205</w:t>
      </w:r>
      <w:r>
        <w:t xml:space="preserve">, the level before the Aug 26 report. That is about 8.7% below the reference price.</w:t>
      </w:r>
    </w:p>
    <w:bookmarkEnd w:id="74"/>
    <w:bookmarkStart w:id="85" w:name="X4871b4c12928ca2c0977976d8a81b529575a380"/>
    <w:p>
      <w:pPr>
        <w:pStyle w:val="Heading3"/>
      </w:pPr>
      <w:r>
        <w:t xml:space="preserve">TRV: the quiet hurricane season has not been priced into the chart</w:t>
      </w:r>
    </w:p>
    <w:p>
      <w:pPr>
        <w:pStyle w:val="FirstParagraph"/>
      </w:pPr>
      <w:r>
        <w:rPr>
          <w:b/>
          <w:bCs/>
        </w:rPr>
        <w:t xml:space="preserve">Thesis.</w:t>
      </w:r>
      <w:r>
        <w:t xml:space="preserve"> </w:t>
      </w:r>
      <w:r>
        <w:t xml:space="preserve">TRV has the largest verified upward revision among the non-AI names. It reports on a confirmed date after a historically quiet hurricane season, and it adds a low-beta diversifier to the AI slots.</w:t>
      </w:r>
    </w:p>
    <w:p>
      <w:pPr>
        <w:pStyle w:val="BodyText"/>
      </w:pPr>
      <w:r>
        <w:rPr>
          <w:b/>
          <w:bCs/>
        </w:rPr>
        <w:t xml:space="preserve">Revisions.</w:t>
      </w:r>
      <w:r>
        <w:t xml:space="preserve"> </w:t>
      </w:r>
      <w:r>
        <w:t xml:space="preserve">TRV is Zacks #1 (added Sep 18), with the current-year estimate up</w:t>
      </w:r>
      <w:r>
        <w:t xml:space="preserve"> </w:t>
      </w:r>
      <w:r>
        <w:rPr>
          <w:b/>
          <w:bCs/>
        </w:rPr>
        <w:t xml:space="preserve">13.7% to 20.7% in 60 days</w:t>
      </w:r>
      <w:r>
        <w:t xml:space="preserve">, depending on which Zacks piece is cited (</w:t>
      </w:r>
      <w:hyperlink r:id="rId75">
        <w:r>
          <w:rPr>
            <w:rStyle w:val="Hyperlink"/>
          </w:rPr>
          <w:t xml:space="preserve">Zacks via Yahoo</w:t>
        </w:r>
      </w:hyperlink>
      <w:r>
        <w:t xml:space="preserve">). Q3 consensus is</w:t>
      </w:r>
      <w:r>
        <w:t xml:space="preserve"> </w:t>
      </w:r>
      <w:r>
        <w:rPr>
          <w:b/>
          <w:bCs/>
        </w:rPr>
        <w:t xml:space="preserve">$6.77</w:t>
      </w:r>
      <w:r>
        <w:t xml:space="preserve"> </w:t>
      </w:r>
      <w:r>
        <w:t xml:space="preserve">(</w:t>
      </w:r>
      <w:hyperlink r:id="rId76">
        <w:r>
          <w:rPr>
            <w:rStyle w:val="Hyperlink"/>
          </w:rPr>
          <w:t xml:space="preserve">EarningsCountdown</w:t>
        </w:r>
      </w:hyperlink>
      <w:r>
        <w:t xml:space="preserve">).</w:t>
      </w:r>
    </w:p>
    <w:p>
      <w:pPr>
        <w:pStyle w:val="BodyText"/>
      </w:pPr>
      <w:r>
        <w:rPr>
          <w:b/>
          <w:bCs/>
        </w:rPr>
        <w:t xml:space="preserve">Momentum.</w:t>
      </w:r>
      <w:r>
        <w:t xml:space="preserve"> </w:t>
      </w:r>
      <w:r>
        <w:t xml:space="preserve">The share price is</w:t>
      </w:r>
      <w:r>
        <w:t xml:space="preserve"> </w:t>
      </w:r>
      <w:r>
        <w:rPr>
          <w:b/>
          <w:bCs/>
        </w:rPr>
        <w:t xml:space="preserve">+27.07% YTD</w:t>
      </w:r>
      <w:r>
        <w:t xml:space="preserve"> </w:t>
      </w:r>
      <w:r>
        <w:t xml:space="preserve">but fell 4.51% in the seven days to Sep 24 (</w:t>
      </w:r>
      <w:hyperlink r:id="rId57">
        <w:r>
          <w:rPr>
            <w:rStyle w:val="Hyperlink"/>
          </w:rPr>
          <w:t xml:space="preserve">Yahoo/Simply Wall St</w:t>
        </w:r>
      </w:hyperlink>
      <w:r>
        <w:t xml:space="preserve">). The all-time high was $398.70 on Jul 28 (</w:t>
      </w:r>
      <w:hyperlink r:id="rId77">
        <w:r>
          <w:rPr>
            <w:rStyle w:val="Hyperlink"/>
          </w:rPr>
          <w:t xml:space="preserve">TradingView</w:t>
        </w:r>
      </w:hyperlink>
      <w:r>
        <w:t xml:space="preserve">).</w:t>
      </w:r>
    </w:p>
    <w:p>
      <w:pPr>
        <w:pStyle w:val="BodyText"/>
      </w:pPr>
      <w:r>
        <w:rPr>
          <w:b/>
          <w:bCs/>
        </w:rPr>
        <w:t xml:space="preserve">Catalyst.</w:t>
      </w:r>
      <w:r>
        <w:t xml:space="preserve"> </w:t>
      </w:r>
      <w:r>
        <w:t xml:space="preserve">Q3 results come out</w:t>
      </w:r>
      <w:r>
        <w:t xml:space="preserve"> </w:t>
      </w:r>
      <w:r>
        <w:rPr>
          <w:b/>
          <w:bCs/>
        </w:rPr>
        <w:t xml:space="preserve">Fri Oct 16 before the open</w:t>
      </w:r>
      <w:r>
        <w:t xml:space="preserve">, confirmed by the company (</w:t>
      </w:r>
      <w:hyperlink r:id="rId78">
        <w:r>
          <w:rPr>
            <w:rStyle w:val="Hyperlink"/>
          </w:rPr>
          <w:t xml:space="preserve">Travelers IR</w:t>
        </w:r>
      </w:hyperlink>
      <w:r>
        <w:t xml:space="preserve">). Three facts support the print:</w:t>
      </w:r>
    </w:p>
    <w:p>
      <w:pPr>
        <w:pStyle w:val="Compact"/>
        <w:numPr>
          <w:ilvl w:val="0"/>
          <w:numId w:val="1007"/>
        </w:numPr>
      </w:pPr>
      <w:r>
        <w:t xml:space="preserve">The 2026 Atlantic season has been "extremely inactive" (</w:t>
      </w:r>
      <w:hyperlink r:id="rId79">
        <w:r>
          <w:rPr>
            <w:rStyle w:val="Hyperlink"/>
          </w:rPr>
          <w:t xml:space="preserve">Wikipedia</w:t>
        </w:r>
      </w:hyperlink>
      <w:r>
        <w:t xml:space="preserve">).</w:t>
      </w:r>
    </w:p>
    <w:p>
      <w:pPr>
        <w:pStyle w:val="Compact"/>
        <w:numPr>
          <w:ilvl w:val="0"/>
          <w:numId w:val="1007"/>
        </w:numPr>
      </w:pPr>
      <w:r>
        <w:t xml:space="preserve">First-half insured catastrophe losses were below trend (</w:t>
      </w:r>
      <w:hyperlink r:id="rId80">
        <w:r>
          <w:rPr>
            <w:rStyle w:val="Hyperlink"/>
          </w:rPr>
          <w:t xml:space="preserve">Swiss Re Institute</w:t>
        </w:r>
      </w:hyperlink>
      <w:r>
        <w:t xml:space="preserve">).</w:t>
      </w:r>
    </w:p>
    <w:p>
      <w:pPr>
        <w:pStyle w:val="Compact"/>
        <w:numPr>
          <w:ilvl w:val="0"/>
          <w:numId w:val="1007"/>
        </w:numPr>
      </w:pPr>
      <w:r>
        <w:t xml:space="preserve">Q2 profit rose 46% on lower catastrophe losses (</w:t>
      </w:r>
      <w:hyperlink r:id="rId81">
        <w:r>
          <w:rPr>
            <w:rStyle w:val="Hyperlink"/>
          </w:rPr>
          <w:t xml:space="preserve">Quartz</w:t>
        </w:r>
      </w:hyperlink>
      <w:r>
        <w:t xml:space="preserve">).</w:t>
      </w:r>
    </w:p>
    <w:p>
      <w:pPr>
        <w:pStyle w:val="FirstParagraph"/>
      </w:pPr>
      <w:r>
        <w:rPr>
          <w:b/>
          <w:bCs/>
        </w:rPr>
        <w:t xml:space="preserve">Bear case.</w:t>
      </w:r>
      <w:r>
        <w:t xml:space="preserve"> </w:t>
      </w:r>
      <w:r>
        <w:t xml:space="preserve">The 28-analyst consensus is Hold, with an</w:t>
      </w:r>
      <w:r>
        <w:t xml:space="preserve"> </w:t>
      </w:r>
      <w:r>
        <w:rPr>
          <w:b/>
          <w:bCs/>
        </w:rPr>
        <w:t xml:space="preserve">average target of $360.33, below the price</w:t>
      </w:r>
      <w:r>
        <w:t xml:space="preserve">. Morgan Stanley and Barclays have Underweight calls, though those predate the July high (</w:t>
      </w:r>
      <w:hyperlink r:id="rId82">
        <w:r>
          <w:rPr>
            <w:rStyle w:val="Hyperlink"/>
          </w:rPr>
          <w:t xml:space="preserve">Investing.com</w:t>
        </w:r>
      </w:hyperlink>
      <w:r>
        <w:t xml:space="preserve">). Commercial property pricing is softening (</w:t>
      </w:r>
      <w:hyperlink r:id="rId83">
        <w:r>
          <w:rPr>
            <w:rStyle w:val="Hyperlink"/>
          </w:rPr>
          <w:t xml:space="preserve">Investing.com</w:t>
        </w:r>
      </w:hyperlink>
      <w:r>
        <w:t xml:space="preserve">). A headline about storm losses weighing on the shares exists, but we could not verify its date or content (</w:t>
      </w:r>
      <w:hyperlink r:id="rId84">
        <w:r>
          <w:rPr>
            <w:rStyle w:val="Hyperlink"/>
          </w:rPr>
          <w:t xml:space="preserve">ad-hoc-news</w:t>
        </w:r>
      </w:hyperlink>
      <w:r>
        <w:t xml:space="preserve">). Higher yields also cut book value through bond marks. The hurricane season runs to Nov 30, so late-season storm risk stays open for the whole window.</w:t>
      </w:r>
    </w:p>
    <w:p>
      <w:pPr>
        <w:pStyle w:val="BodyText"/>
      </w:pPr>
      <w:r>
        <w:rPr>
          <w:b/>
          <w:bCs/>
        </w:rPr>
        <w:t xml:space="preserve">What proves it wrong:</w:t>
      </w:r>
    </w:p>
    <w:p>
      <w:pPr>
        <w:pStyle w:val="Compact"/>
        <w:numPr>
          <w:ilvl w:val="0"/>
          <w:numId w:val="1008"/>
        </w:numPr>
      </w:pPr>
      <w:r>
        <w:t xml:space="preserve">A pre-announced Q3 catastrophe loss above about $600M after tax.</w:t>
      </w:r>
    </w:p>
    <w:p>
      <w:pPr>
        <w:pStyle w:val="Compact"/>
        <w:numPr>
          <w:ilvl w:val="0"/>
          <w:numId w:val="1008"/>
        </w:numPr>
      </w:pPr>
      <w:r>
        <w:t xml:space="preserve">An underlying combined ratio worse than Q2.</w:t>
      </w:r>
    </w:p>
    <w:p>
      <w:pPr>
        <w:pStyle w:val="Compact"/>
        <w:numPr>
          <w:ilvl w:val="0"/>
          <w:numId w:val="1008"/>
        </w:numPr>
      </w:pPr>
      <w:r>
        <w:t xml:space="preserve">Business Insurance renewal premium change falling below low single digits on Oct 16.</w:t>
      </w:r>
    </w:p>
    <w:p>
      <w:pPr>
        <w:pStyle w:val="Compact"/>
        <w:numPr>
          <w:ilvl w:val="0"/>
          <w:numId w:val="1008"/>
        </w:numPr>
      </w:pPr>
      <w:r>
        <w:t xml:space="preserve">A close below</w:t>
      </w:r>
      <w:r>
        <w:t xml:space="preserve"> </w:t>
      </w:r>
      <w:r>
        <w:rPr>
          <w:b/>
          <w:bCs/>
        </w:rPr>
        <w:t xml:space="preserve">about $350</w:t>
      </w:r>
      <w:r>
        <w:t xml:space="preserve"> </w:t>
      </w:r>
      <w:r>
        <w:t xml:space="preserve">before the report. This level is our inference, only 3.4% below the reference price, so it is noise-prone and should be read alongside the fundamental signals.</w:t>
      </w:r>
    </w:p>
    <w:bookmarkEnd w:id="85"/>
    <w:bookmarkStart w:id="93" w:name="Xebaa6290fe80fa072f7530588114ef93afcc423"/>
    <w:p>
      <w:pPr>
        <w:pStyle w:val="Heading3"/>
      </w:pPr>
      <w:r>
        <w:t xml:space="preserve">APH: AI interconnect with a diversified floor</w:t>
      </w:r>
    </w:p>
    <w:p>
      <w:pPr>
        <w:pStyle w:val="FirstParagraph"/>
      </w:pPr>
      <w:r>
        <w:rPr>
          <w:b/>
          <w:bCs/>
        </w:rPr>
        <w:t xml:space="preserve">Thesis.</w:t>
      </w:r>
      <w:r>
        <w:t xml:space="preserve"> </w:t>
      </w:r>
      <w:r>
        <w:t xml:space="preserve">APH gives AI-rack exposure with lower relative volatility than pure AI hardware. It has a consistent beat history and a report inside the window.</w:t>
      </w:r>
    </w:p>
    <w:p>
      <w:pPr>
        <w:pStyle w:val="BodyText"/>
      </w:pPr>
      <w:r>
        <w:rPr>
          <w:b/>
          <w:bCs/>
        </w:rPr>
        <w:t xml:space="preserve">Split and price.</w:t>
      </w:r>
      <w:r>
        <w:t xml:space="preserve"> </w:t>
      </w:r>
      <w:r>
        <w:t xml:space="preserve">The $84 price is not stale. APH completed a</w:t>
      </w:r>
      <w:r>
        <w:t xml:space="preserve"> </w:t>
      </w:r>
      <w:r>
        <w:rPr>
          <w:b/>
          <w:bCs/>
        </w:rPr>
        <w:t xml:space="preserve">2-for-1 split, with split-adjusted trading from Sep 3</w:t>
      </w:r>
      <w:r>
        <w:t xml:space="preserve"> </w:t>
      </w:r>
      <w:r>
        <w:t xml:space="preserve">(</w:t>
      </w:r>
      <w:hyperlink r:id="rId86">
        <w:r>
          <w:rPr>
            <w:rStyle w:val="Hyperlink"/>
          </w:rPr>
          <w:t xml:space="preserve">EBC</w:t>
        </w:r>
      </w:hyperlink>
      <w:r>
        <w:t xml:space="preserve">).</w:t>
      </w:r>
    </w:p>
    <w:p>
      <w:pPr>
        <w:pStyle w:val="BodyText"/>
      </w:pPr>
      <w:r>
        <w:rPr>
          <w:b/>
          <w:bCs/>
        </w:rPr>
        <w:t xml:space="preserve">Revisions.</w:t>
      </w:r>
    </w:p>
    <w:p>
      <w:pPr>
        <w:pStyle w:val="Compact"/>
        <w:numPr>
          <w:ilvl w:val="0"/>
          <w:numId w:val="1009"/>
        </w:numPr>
      </w:pPr>
      <w:r>
        <w:t xml:space="preserve">Zacks #1 on a screen requiring the stock to be within 20% of its 52-week high, with the</w:t>
      </w:r>
      <w:r>
        <w:t xml:space="preserve"> </w:t>
      </w:r>
      <w:r>
        <w:rPr>
          <w:b/>
          <w:bCs/>
        </w:rPr>
        <w:t xml:space="preserve">current-year estimate up 9% in 60 days</w:t>
      </w:r>
      <w:r>
        <w:t xml:space="preserve"> </w:t>
      </w:r>
      <w:r>
        <w:t xml:space="preserve">(</w:t>
      </w:r>
      <w:hyperlink r:id="rId87">
        <w:r>
          <w:rPr>
            <w:rStyle w:val="Hyperlink"/>
          </w:rPr>
          <w:t xml:space="preserve">Zacks via Yahoo</w:t>
        </w:r>
      </w:hyperlink>
      <w:r>
        <w:t xml:space="preserve">).</w:t>
      </w:r>
    </w:p>
    <w:p>
      <w:pPr>
        <w:pStyle w:val="Compact"/>
        <w:numPr>
          <w:ilvl w:val="0"/>
          <w:numId w:val="1009"/>
        </w:numPr>
      </w:pPr>
      <w:r>
        <w:t xml:space="preserve">BNP raised its estimates after a management meeting (</w:t>
      </w:r>
      <w:hyperlink r:id="rId88">
        <w:r>
          <w:rPr>
            <w:rStyle w:val="Hyperlink"/>
          </w:rPr>
          <w:t xml:space="preserve">Seeking Alpha</w:t>
        </w:r>
      </w:hyperlink>
      <w:r>
        <w:t xml:space="preserve">).</w:t>
      </w:r>
    </w:p>
    <w:p>
      <w:pPr>
        <w:pStyle w:val="Compact"/>
        <w:numPr>
          <w:ilvl w:val="0"/>
          <w:numId w:val="1009"/>
        </w:numPr>
      </w:pPr>
      <w:r>
        <w:t xml:space="preserve">Q2 sales were</w:t>
      </w:r>
      <w:r>
        <w:t xml:space="preserve"> </w:t>
      </w:r>
      <m:oMath>
        <m:r>
          <m:t>8.8</m:t>
        </m:r>
        <m:r>
          <m:t>B</m:t>
        </m:r>
        <m:r>
          <m:rPr>
            <m:sty m:val="p"/>
          </m:rPr>
          <m:t>(</m:t>
        </m:r>
        <m:r>
          <m:t>a</m:t>
        </m:r>
        <m:r>
          <m:t>b</m:t>
        </m:r>
        <m:r>
          <m:t>o</m:t>
        </m:r>
        <m:r>
          <m:t>u</m:t>
        </m:r>
        <m:r>
          <m:t>t</m:t>
        </m:r>
        <m:r>
          <m:rPr>
            <m:sty m:val="p"/>
          </m:rPr>
          <m:t>+</m:t>
        </m:r>
        <m:r>
          <m:t>55</m:t>
        </m:r>
      </m:oMath>
      <w:r>
        <w:rPr>
          <w:b/>
          <w:bCs/>
        </w:rPr>
        <w:t xml:space="preserve">10.7B for a book-to-bill of about 1.2</w:t>
      </w:r>
      <w:r>
        <w:t xml:space="preserve"> </w:t>
      </w:r>
      <w:r>
        <w:t xml:space="preserve">(</w:t>
      </w:r>
      <w:hyperlink r:id="rId89">
        <w:r>
          <w:rPr>
            <w:rStyle w:val="Hyperlink"/>
          </w:rPr>
          <w:t xml:space="preserve">OptionsTradingReport</w:t>
        </w:r>
      </w:hyperlink>
      <w:r>
        <w:t xml:space="preserve">).</w:t>
      </w:r>
    </w:p>
    <w:p>
      <w:pPr>
        <w:pStyle w:val="Compact"/>
        <w:numPr>
          <w:ilvl w:val="0"/>
          <w:numId w:val="1009"/>
        </w:numPr>
      </w:pPr>
      <w:r>
        <w:t xml:space="preserve">The June-quarter EPS of $1.35 (pre-split) beat the $1.19 estimate (</w:t>
      </w:r>
      <w:hyperlink r:id="rId90">
        <w:r>
          <w:rPr>
            <w:rStyle w:val="Hyperlink"/>
          </w:rPr>
          <w:t xml:space="preserve">TipRanks</w:t>
        </w:r>
      </w:hyperlink>
      <w:r>
        <w:t xml:space="preserve">).</w:t>
      </w:r>
    </w:p>
    <w:p>
      <w:pPr>
        <w:pStyle w:val="Compact"/>
        <w:numPr>
          <w:ilvl w:val="0"/>
          <w:numId w:val="1009"/>
        </w:numPr>
      </w:pPr>
      <w:r>
        <w:t xml:space="preserve">Bernstein initiated at Outperform with a $99 target (</w:t>
      </w:r>
      <w:hyperlink r:id="rId91">
        <w:r>
          <w:rPr>
            <w:rStyle w:val="Hyperlink"/>
          </w:rPr>
          <w:t xml:space="preserve">ad-hoc-news</w:t>
        </w:r>
      </w:hyperlink>
      <w:r>
        <w:t xml:space="preserve">).</w:t>
      </w:r>
    </w:p>
    <w:p>
      <w:pPr>
        <w:pStyle w:val="FirstParagraph"/>
      </w:pPr>
      <w:r>
        <w:rPr>
          <w:b/>
          <w:bCs/>
        </w:rPr>
        <w:t xml:space="preserve">Catalyst.</w:t>
      </w:r>
      <w:r>
        <w:t xml:space="preserve"> </w:t>
      </w:r>
      <w:r>
        <w:t xml:space="preserve">Q3 results are due</w:t>
      </w:r>
      <w:r>
        <w:t xml:space="preserve"> </w:t>
      </w:r>
      <w:r>
        <w:rPr>
          <w:b/>
          <w:bCs/>
        </w:rPr>
        <w:t xml:space="preserve">Oct 28 before the open</w:t>
      </w:r>
      <w:r>
        <w:t xml:space="preserve">, the FOMC decision day. Before that, MU (Sep 30) and TSMC (Oct 15) give read-throughs.</w:t>
      </w:r>
    </w:p>
    <w:p>
      <w:pPr>
        <w:pStyle w:val="BodyText"/>
      </w:pPr>
      <w:r>
        <w:rPr>
          <w:b/>
          <w:bCs/>
        </w:rPr>
        <w:t xml:space="preserve">Bear case.</w:t>
      </w:r>
      <w:r>
        <w:t xml:space="preserve"> </w:t>
      </w:r>
      <w:r>
        <w:t xml:space="preserve">Zacks called APH stretched at</w:t>
      </w:r>
      <w:r>
        <w:t xml:space="preserve"> </w:t>
      </w:r>
      <w:r>
        <w:rPr>
          <w:b/>
          <w:bCs/>
        </w:rPr>
        <w:t xml:space="preserve">30.48x forward earnings vs 15.97x for TE Connectivity</w:t>
      </w:r>
      <w:r>
        <w:t xml:space="preserve">, though that article's date is unclear (</w:t>
      </w:r>
      <w:hyperlink r:id="rId92">
        <w:r>
          <w:rPr>
            <w:rStyle w:val="Hyperlink"/>
          </w:rPr>
          <w:t xml:space="preserve">Zacks via Yahoo</w:t>
        </w:r>
      </w:hyperlink>
      <w:r>
        <w:t xml:space="preserve">). Its IT datacom business is about 41% of revenue, so a hyperscaler digestion phase would hit orders first. Connectors are a leading indicator of hyperscaler build rates.</w:t>
      </w:r>
    </w:p>
    <w:p>
      <w:pPr>
        <w:pStyle w:val="BodyText"/>
      </w:pPr>
      <w:r>
        <w:rPr>
          <w:b/>
          <w:bCs/>
        </w:rPr>
        <w:t xml:space="preserve">What proves it wrong:</w:t>
      </w:r>
    </w:p>
    <w:p>
      <w:pPr>
        <w:pStyle w:val="Compact"/>
        <w:numPr>
          <w:ilvl w:val="0"/>
          <w:numId w:val="1010"/>
        </w:numPr>
      </w:pPr>
      <w:r>
        <w:t xml:space="preserve">Book-to-bill below about 1.05 on Oct 28.</w:t>
      </w:r>
    </w:p>
    <w:p>
      <w:pPr>
        <w:pStyle w:val="Compact"/>
        <w:numPr>
          <w:ilvl w:val="0"/>
          <w:numId w:val="1010"/>
        </w:numPr>
      </w:pPr>
      <w:r>
        <w:t xml:space="preserve">A Q4 guide below consensus.</w:t>
      </w:r>
    </w:p>
    <w:p>
      <w:pPr>
        <w:pStyle w:val="Compact"/>
        <w:numPr>
          <w:ilvl w:val="0"/>
          <w:numId w:val="1010"/>
        </w:numPr>
      </w:pPr>
      <w:r>
        <w:t xml:space="preserve">A close below</w:t>
      </w:r>
      <w:r>
        <w:t xml:space="preserve"> </w:t>
      </w:r>
      <w:r>
        <w:rPr>
          <w:b/>
          <w:bCs/>
        </w:rPr>
        <w:t xml:space="preserve">about $77.5</w:t>
      </w:r>
      <w:r>
        <w:t xml:space="preserve">, the Sep 18 low, before the report. That is about 7.8% below the reference price.</w:t>
      </w:r>
    </w:p>
    <w:bookmarkEnd w:id="93"/>
    <w:bookmarkStart w:id="97" w:name="X307d773aad3219b45b0db73b2d276a6869901f7"/>
    <w:p>
      <w:pPr>
        <w:pStyle w:val="Heading3"/>
      </w:pPr>
      <w:r>
        <w:t xml:space="preserve">JPM: a guided-up beat that is trading on yields</w:t>
      </w:r>
    </w:p>
    <w:p>
      <w:pPr>
        <w:pStyle w:val="FirstParagraph"/>
      </w:pPr>
      <w:r>
        <w:rPr>
          <w:b/>
          <w:bCs/>
        </w:rPr>
        <w:t xml:space="preserve">Thesis.</w:t>
      </w:r>
      <w:r>
        <w:t xml:space="preserve"> </w:t>
      </w:r>
      <w:r>
        <w:t xml:space="preserve">JPM is the first major S&amp;P 500 report of the season. Management has already guided the key lines up. That guidance is probably already in the higher consensus, so the case rests on revision momentum persisting, not on an expected beat of the updated estimate. The stock is trading on rates, not earnings.</w:t>
      </w:r>
    </w:p>
    <w:p>
      <w:pPr>
        <w:pStyle w:val="BodyText"/>
      </w:pPr>
      <w:r>
        <w:rPr>
          <w:b/>
          <w:bCs/>
        </w:rPr>
        <w:t xml:space="preserve">Revisions.</w:t>
      </w:r>
      <w:r>
        <w:t xml:space="preserve"> </w:t>
      </w:r>
      <w:r>
        <w:t xml:space="preserve">The Q3 EPS estimate rose from</w:t>
      </w:r>
      <w:r>
        <w:t xml:space="preserve"> </w:t>
      </w:r>
      <w:r>
        <w:rPr>
          <w:b/>
          <w:bCs/>
        </w:rPr>
        <w:t xml:space="preserve">$5.49 to</w:t>
      </w:r>
      <w:r>
        <w:rPr>
          <w:b/>
          <w:bCs/>
        </w:rPr>
        <w:t xml:space="preserve"> </w:t>
      </w:r>
      <m:oMath>
        <m:r>
          <m:t>5.85</m:t>
        </m:r>
        <m:r>
          <m:rPr>
            <m:sty m:val="p"/>
          </m:rPr>
          <m:t>*</m:t>
        </m:r>
        <m:r>
          <m:rPr>
            <m:sty m:val="p"/>
          </m:rPr>
          <m:t>*</m:t>
        </m:r>
        <m:r>
          <m:t>s</m:t>
        </m:r>
        <m:r>
          <m:t>i</m:t>
        </m:r>
        <m:r>
          <m:t>n</m:t>
        </m:r>
        <m:r>
          <m:t>c</m:t>
        </m:r>
        <m:r>
          <m:t>e</m:t>
        </m:r>
        <m:r>
          <m:t>J</m:t>
        </m:r>
        <m:r>
          <m:t>u</m:t>
        </m:r>
        <m:r>
          <m:t>n</m:t>
        </m:r>
        <m:r>
          <m:t>30</m:t>
        </m:r>
        <m:r>
          <m:rPr>
            <m:sty m:val="p"/>
          </m:rPr>
          <m:t>,</m:t>
        </m:r>
        <m:r>
          <m:t>m</m:t>
        </m:r>
        <m:r>
          <m:t>a</m:t>
        </m:r>
        <m:r>
          <m:t>k</m:t>
        </m:r>
        <m:r>
          <m:t>i</m:t>
        </m:r>
        <m:r>
          <m:t>n</m:t>
        </m:r>
        <m:r>
          <m:t>g</m:t>
        </m:r>
        <m:r>
          <m:t>J</m:t>
        </m:r>
        <m:r>
          <m:t>P</m:t>
        </m:r>
        <m:r>
          <m:t>M</m:t>
        </m:r>
        <m:r>
          <m:t>t</m:t>
        </m:r>
        <m:r>
          <m:t>h</m:t>
        </m:r>
        <m:r>
          <m:t>e</m:t>
        </m:r>
        <m:r>
          <m:t>l</m:t>
        </m:r>
        <m:r>
          <m:t>a</m:t>
        </m:r>
        <m:r>
          <m:t>r</m:t>
        </m:r>
        <m:r>
          <m:t>g</m:t>
        </m:r>
        <m:r>
          <m:t>e</m:t>
        </m:r>
        <m:r>
          <m:t>s</m:t>
        </m:r>
        <m:r>
          <m:t>t</m:t>
        </m:r>
        <m:r>
          <m:t>c</m:t>
        </m:r>
        <m:r>
          <m:t>o</m:t>
        </m:r>
        <m:r>
          <m:t>n</m:t>
        </m:r>
        <m:r>
          <m:t>t</m:t>
        </m:r>
        <m:r>
          <m:t>r</m:t>
        </m:r>
        <m:r>
          <m:t>i</m:t>
        </m:r>
        <m:r>
          <m:t>b</m:t>
        </m:r>
        <m:r>
          <m:t>u</m:t>
        </m:r>
        <m:r>
          <m:t>t</m:t>
        </m:r>
        <m:r>
          <m:t>o</m:t>
        </m:r>
        <m:r>
          <m:t>r</m:t>
        </m:r>
        <m:r>
          <m:t>t</m:t>
        </m:r>
        <m:r>
          <m:t>o</m:t>
        </m:r>
        <m:r>
          <m:t>t</m:t>
        </m:r>
        <m:r>
          <m:t>h</m:t>
        </m:r>
        <m:r>
          <m:t>e</m:t>
        </m:r>
        <m:r>
          <m:t>F</m:t>
        </m:r>
        <m:r>
          <m:t>i</m:t>
        </m:r>
        <m:r>
          <m:t>n</m:t>
        </m:r>
        <m:r>
          <m:t>a</m:t>
        </m:r>
        <m:r>
          <m:t>n</m:t>
        </m:r>
        <m:r>
          <m:t>c</m:t>
        </m:r>
        <m:r>
          <m:t>i</m:t>
        </m:r>
        <m:r>
          <m:t>a</m:t>
        </m:r>
        <m:r>
          <m:t>l</m:t>
        </m:r>
        <m:r>
          <m:t>s</m:t>
        </m:r>
        <m:r>
          <m:t>s</m:t>
        </m:r>
        <m:r>
          <m:t>e</m:t>
        </m:r>
        <m:r>
          <m:t>c</m:t>
        </m:r>
        <m:r>
          <m:t>t</m:t>
        </m:r>
        <m:r>
          <m:t>o</m:t>
        </m:r>
        <m:sSup>
          <m:e>
            <m:r>
              <m:t>r</m:t>
            </m:r>
          </m:e>
          <m:sup>
            <m:r>
              <m:rPr>
                <m:sty m:val="p"/>
              </m:rPr>
              <m:t>′</m:t>
            </m:r>
          </m:sup>
        </m:sSup>
        <m:r>
          <m:t>s</m:t>
        </m:r>
        <m:r>
          <m:t>i</m:t>
        </m:r>
        <m:r>
          <m:t>n</m:t>
        </m:r>
        <m:r>
          <m:t>c</m:t>
        </m:r>
        <m:r>
          <m:t>r</m:t>
        </m:r>
        <m:r>
          <m:t>e</m:t>
        </m:r>
        <m:r>
          <m:t>a</m:t>
        </m:r>
        <m:r>
          <m:t>s</m:t>
        </m:r>
        <m:r>
          <m:t>e</m:t>
        </m:r>
        <m:r>
          <m:rPr>
            <m:sty m:val="p"/>
          </m:rPr>
          <m:t>(</m:t>
        </m:r>
        <m:r>
          <m:rPr>
            <m:sty m:val="p"/>
          </m:rPr>
          <m:t>[</m:t>
        </m:r>
        <m:r>
          <m:t>F</m:t>
        </m:r>
        <m:r>
          <m:t>a</m:t>
        </m:r>
        <m:r>
          <m:t>c</m:t>
        </m:r>
        <m:r>
          <m:t>t</m:t>
        </m:r>
        <m:r>
          <m:t>S</m:t>
        </m:r>
        <m:r>
          <m:t>e</m:t>
        </m:r>
        <m:r>
          <m:t>t</m:t>
        </m:r>
        <m:r>
          <m:rPr>
            <m:sty m:val="p"/>
          </m:rPr>
          <m:t>]</m:t>
        </m:r>
        <m:r>
          <m:rPr>
            <m:sty m:val="p"/>
          </m:rPr>
          <m:t>(</m:t>
        </m:r>
        <m:r>
          <m:t>h</m:t>
        </m:r>
        <m:r>
          <m:t>t</m:t>
        </m:r>
        <m:r>
          <m:t>t</m:t>
        </m:r>
        <m:r>
          <m:t>p</m:t>
        </m:r>
        <m:r>
          <m:t>s</m:t>
        </m:r>
        <m:r>
          <m:rPr>
            <m:sty m:val="p"/>
          </m:rPr>
          <m:t>:</m:t>
        </m:r>
        <m:r>
          <m:rPr>
            <m:sty m:val="p"/>
          </m:rPr>
          <m:t>/</m:t>
        </m:r>
        <m:r>
          <m:rPr>
            <m:sty m:val="p"/>
          </m:rPr>
          <m:t>/</m:t>
        </m:r>
        <m:r>
          <m:t>i</m:t>
        </m:r>
        <m:r>
          <m:t>n</m:t>
        </m:r>
        <m:r>
          <m:t>s</m:t>
        </m:r>
        <m:r>
          <m:t>i</m:t>
        </m:r>
        <m:r>
          <m:t>g</m:t>
        </m:r>
        <m:r>
          <m:t>h</m:t>
        </m:r>
        <m:r>
          <m:t>t</m:t>
        </m:r>
        <m:r>
          <m:rPr>
            <m:sty m:val="p"/>
          </m:rPr>
          <m:t>.</m:t>
        </m:r>
        <m:r>
          <m:t>f</m:t>
        </m:r>
        <m:r>
          <m:t>a</m:t>
        </m:r>
        <m:r>
          <m:t>c</m:t>
        </m:r>
        <m:r>
          <m:t>t</m:t>
        </m:r>
        <m:r>
          <m:t>s</m:t>
        </m:r>
        <m:r>
          <m:t>e</m:t>
        </m:r>
        <m:r>
          <m:t>t</m:t>
        </m:r>
        <m:r>
          <m:rPr>
            <m:sty m:val="p"/>
          </m:rPr>
          <m:t>.</m:t>
        </m:r>
        <m:r>
          <m:t>c</m:t>
        </m:r>
        <m:r>
          <m:t>o</m:t>
        </m:r>
        <m:r>
          <m:t>m</m:t>
        </m:r>
        <m:r>
          <m:rPr>
            <m:sty m:val="p"/>
          </m:rPr>
          <m:t>/</m:t>
        </m:r>
        <m:r>
          <m:t>a</m:t>
        </m:r>
        <m:r>
          <m:t>n</m:t>
        </m:r>
        <m:r>
          <m:t>a</m:t>
        </m:r>
        <m:r>
          <m:t>l</m:t>
        </m:r>
        <m:r>
          <m:t>y</m:t>
        </m:r>
        <m:r>
          <m:t>s</m:t>
        </m:r>
        <m:r>
          <m:t>t</m:t>
        </m:r>
        <m:r>
          <m:t>s</m:t>
        </m:r>
        <m:r>
          <m:rPr>
            <m:sty m:val="p"/>
          </m:rPr>
          <m:t>−</m:t>
        </m:r>
        <m:r>
          <m:t>i</m:t>
        </m:r>
        <m:r>
          <m:t>n</m:t>
        </m:r>
        <m:r>
          <m:t>c</m:t>
        </m:r>
        <m:r>
          <m:t>r</m:t>
        </m:r>
        <m:r>
          <m:t>e</m:t>
        </m:r>
        <m:r>
          <m:t>a</m:t>
        </m:r>
        <m:r>
          <m:t>s</m:t>
        </m:r>
        <m:r>
          <m:t>e</m:t>
        </m:r>
        <m:r>
          <m:t>d</m:t>
        </m:r>
        <m:r>
          <m:rPr>
            <m:sty m:val="p"/>
          </m:rPr>
          <m:t>−</m:t>
        </m:r>
        <m:r>
          <m:t>e</m:t>
        </m:r>
        <m:r>
          <m:t>p</m:t>
        </m:r>
        <m:r>
          <m:t>s</m:t>
        </m:r>
        <m:r>
          <m:rPr>
            <m:sty m:val="p"/>
          </m:rPr>
          <m:t>−</m:t>
        </m:r>
        <m:r>
          <m:t>e</m:t>
        </m:r>
        <m:r>
          <m:t>s</m:t>
        </m:r>
        <m:r>
          <m:t>t</m:t>
        </m:r>
        <m:r>
          <m:t>i</m:t>
        </m:r>
        <m:r>
          <m:t>m</m:t>
        </m:r>
        <m:r>
          <m:t>a</m:t>
        </m:r>
        <m:r>
          <m:t>t</m:t>
        </m:r>
        <m:r>
          <m:t>e</m:t>
        </m:r>
        <m:r>
          <m:t>s</m:t>
        </m:r>
        <m:r>
          <m:rPr>
            <m:sty m:val="p"/>
          </m:rPr>
          <m:t>−</m:t>
        </m:r>
        <m:r>
          <m:t>f</m:t>
        </m:r>
        <m:r>
          <m:t>o</m:t>
        </m:r>
        <m:r>
          <m:t>r</m:t>
        </m:r>
        <m:r>
          <m:rPr>
            <m:sty m:val="p"/>
          </m:rPr>
          <m:t>−</m:t>
        </m:r>
        <m:r>
          <m:t>s</m:t>
        </m:r>
        <m:r>
          <m:t>p</m:t>
        </m:r>
        <m:r>
          <m:rPr>
            <m:sty m:val="p"/>
          </m:rPr>
          <m:t>−</m:t>
        </m:r>
        <m:r>
          <m:t>500</m:t>
        </m:r>
        <m:r>
          <m:rPr>
            <m:sty m:val="p"/>
          </m:rPr>
          <m:t>−</m:t>
        </m:r>
        <m:r>
          <m:t>c</m:t>
        </m:r>
        <m:r>
          <m:t>o</m:t>
        </m:r>
        <m:r>
          <m:t>m</m:t>
        </m:r>
        <m:r>
          <m:t>p</m:t>
        </m:r>
        <m:r>
          <m:t>a</m:t>
        </m:r>
        <m:r>
          <m:t>n</m:t>
        </m:r>
        <m:r>
          <m:t>i</m:t>
        </m:r>
        <m:r>
          <m:t>e</m:t>
        </m:r>
        <m:r>
          <m:t>s</m:t>
        </m:r>
        <m:r>
          <m:rPr>
            <m:sty m:val="p"/>
          </m:rPr>
          <m:t>−</m:t>
        </m:r>
        <m:r>
          <m:t>f</m:t>
        </m:r>
        <m:r>
          <m:t>o</m:t>
        </m:r>
        <m:r>
          <m:t>r</m:t>
        </m:r>
        <m:r>
          <m:rPr>
            <m:sty m:val="p"/>
          </m:rPr>
          <m:t>−</m:t>
        </m:r>
        <m:r>
          <m:t>2</m:t>
        </m:r>
        <m:r>
          <m:t>n</m:t>
        </m:r>
        <m:r>
          <m:t>d</m:t>
        </m:r>
        <m:r>
          <m:rPr>
            <m:sty m:val="p"/>
          </m:rPr>
          <m:t>−</m:t>
        </m:r>
        <m:r>
          <m:t>s</m:t>
        </m:r>
        <m:r>
          <m:t>t</m:t>
        </m:r>
        <m:r>
          <m:t>r</m:t>
        </m:r>
        <m:r>
          <m:t>a</m:t>
        </m:r>
        <m:r>
          <m:t>i</m:t>
        </m:r>
        <m:r>
          <m:t>g</m:t>
        </m:r>
        <m:r>
          <m:t>h</m:t>
        </m:r>
        <m:r>
          <m:t>t</m:t>
        </m:r>
        <m:r>
          <m:rPr>
            <m:sty m:val="p"/>
          </m:rPr>
          <m:t>−</m:t>
        </m:r>
        <m:r>
          <m:t>q</m:t>
        </m:r>
        <m:r>
          <m:t>u</m:t>
        </m:r>
        <m:r>
          <m:t>a</m:t>
        </m:r>
        <m:r>
          <m:t>r</m:t>
        </m:r>
        <m:r>
          <m:t>t</m:t>
        </m:r>
        <m:r>
          <m:t>e</m:t>
        </m:r>
        <m:r>
          <m:t>r</m:t>
        </m:r>
        <m:r>
          <m:rPr>
            <m:sty m:val="p"/>
          </m:rPr>
          <m:t>)</m:t>
        </m:r>
        <m:r>
          <m:rPr>
            <m:sty m:val="p"/>
          </m:rPr>
          <m:t>)</m:t>
        </m:r>
        <m:r>
          <m:rPr>
            <m:sty m:val="p"/>
          </m:rPr>
          <m:t>.</m:t>
        </m:r>
        <m:r>
          <m:t>Q</m:t>
        </m:r>
        <m:r>
          <m:t>2</m:t>
        </m:r>
        <m:r>
          <m:t>E</m:t>
        </m:r>
        <m:r>
          <m:t>P</m:t>
        </m:r>
        <m:r>
          <m:t>S</m:t>
        </m:r>
        <m:r>
          <m:t>w</m:t>
        </m:r>
        <m:r>
          <m:t>a</m:t>
        </m:r>
        <m:r>
          <m:t>s</m:t>
        </m:r>
        <m:r>
          <m:rPr>
            <m:sty m:val="p"/>
          </m:rPr>
          <m:t>*</m:t>
        </m:r>
        <m:r>
          <m:rPr>
            <m:sty m:val="p"/>
          </m:rPr>
          <m:t>*</m:t>
        </m:r>
      </m:oMath>
      <w:r>
        <w:rPr>
          <w:b/>
          <w:bCs/>
        </w:rPr>
        <w:t xml:space="preserve">7.70 against a</w:t>
      </w:r>
      <w:r>
        <w:rPr>
          <w:b/>
          <w:bCs/>
        </w:rPr>
        <w:t xml:space="preserve"> </w:t>
      </w:r>
      <m:oMath>
        <m:r>
          <m:t>5.55</m:t>
        </m:r>
        <m:r>
          <m:t>e</m:t>
        </m:r>
        <m:r>
          <m:t>s</m:t>
        </m:r>
        <m:r>
          <m:t>t</m:t>
        </m:r>
        <m:r>
          <m:t>i</m:t>
        </m:r>
        <m:r>
          <m:t>m</m:t>
        </m:r>
        <m:r>
          <m:t>a</m:t>
        </m:r>
        <m:r>
          <m:t>t</m:t>
        </m:r>
        <m:r>
          <m:t>e</m:t>
        </m:r>
        <m:r>
          <m:rPr>
            <m:sty m:val="p"/>
          </m:rPr>
          <m:t>*</m:t>
        </m:r>
        <m:r>
          <m:rPr>
            <m:sty m:val="p"/>
          </m:rPr>
          <m:t>*</m:t>
        </m:r>
        <m:r>
          <m:rPr>
            <m:sty m:val="p"/>
          </m:rPr>
          <m:t>(</m:t>
        </m:r>
        <m:r>
          <m:rPr>
            <m:sty m:val="p"/>
          </m:rPr>
          <m:t>[</m:t>
        </m:r>
        <m:r>
          <m:t>I</m:t>
        </m:r>
        <m:r>
          <m:t>n</m:t>
        </m:r>
        <m:r>
          <m:t>v</m:t>
        </m:r>
        <m:r>
          <m:t>e</m:t>
        </m:r>
        <m:r>
          <m:t>s</m:t>
        </m:r>
        <m:r>
          <m:t>t</m:t>
        </m:r>
        <m:r>
          <m:t>i</m:t>
        </m:r>
        <m:r>
          <m:t>n</m:t>
        </m:r>
        <m:r>
          <m:t>g</m:t>
        </m:r>
        <m:r>
          <m:rPr>
            <m:sty m:val="p"/>
          </m:rPr>
          <m:t>.</m:t>
        </m:r>
        <m:r>
          <m:t>c</m:t>
        </m:r>
        <m:r>
          <m:t>o</m:t>
        </m:r>
        <m:r>
          <m:t>m</m:t>
        </m:r>
        <m:r>
          <m:rPr>
            <m:sty m:val="p"/>
          </m:rPr>
          <m:t>]</m:t>
        </m:r>
        <m:r>
          <m:rPr>
            <m:sty m:val="p"/>
          </m:rPr>
          <m:t>(</m:t>
        </m:r>
        <m:r>
          <m:t>h</m:t>
        </m:r>
        <m:r>
          <m:t>t</m:t>
        </m:r>
        <m:r>
          <m:t>t</m:t>
        </m:r>
        <m:r>
          <m:t>p</m:t>
        </m:r>
        <m:r>
          <m:t>s</m:t>
        </m:r>
        <m:r>
          <m:rPr>
            <m:sty m:val="p"/>
          </m:rPr>
          <m:t>:</m:t>
        </m:r>
        <m:r>
          <m:rPr>
            <m:sty m:val="p"/>
          </m:rPr>
          <m:t>/</m:t>
        </m:r>
        <m:r>
          <m:rPr>
            <m:sty m:val="p"/>
          </m:rPr>
          <m:t>/</m:t>
        </m:r>
        <m:r>
          <m:t>w</m:t>
        </m:r>
        <m:r>
          <m:t>w</m:t>
        </m:r>
        <m:r>
          <m:t>w</m:t>
        </m:r>
        <m:r>
          <m:rPr>
            <m:sty m:val="p"/>
          </m:rPr>
          <m:t>.</m:t>
        </m:r>
        <m:r>
          <m:t>i</m:t>
        </m:r>
        <m:r>
          <m:t>n</m:t>
        </m:r>
        <m:r>
          <m:t>v</m:t>
        </m:r>
        <m:r>
          <m:t>e</m:t>
        </m:r>
        <m:r>
          <m:t>s</m:t>
        </m:r>
        <m:r>
          <m:t>t</m:t>
        </m:r>
        <m:r>
          <m:t>i</m:t>
        </m:r>
        <m:r>
          <m:t>n</m:t>
        </m:r>
        <m:r>
          <m:t>g</m:t>
        </m:r>
        <m:r>
          <m:rPr>
            <m:sty m:val="p"/>
          </m:rPr>
          <m:t>.</m:t>
        </m:r>
        <m:r>
          <m:t>c</m:t>
        </m:r>
        <m:r>
          <m:t>o</m:t>
        </m:r>
        <m:r>
          <m:t>m</m:t>
        </m:r>
        <m:r>
          <m:rPr>
            <m:sty m:val="p"/>
          </m:rPr>
          <m:t>/</m:t>
        </m:r>
        <m:r>
          <m:t>e</m:t>
        </m:r>
        <m:r>
          <m:t>q</m:t>
        </m:r>
        <m:r>
          <m:t>u</m:t>
        </m:r>
        <m:r>
          <m:t>i</m:t>
        </m:r>
        <m:r>
          <m:t>t</m:t>
        </m:r>
        <m:r>
          <m:t>i</m:t>
        </m:r>
        <m:r>
          <m:t>e</m:t>
        </m:r>
        <m:r>
          <m:t>s</m:t>
        </m:r>
        <m:r>
          <m:rPr>
            <m:sty m:val="p"/>
          </m:rPr>
          <m:t>/</m:t>
        </m:r>
        <m:r>
          <m:t>j</m:t>
        </m:r>
        <m:r>
          <m:t>p</m:t>
        </m:r>
        <m:r>
          <m:rPr>
            <m:sty m:val="p"/>
          </m:rPr>
          <m:t>−</m:t>
        </m:r>
        <m:r>
          <m:t>m</m:t>
        </m:r>
        <m:r>
          <m:t>o</m:t>
        </m:r>
        <m:r>
          <m:t>r</m:t>
        </m:r>
        <m:r>
          <m:t>g</m:t>
        </m:r>
        <m:r>
          <m:t>a</m:t>
        </m:r>
        <m:r>
          <m:t>n</m:t>
        </m:r>
        <m:r>
          <m:rPr>
            <m:sty m:val="p"/>
          </m:rPr>
          <m:t>−</m:t>
        </m:r>
        <m:r>
          <m:t>c</m:t>
        </m:r>
        <m:r>
          <m:t>h</m:t>
        </m:r>
        <m:r>
          <m:t>a</m:t>
        </m:r>
        <m:r>
          <m:t>s</m:t>
        </m:r>
        <m:r>
          <m:t>e</m:t>
        </m:r>
        <m:r>
          <m:rPr>
            <m:sty m:val="p"/>
          </m:rPr>
          <m:t>)</m:t>
        </m:r>
        <m:r>
          <m:rPr>
            <m:sty m:val="p"/>
          </m:rPr>
          <m:t>)</m:t>
        </m:r>
        <m:r>
          <m:rPr>
            <m:sty m:val="p"/>
          </m:rPr>
          <m:t>.</m:t>
        </m:r>
        <m:r>
          <m:t>O</m:t>
        </m:r>
        <m:r>
          <m:t>n</m:t>
        </m:r>
        <m:r>
          <m:t>S</m:t>
        </m:r>
        <m:r>
          <m:t>e</m:t>
        </m:r>
        <m:r>
          <m:t>p</m:t>
        </m:r>
        <m:r>
          <m:t>14</m:t>
        </m:r>
        <m:r>
          <m:rPr>
            <m:sty m:val="p"/>
          </m:rPr>
          <m:t>,</m:t>
        </m:r>
        <m:r>
          <m:t>c</m:t>
        </m:r>
        <m:r>
          <m:t>o</m:t>
        </m:r>
        <m:r>
          <m:rPr>
            <m:sty m:val="p"/>
          </m:rPr>
          <m:t>−</m:t>
        </m:r>
        <m:r>
          <m:t>p</m:t>
        </m:r>
        <m:r>
          <m:t>r</m:t>
        </m:r>
        <m:r>
          <m:t>e</m:t>
        </m:r>
        <m:r>
          <m:t>s</m:t>
        </m:r>
        <m:r>
          <m:t>i</m:t>
        </m:r>
        <m:r>
          <m:t>d</m:t>
        </m:r>
        <m:r>
          <m:t>e</m:t>
        </m:r>
        <m:r>
          <m:t>n</m:t>
        </m:r>
        <m:r>
          <m:t>t</m:t>
        </m:r>
        <m:r>
          <m:t>D</m:t>
        </m:r>
        <m:r>
          <m:t>o</m:t>
        </m:r>
        <m:r>
          <m:t>u</m:t>
        </m:r>
        <m:r>
          <m:t>g</m:t>
        </m:r>
        <m:r>
          <m:t>P</m:t>
        </m:r>
        <m:r>
          <m:t>e</m:t>
        </m:r>
        <m:r>
          <m:t>t</m:t>
        </m:r>
        <m:r>
          <m:t>n</m:t>
        </m:r>
        <m:r>
          <m:t>o</m:t>
        </m:r>
        <m:r>
          <m:t>g</m:t>
        </m:r>
        <m:r>
          <m:t>u</m:t>
        </m:r>
        <m:r>
          <m:t>i</m:t>
        </m:r>
        <m:r>
          <m:t>d</m:t>
        </m:r>
        <m:r>
          <m:t>e</m:t>
        </m:r>
        <m:r>
          <m:t>d</m:t>
        </m:r>
        <m:r>
          <m:t>Q</m:t>
        </m:r>
        <m:r>
          <m:t>3</m:t>
        </m:r>
        <m:r>
          <m:t>i</m:t>
        </m:r>
        <m:r>
          <m:t>n</m:t>
        </m:r>
        <m:r>
          <m:t>v</m:t>
        </m:r>
        <m:r>
          <m:t>e</m:t>
        </m:r>
        <m:r>
          <m:t>s</m:t>
        </m:r>
        <m:r>
          <m:t>t</m:t>
        </m:r>
        <m:r>
          <m:t>m</m:t>
        </m:r>
        <m:r>
          <m:t>e</m:t>
        </m:r>
        <m:r>
          <m:t>n</m:t>
        </m:r>
        <m:r>
          <m:t>t</m:t>
        </m:r>
        <m:r>
          <m:rPr>
            <m:sty m:val="p"/>
          </m:rPr>
          <m:t>−</m:t>
        </m:r>
        <m:r>
          <m:t>b</m:t>
        </m:r>
        <m:r>
          <m:t>a</m:t>
        </m:r>
        <m:r>
          <m:t>n</m:t>
        </m:r>
        <m:r>
          <m:t>k</m:t>
        </m:r>
        <m:r>
          <m:t>i</m:t>
        </m:r>
        <m:r>
          <m:t>n</m:t>
        </m:r>
        <m:r>
          <m:t>g</m:t>
        </m:r>
        <m:r>
          <m:t>f</m:t>
        </m:r>
        <m:r>
          <m:t>e</m:t>
        </m:r>
        <m:r>
          <m:t>e</m:t>
        </m:r>
        <m:r>
          <m:t>s</m:t>
        </m:r>
        <m:r>
          <m:t>a</m:t>
        </m:r>
        <m:r>
          <m:t>n</m:t>
        </m:r>
        <m:r>
          <m:t>d</m:t>
        </m:r>
        <m:r>
          <m:t>m</m:t>
        </m:r>
        <m:r>
          <m:t>a</m:t>
        </m:r>
        <m:r>
          <m:t>r</m:t>
        </m:r>
        <m:r>
          <m:t>k</m:t>
        </m:r>
        <m:r>
          <m:t>e</m:t>
        </m:r>
        <m:r>
          <m:t>t</m:t>
        </m:r>
        <m:r>
          <m:t>s</m:t>
        </m:r>
        <m:r>
          <m:t>r</m:t>
        </m:r>
        <m:r>
          <m:t>e</m:t>
        </m:r>
        <m:r>
          <m:t>v</m:t>
        </m:r>
        <m:r>
          <m:t>e</m:t>
        </m:r>
        <m:r>
          <m:t>n</m:t>
        </m:r>
        <m:r>
          <m:t>u</m:t>
        </m:r>
        <m:r>
          <m:t>e</m:t>
        </m:r>
        <m:r>
          <m:rPr>
            <m:sty m:val="p"/>
          </m:rPr>
          <m:t>*</m:t>
        </m:r>
        <m:r>
          <m:rPr>
            <m:sty m:val="p"/>
          </m:rPr>
          <m:t>*</m:t>
        </m:r>
        <m:r>
          <m:t>u</m:t>
        </m:r>
        <m:r>
          <m:t>p</m:t>
        </m:r>
        <m:r>
          <m:t>m</m:t>
        </m:r>
        <m:r>
          <m:t>i</m:t>
        </m:r>
        <m:r>
          <m:t>d</m:t>
        </m:r>
        <m:r>
          <m:rPr>
            <m:sty m:val="p"/>
          </m:rPr>
          <m:t>−</m:t>
        </m:r>
        <m:r>
          <m:t>t</m:t>
        </m:r>
        <m:r>
          <m:t>o</m:t>
        </m:r>
        <m:r>
          <m:rPr>
            <m:sty m:val="p"/>
          </m:rPr>
          <m:t>−</m:t>
        </m:r>
        <m:r>
          <m:t>h</m:t>
        </m:r>
        <m:r>
          <m:t>i</m:t>
        </m:r>
        <m:r>
          <m:t>g</m:t>
        </m:r>
        <m:r>
          <m:t>h</m:t>
        </m:r>
        <m:r>
          <m:t>t</m:t>
        </m:r>
        <m:r>
          <m:t>e</m:t>
        </m:r>
        <m:r>
          <m:t>e</m:t>
        </m:r>
        <m:r>
          <m:t>n</m:t>
        </m:r>
        <m:r>
          <m:t>s</m:t>
        </m:r>
        <m:r>
          <m:rPr>
            <m:sty m:val="p"/>
          </m:rPr>
          <m:t>*</m:t>
        </m:r>
        <m:r>
          <m:rPr>
            <m:sty m:val="p"/>
          </m:rPr>
          <m:t>*</m:t>
        </m:r>
        <m:r>
          <m:rPr>
            <m:sty m:val="p"/>
          </m:rPr>
          <m:t>(</m:t>
        </m:r>
        <m:r>
          <m:rPr>
            <m:sty m:val="p"/>
          </m:rPr>
          <m:t>[</m:t>
        </m:r>
        <m:r>
          <m:t>B</m:t>
        </m:r>
        <m:r>
          <m:t>l</m:t>
        </m:r>
        <m:r>
          <m:t>o</m:t>
        </m:r>
        <m:r>
          <m:t>o</m:t>
        </m:r>
        <m:r>
          <m:t>m</m:t>
        </m:r>
        <m:r>
          <m:t>b</m:t>
        </m:r>
        <m:r>
          <m:t>e</m:t>
        </m:r>
        <m:r>
          <m:t>r</m:t>
        </m:r>
        <m:r>
          <m:t>g</m:t>
        </m:r>
        <m:r>
          <m:rPr>
            <m:sty m:val="p"/>
          </m:rPr>
          <m:t>]</m:t>
        </m:r>
        <m:r>
          <m:rPr>
            <m:sty m:val="p"/>
          </m:rPr>
          <m:t>(</m:t>
        </m:r>
        <m:r>
          <m:t>h</m:t>
        </m:r>
        <m:r>
          <m:t>t</m:t>
        </m:r>
        <m:r>
          <m:t>t</m:t>
        </m:r>
        <m:r>
          <m:t>p</m:t>
        </m:r>
        <m:r>
          <m:t>s</m:t>
        </m:r>
        <m:r>
          <m:rPr>
            <m:sty m:val="p"/>
          </m:rPr>
          <m:t>:</m:t>
        </m:r>
        <m:r>
          <m:rPr>
            <m:sty m:val="p"/>
          </m:rPr>
          <m:t>/</m:t>
        </m:r>
        <m:r>
          <m:rPr>
            <m:sty m:val="p"/>
          </m:rPr>
          <m:t>/</m:t>
        </m:r>
        <m:r>
          <m:t>w</m:t>
        </m:r>
        <m:r>
          <m:t>w</m:t>
        </m:r>
        <m:r>
          <m:t>w</m:t>
        </m:r>
        <m:r>
          <m:rPr>
            <m:sty m:val="p"/>
          </m:rPr>
          <m:t>.</m:t>
        </m:r>
        <m:r>
          <m:t>b</m:t>
        </m:r>
        <m:r>
          <m:t>l</m:t>
        </m:r>
        <m:r>
          <m:t>o</m:t>
        </m:r>
        <m:r>
          <m:t>o</m:t>
        </m:r>
        <m:r>
          <m:t>m</m:t>
        </m:r>
        <m:r>
          <m:t>b</m:t>
        </m:r>
        <m:r>
          <m:t>e</m:t>
        </m:r>
        <m:r>
          <m:t>r</m:t>
        </m:r>
        <m:r>
          <m:t>g</m:t>
        </m:r>
        <m:r>
          <m:rPr>
            <m:sty m:val="p"/>
          </m:rPr>
          <m:t>.</m:t>
        </m:r>
        <m:r>
          <m:t>c</m:t>
        </m:r>
        <m:r>
          <m:t>o</m:t>
        </m:r>
        <m:r>
          <m:t>m</m:t>
        </m:r>
        <m:r>
          <m:rPr>
            <m:sty m:val="p"/>
          </m:rPr>
          <m:t>/</m:t>
        </m:r>
        <m:r>
          <m:t>n</m:t>
        </m:r>
        <m:r>
          <m:t>e</m:t>
        </m:r>
        <m:r>
          <m:t>w</m:t>
        </m:r>
        <m:r>
          <m:t>s</m:t>
        </m:r>
        <m:r>
          <m:rPr>
            <m:sty m:val="p"/>
          </m:rPr>
          <m:t>/</m:t>
        </m:r>
        <m:r>
          <m:t>a</m:t>
        </m:r>
        <m:r>
          <m:t>r</m:t>
        </m:r>
        <m:r>
          <m:t>t</m:t>
        </m:r>
        <m:r>
          <m:t>i</m:t>
        </m:r>
        <m:r>
          <m:t>c</m:t>
        </m:r>
        <m:r>
          <m:t>l</m:t>
        </m:r>
        <m:r>
          <m:t>e</m:t>
        </m:r>
        <m:r>
          <m:t>s</m:t>
        </m:r>
        <m:r>
          <m:rPr>
            <m:sty m:val="p"/>
          </m:rPr>
          <m:t>/</m:t>
        </m:r>
        <m:r>
          <m:t>2026</m:t>
        </m:r>
        <m:r>
          <m:rPr>
            <m:sty m:val="p"/>
          </m:rPr>
          <m:t>−</m:t>
        </m:r>
        <m:r>
          <m:t>09</m:t>
        </m:r>
        <m:r>
          <m:rPr>
            <m:sty m:val="p"/>
          </m:rPr>
          <m:t>−</m:t>
        </m:r>
        <m:r>
          <m:t>14</m:t>
        </m:r>
        <m:r>
          <m:rPr>
            <m:sty m:val="p"/>
          </m:rPr>
          <m:t>/</m:t>
        </m:r>
        <m:r>
          <m:t>b</m:t>
        </m:r>
        <m:r>
          <m:t>o</m:t>
        </m:r>
        <m:r>
          <m:t>f</m:t>
        </m:r>
        <m:r>
          <m:t>a</m:t>
        </m:r>
        <m:r>
          <m:rPr>
            <m:sty m:val="p"/>
          </m:rPr>
          <m:t>−</m:t>
        </m:r>
        <m:r>
          <m:t>c</m:t>
        </m:r>
        <m:r>
          <m:t>e</m:t>
        </m:r>
        <m:r>
          <m:t>o</m:t>
        </m:r>
        <m:r>
          <m:rPr>
            <m:sty m:val="p"/>
          </m:rPr>
          <m:t>−</m:t>
        </m:r>
        <m:r>
          <m:t>s</m:t>
        </m:r>
        <m:r>
          <m:t>e</m:t>
        </m:r>
        <m:r>
          <m:t>e</m:t>
        </m:r>
        <m:r>
          <m:t>s</m:t>
        </m:r>
        <m:r>
          <m:rPr>
            <m:sty m:val="p"/>
          </m:rPr>
          <m:t>−</m:t>
        </m:r>
        <m:r>
          <m:t>t</m:t>
        </m:r>
        <m:r>
          <m:t>r</m:t>
        </m:r>
        <m:r>
          <m:t>a</m:t>
        </m:r>
        <m:r>
          <m:t>d</m:t>
        </m:r>
        <m:r>
          <m:t>i</m:t>
        </m:r>
        <m:r>
          <m:t>n</m:t>
        </m:r>
        <m:r>
          <m:t>g</m:t>
        </m:r>
        <m:r>
          <m:rPr>
            <m:sty m:val="p"/>
          </m:rPr>
          <m:t>−</m:t>
        </m:r>
        <m:r>
          <m:t>r</m:t>
        </m:r>
        <m:r>
          <m:t>e</m:t>
        </m:r>
        <m:r>
          <m:t>v</m:t>
        </m:r>
        <m:r>
          <m:t>e</m:t>
        </m:r>
        <m:r>
          <m:t>n</m:t>
        </m:r>
        <m:r>
          <m:t>u</m:t>
        </m:r>
        <m:r>
          <m:t>e</m:t>
        </m:r>
        <m:r>
          <m:rPr>
            <m:sty m:val="p"/>
          </m:rPr>
          <m:t>−</m:t>
        </m:r>
        <m:r>
          <m:t>r</m:t>
        </m:r>
        <m:r>
          <m:t>e</m:t>
        </m:r>
        <m:r>
          <m:t>l</m:t>
        </m:r>
        <m:r>
          <m:t>a</m:t>
        </m:r>
        <m:r>
          <m:t>t</m:t>
        </m:r>
        <m:r>
          <m:t>i</m:t>
        </m:r>
        <m:r>
          <m:t>v</m:t>
        </m:r>
        <m:r>
          <m:t>e</m:t>
        </m:r>
        <m:r>
          <m:t>l</m:t>
        </m:r>
        <m:r>
          <m:t>y</m:t>
        </m:r>
        <m:r>
          <m:rPr>
            <m:sty m:val="p"/>
          </m:rPr>
          <m:t>−</m:t>
        </m:r>
        <m:r>
          <m:t>f</m:t>
        </m:r>
        <m:r>
          <m:t>l</m:t>
        </m:r>
        <m:r>
          <m:t>a</m:t>
        </m:r>
        <m:r>
          <m:t>t</m:t>
        </m:r>
        <m:r>
          <m:rPr>
            <m:sty m:val="p"/>
          </m:rPr>
          <m:t>−</m:t>
        </m:r>
        <m:r>
          <m:t>i</m:t>
        </m:r>
        <m:r>
          <m:t>n</m:t>
        </m:r>
        <m:r>
          <m:rPr>
            <m:sty m:val="p"/>
          </m:rPr>
          <m:t>−</m:t>
        </m:r>
        <m:r>
          <m:t>t</m:t>
        </m:r>
        <m:r>
          <m:t>h</m:t>
        </m:r>
        <m:r>
          <m:t>i</m:t>
        </m:r>
        <m:r>
          <m:t>r</m:t>
        </m:r>
        <m:r>
          <m:t>d</m:t>
        </m:r>
        <m:r>
          <m:rPr>
            <m:sty m:val="p"/>
          </m:rPr>
          <m:t>−</m:t>
        </m:r>
        <m:r>
          <m:t>q</m:t>
        </m:r>
        <m:r>
          <m:t>u</m:t>
        </m:r>
        <m:r>
          <m:t>a</m:t>
        </m:r>
        <m:r>
          <m:t>r</m:t>
        </m:r>
        <m:r>
          <m:t>t</m:t>
        </m:r>
        <m:r>
          <m:t>e</m:t>
        </m:r>
        <m:r>
          <m:t>r</m:t>
        </m:r>
        <m:r>
          <m:rPr>
            <m:sty m:val="p"/>
          </m:rPr>
          <m:t>)</m:t>
        </m:r>
        <m:r>
          <m:rPr>
            <m:sty m:val="p"/>
          </m:rPr>
          <m:t>)</m:t>
        </m:r>
        <m:r>
          <m:rPr>
            <m:sty m:val="p"/>
          </m:rPr>
          <m:t>.</m:t>
        </m:r>
        <m:r>
          <m:t>T</m:t>
        </m:r>
        <m:r>
          <m:t>h</m:t>
        </m:r>
        <m:r>
          <m:t>e</m:t>
        </m:r>
        <m:r>
          <m:t>24</m:t>
        </m:r>
        <m:r>
          <m:rPr>
            <m:sty m:val="p"/>
          </m:rPr>
          <m:t>−</m:t>
        </m:r>
        <m:r>
          <m:t>a</m:t>
        </m:r>
        <m:r>
          <m:t>n</m:t>
        </m:r>
        <m:r>
          <m:t>a</m:t>
        </m:r>
        <m:r>
          <m:t>l</m:t>
        </m:r>
        <m:r>
          <m:t>y</m:t>
        </m:r>
        <m:r>
          <m:t>s</m:t>
        </m:r>
        <m:r>
          <m:t>t</m:t>
        </m:r>
        <m:r>
          <m:t>a</m:t>
        </m:r>
        <m:r>
          <m:t>v</m:t>
        </m:r>
        <m:r>
          <m:t>e</m:t>
        </m:r>
        <m:r>
          <m:t>r</m:t>
        </m:r>
        <m:r>
          <m:t>a</m:t>
        </m:r>
        <m:r>
          <m:t>g</m:t>
        </m:r>
        <m:r>
          <m:t>e</m:t>
        </m:r>
        <m:r>
          <m:t>t</m:t>
        </m:r>
        <m:r>
          <m:t>a</m:t>
        </m:r>
        <m:r>
          <m:t>r</m:t>
        </m:r>
        <m:r>
          <m:t>g</m:t>
        </m:r>
        <m:r>
          <m:t>e</m:t>
        </m:r>
        <m:r>
          <m:t>t</m:t>
        </m:r>
        <m:r>
          <m:t>i</m:t>
        </m:r>
        <m:r>
          <m:t>s</m:t>
        </m:r>
        <m:r>
          <m:rPr>
            <m:sty m:val="p"/>
          </m:rPr>
          <m:t>*</m:t>
        </m:r>
        <m:r>
          <m:rPr>
            <m:sty m:val="p"/>
          </m:rPr>
          <m:t>*</m:t>
        </m:r>
      </m:oMath>
      <w:r>
        <w:rPr>
          <w:b/>
          <w:bCs/>
        </w:rPr>
        <w:t xml:space="preserve">375.14</w:t>
      </w:r>
      <w:r>
        <w:t xml:space="preserve"> </w:t>
      </w:r>
      <w:r>
        <w:t xml:space="preserve">(</w:t>
      </w:r>
      <w:hyperlink r:id="rId60">
        <w:r>
          <w:rPr>
            <w:rStyle w:val="Hyperlink"/>
          </w:rPr>
          <w:t xml:space="preserve">StockAnalysis</w:t>
        </w:r>
      </w:hyperlink>
      <w:r>
        <w:t xml:space="preserve">).</w:t>
      </w:r>
    </w:p>
    <w:p>
      <w:pPr>
        <w:pStyle w:val="BodyText"/>
      </w:pPr>
      <w:r>
        <w:rPr>
          <w:b/>
          <w:bCs/>
        </w:rPr>
        <w:t xml:space="preserve">Catalyst.</w:t>
      </w:r>
      <w:r>
        <w:t xml:space="preserve"> </w:t>
      </w:r>
      <w:r>
        <w:t xml:space="preserve">Results come out</w:t>
      </w:r>
      <w:r>
        <w:t xml:space="preserve"> </w:t>
      </w:r>
      <w:r>
        <w:rPr>
          <w:b/>
          <w:bCs/>
        </w:rPr>
        <w:t xml:space="preserve">Tue Oct 13</w:t>
      </w:r>
      <w:r>
        <w:t xml:space="preserve"> </w:t>
      </w:r>
      <w:r>
        <w:t xml:space="preserve">at about 7:00am ET, confirmed by the company (</w:t>
      </w:r>
      <w:hyperlink r:id="rId94">
        <w:r>
          <w:rPr>
            <w:rStyle w:val="Hyperlink"/>
          </w:rPr>
          <w:t xml:space="preserve">JPMorganChase IR</w:t>
        </w:r>
      </w:hyperlink>
      <w:r>
        <w:t xml:space="preserve">). CPI follows the next day.</w:t>
      </w:r>
    </w:p>
    <w:p>
      <w:pPr>
        <w:pStyle w:val="BodyText"/>
      </w:pPr>
      <w:r>
        <w:rPr>
          <w:b/>
          <w:bCs/>
        </w:rPr>
        <w:t xml:space="preserve">Bear case.</w:t>
      </w:r>
      <w:r>
        <w:t xml:space="preserve"> </w:t>
      </w:r>
      <w:r>
        <w:t xml:space="preserve">JPM</w:t>
      </w:r>
      <w:r>
        <w:t xml:space="preserve"> </w:t>
      </w:r>
      <w:r>
        <w:rPr>
          <w:b/>
          <w:bCs/>
        </w:rPr>
        <w:t xml:space="preserve">fell 3.42% on Sep 23</w:t>
      </w:r>
      <w:r>
        <w:t xml:space="preserve"> </w:t>
      </w:r>
      <w:r>
        <w:t xml:space="preserve">when the 10-year topped 5%, amid a near-flat curve (</w:t>
      </w:r>
      <w:hyperlink r:id="rId95">
        <w:r>
          <w:rPr>
            <w:rStyle w:val="Hyperlink"/>
          </w:rPr>
          <w:t xml:space="preserve">Eastern Herald</w:t>
        </w:r>
      </w:hyperlink>
      <w:r>
        <w:t xml:space="preserve">). BofA's CEO guided Q3 trading "relatively flat", and BAC fell about 5% (</w:t>
      </w:r>
      <w:hyperlink r:id="rId96">
        <w:r>
          <w:rPr>
            <w:rStyle w:val="Hyperlink"/>
          </w:rPr>
          <w:t xml:space="preserve">Bloomberg</w:t>
        </w:r>
      </w:hyperlink>
      <w:r>
        <w:t xml:space="preserve">). The Fund Manager Survey's contrarian trade is "short banks" (</w:t>
      </w:r>
      <w:hyperlink r:id="rId29">
        <w:r>
          <w:rPr>
            <w:rStyle w:val="Hyperlink"/>
          </w:rPr>
          <w:t xml:space="preserve">Finvaulta</w:t>
        </w:r>
      </w:hyperlink>
      <w:r>
        <w:t xml:space="preserve">).</w:t>
      </w:r>
    </w:p>
    <w:p>
      <w:pPr>
        <w:pStyle w:val="BodyText"/>
      </w:pPr>
      <w:r>
        <w:rPr>
          <w:b/>
          <w:bCs/>
        </w:rPr>
        <w:t xml:space="preserve">What proves it wrong:</w:t>
      </w:r>
    </w:p>
    <w:p>
      <w:pPr>
        <w:pStyle w:val="Compact"/>
        <w:numPr>
          <w:ilvl w:val="0"/>
          <w:numId w:val="1011"/>
        </w:numPr>
      </w:pPr>
      <w:r>
        <w:t xml:space="preserve">A close below the Sep 23 low of about $340</w:t>
      </w:r>
      <w:r>
        <w:t xml:space="preserve"> </w:t>
      </w:r>
      <w:r>
        <w:rPr>
          <w:b/>
          <w:bCs/>
        </w:rPr>
        <w:t xml:space="preserve">after</w:t>
      </w:r>
      <w:r>
        <w:t xml:space="preserve"> </w:t>
      </w:r>
      <w:r>
        <w:t xml:space="preserve">the Oct 13 print. That level is only 0.9% below the reference price, so it applies to the post-print reaction only.</w:t>
      </w:r>
    </w:p>
    <w:p>
      <w:pPr>
        <w:pStyle w:val="Compact"/>
        <w:numPr>
          <w:ilvl w:val="0"/>
          <w:numId w:val="1011"/>
        </w:numPr>
      </w:pPr>
      <w:r>
        <w:t xml:space="preserve">A cut to the 2026 net-interest-income guide, or markets revenue growth below 10%.</w:t>
      </w:r>
    </w:p>
    <w:p>
      <w:pPr>
        <w:pStyle w:val="Compact"/>
        <w:numPr>
          <w:ilvl w:val="0"/>
          <w:numId w:val="1011"/>
        </w:numPr>
      </w:pPr>
      <w:r>
        <w:t xml:space="preserve">The 10-year holding above 5.25%.</w:t>
      </w:r>
    </w:p>
    <w:bookmarkEnd w:id="97"/>
    <w:bookmarkStart w:id="107" w:name="X937c853dc5e5c589e9cf7fe89f4c3cc4ab5ee3d"/>
    <w:p>
      <w:pPr>
        <w:pStyle w:val="Heading3"/>
      </w:pPr>
      <w:r>
        <w:t xml:space="preserve">THC: momentum and a low multiple against live policy risk</w:t>
      </w:r>
    </w:p>
    <w:p>
      <w:pPr>
        <w:pStyle w:val="FirstParagraph"/>
      </w:pPr>
      <w:r>
        <w:rPr>
          <w:b/>
          <w:bCs/>
        </w:rPr>
        <w:t xml:space="preserve">Thesis.</w:t>
      </w:r>
      <w:r>
        <w:t xml:space="preserve"> </w:t>
      </w:r>
      <w:r>
        <w:t xml:space="preserve">THC has the strongest momentum among non-AI names, raised guidance and a 12.6x forward multiple. It gives the basket a health-care leg, a sector in the leading quadrant of StockCharts' relative-rotation chart, with no AI exposure.</w:t>
      </w:r>
    </w:p>
    <w:p>
      <w:pPr>
        <w:pStyle w:val="BodyText"/>
      </w:pPr>
      <w:r>
        <w:rPr>
          <w:b/>
          <w:bCs/>
        </w:rPr>
        <w:t xml:space="preserve">Momentum and valuation.</w:t>
      </w:r>
    </w:p>
    <w:p>
      <w:pPr>
        <w:pStyle w:val="Compact"/>
        <w:numPr>
          <w:ilvl w:val="0"/>
          <w:numId w:val="1012"/>
        </w:numPr>
      </w:pPr>
      <w:r>
        <w:t xml:space="preserve">About</w:t>
      </w:r>
      <w:r>
        <w:t xml:space="preserve"> </w:t>
      </w:r>
      <w:r>
        <w:rPr>
          <w:b/>
          <w:bCs/>
        </w:rPr>
        <w:t xml:space="preserve">+50% since $173.20 on May 28</w:t>
      </w:r>
      <w:r>
        <w:t xml:space="preserve"> </w:t>
      </w:r>
      <w:r>
        <w:t xml:space="preserve">(</w:t>
      </w:r>
      <w:hyperlink r:id="rId98">
        <w:r>
          <w:rPr>
            <w:rStyle w:val="Hyperlink"/>
          </w:rPr>
          <w:t xml:space="preserve">GuruFocus</w:t>
        </w:r>
      </w:hyperlink>
      <w:r>
        <w:t xml:space="preserve">).</w:t>
      </w:r>
    </w:p>
    <w:p>
      <w:pPr>
        <w:pStyle w:val="Compact"/>
        <w:numPr>
          <w:ilvl w:val="0"/>
          <w:numId w:val="1012"/>
        </w:numPr>
      </w:pPr>
      <w:r>
        <w:t xml:space="preserve">The 50-day average (</w:t>
      </w:r>
      <m:oMath>
        <m:r>
          <m:t>243.71</m:t>
        </m:r>
        <m:r>
          <m:rPr>
            <m:sty m:val="p"/>
          </m:rPr>
          <m:t>)</m:t>
        </m:r>
        <m:r>
          <m:t>i</m:t>
        </m:r>
        <m:r>
          <m:t>s</m:t>
        </m:r>
        <m:r>
          <m:t>a</m:t>
        </m:r>
        <m:r>
          <m:t>b</m:t>
        </m:r>
        <m:r>
          <m:t>o</m:t>
        </m:r>
        <m:r>
          <m:t>v</m:t>
        </m:r>
        <m:r>
          <m:t>e</m:t>
        </m:r>
        <m:r>
          <m:t>t</m:t>
        </m:r>
        <m:r>
          <m:t>h</m:t>
        </m:r>
        <m:r>
          <m:t>e</m:t>
        </m:r>
        <m:r>
          <m:t>200</m:t>
        </m:r>
        <m:r>
          <m:rPr>
            <m:sty m:val="p"/>
          </m:rPr>
          <m:t>−</m:t>
        </m:r>
        <m:r>
          <m:t>d</m:t>
        </m:r>
        <m:r>
          <m:t>a</m:t>
        </m:r>
        <m:r>
          <m:t>y</m:t>
        </m:r>
        <m:r>
          <m:rPr>
            <m:sty m:val="p"/>
          </m:rPr>
          <m:t>(</m:t>
        </m:r>
      </m:oMath>
      <w:r>
        <w:t xml:space="preserve">209.69), with</w:t>
      </w:r>
      <w:r>
        <w:t xml:space="preserve"> </w:t>
      </w:r>
      <w:r>
        <w:rPr>
          <w:b/>
          <w:bCs/>
        </w:rPr>
        <w:t xml:space="preserve">RSI at 75.3</w:t>
      </w:r>
      <w:r>
        <w:t xml:space="preserve"> </w:t>
      </w:r>
      <w:r>
        <w:t xml:space="preserve">(</w:t>
      </w:r>
      <w:hyperlink r:id="rId62">
        <w:r>
          <w:rPr>
            <w:rStyle w:val="Hyperlink"/>
          </w:rPr>
          <w:t xml:space="preserve">GuruFocus</w:t>
        </w:r>
      </w:hyperlink>
      <w:r>
        <w:t xml:space="preserve">).</w:t>
      </w:r>
    </w:p>
    <w:p>
      <w:pPr>
        <w:pStyle w:val="Compact"/>
        <w:numPr>
          <w:ilvl w:val="0"/>
          <w:numId w:val="1012"/>
        </w:numPr>
      </w:pPr>
      <w:r>
        <w:t xml:space="preserve">Forward P/E is</w:t>
      </w:r>
      <w:r>
        <w:t xml:space="preserve"> </w:t>
      </w:r>
      <w:r>
        <w:rPr>
          <w:b/>
          <w:bCs/>
        </w:rPr>
        <w:t xml:space="preserve">12.63</w:t>
      </w:r>
      <w:r>
        <w:t xml:space="preserve"> </w:t>
      </w:r>
      <w:r>
        <w:t xml:space="preserve">(</w:t>
      </w:r>
      <w:hyperlink r:id="rId99">
        <w:r>
          <w:rPr>
            <w:rStyle w:val="Hyperlink"/>
          </w:rPr>
          <w:t xml:space="preserve">GuruFocus</w:t>
        </w:r>
      </w:hyperlink>
      <w:r>
        <w:t xml:space="preserve">).</w:t>
      </w:r>
    </w:p>
    <w:p>
      <w:pPr>
        <w:pStyle w:val="Compact"/>
        <w:numPr>
          <w:ilvl w:val="0"/>
          <w:numId w:val="1012"/>
        </w:numPr>
      </w:pPr>
      <w:r>
        <w:t xml:space="preserve">Short interest is only about 1.89M shares (</w:t>
      </w:r>
      <w:hyperlink r:id="rId100">
        <w:r>
          <w:rPr>
            <w:rStyle w:val="Hyperlink"/>
          </w:rPr>
          <w:t xml:space="preserve">Equibles</w:t>
        </w:r>
      </w:hyperlink>
      <w:r>
        <w:t xml:space="preserve">).</w:t>
      </w:r>
    </w:p>
    <w:p>
      <w:pPr>
        <w:pStyle w:val="FirstParagraph"/>
      </w:pPr>
      <w:r>
        <w:rPr>
          <w:b/>
          <w:bCs/>
        </w:rPr>
        <w:t xml:space="preserve">Revisions.</w:t>
      </w:r>
      <w:r>
        <w:t xml:space="preserve"> </w:t>
      </w:r>
      <w:r>
        <w:t xml:space="preserve">Q2 adjusted EBITDA rose 16.3% and EPS 52%, and 2026 guidance was raised (</w:t>
      </w:r>
      <w:hyperlink r:id="rId101">
        <w:r>
          <w:rPr>
            <w:rStyle w:val="Hyperlink"/>
          </w:rPr>
          <w:t xml:space="preserve">Yahoo Finance</w:t>
        </w:r>
      </w:hyperlink>
      <w:r>
        <w:t xml:space="preserve">). Targets are rising to</w:t>
      </w:r>
      <w:r>
        <w:t xml:space="preserve"> </w:t>
      </w:r>
      <m:oMath>
        <m:r>
          <m:t>285</m:t>
        </m:r>
        <m:r>
          <m:rPr>
            <m:sty m:val="p"/>
          </m:rPr>
          <m:t>–</m:t>
        </m:r>
        <m:r>
          <m:t>295</m:t>
        </m:r>
        <m:r>
          <m:rPr>
            <m:sty m:val="p"/>
          </m:rPr>
          <m:t>,</m:t>
        </m:r>
        <m:r>
          <m:t>w</m:t>
        </m:r>
        <m:r>
          <m:t>i</m:t>
        </m:r>
        <m:r>
          <m:t>t</m:t>
        </m:r>
        <m:r>
          <m:t>h</m:t>
        </m:r>
        <m:r>
          <m:t>a</m:t>
        </m:r>
        <m:r>
          <m:t>27</m:t>
        </m:r>
        <m:r>
          <m:rPr>
            <m:sty m:val="p"/>
          </m:rPr>
          <m:t>−</m:t>
        </m:r>
        <m:r>
          <m:t>a</m:t>
        </m:r>
        <m:r>
          <m:t>n</m:t>
        </m:r>
        <m:r>
          <m:t>a</m:t>
        </m:r>
        <m:r>
          <m:t>l</m:t>
        </m:r>
        <m:r>
          <m:t>y</m:t>
        </m:r>
        <m:r>
          <m:t>s</m:t>
        </m:r>
        <m:r>
          <m:t>t</m:t>
        </m:r>
        <m:r>
          <m:t>a</m:t>
        </m:r>
        <m:r>
          <m:t>v</m:t>
        </m:r>
        <m:r>
          <m:t>e</m:t>
        </m:r>
        <m:r>
          <m:t>r</m:t>
        </m:r>
        <m:r>
          <m:t>a</m:t>
        </m:r>
        <m:r>
          <m:t>g</m:t>
        </m:r>
        <m:r>
          <m:t>e</m:t>
        </m:r>
        <m:r>
          <m:t>o</m:t>
        </m:r>
        <m:r>
          <m:t>f</m:t>
        </m:r>
        <m:r>
          <m:rPr>
            <m:sty m:val="p"/>
          </m:rPr>
          <m:t>*</m:t>
        </m:r>
        <m:r>
          <m:rPr>
            <m:sty m:val="p"/>
          </m:rPr>
          <m:t>*</m:t>
        </m:r>
      </m:oMath>
      <w:r>
        <w:t xml:space="preserve">289.05** (</w:t>
      </w:r>
      <w:hyperlink r:id="rId102">
        <w:r>
          <w:rPr>
            <w:rStyle w:val="Hyperlink"/>
          </w:rPr>
          <w:t xml:space="preserve">StockAnalysis</w:t>
        </w:r>
      </w:hyperlink>
      <w:r>
        <w:t xml:space="preserve">).</w:t>
      </w:r>
    </w:p>
    <w:p>
      <w:pPr>
        <w:pStyle w:val="BodyText"/>
      </w:pPr>
      <w:r>
        <w:rPr>
          <w:b/>
          <w:bCs/>
        </w:rPr>
        <w:t xml:space="preserve">Catalyst.</w:t>
      </w:r>
      <w:r>
        <w:t xml:space="preserve"> </w:t>
      </w:r>
      <w:r>
        <w:t xml:space="preserve">THC has reported Q3 on Oct 28–30 in each of the last three years (</w:t>
      </w:r>
      <w:hyperlink r:id="rId103">
        <w:r>
          <w:rPr>
            <w:rStyle w:val="Hyperlink"/>
          </w:rPr>
          <w:t xml:space="preserve">BusinessWire 2025</w:t>
        </w:r>
      </w:hyperlink>
      <w:r>
        <w:t xml:space="preserve">). That is why its catalyst score is 3, not 4: the 2026 date is not yet announced.</w:t>
      </w:r>
    </w:p>
    <w:p>
      <w:pPr>
        <w:pStyle w:val="BodyText"/>
      </w:pPr>
      <w:r>
        <w:rPr>
          <w:b/>
          <w:bCs/>
        </w:rPr>
        <w:t xml:space="preserve">Bear case.</w:t>
      </w:r>
      <w:r>
        <w:t xml:space="preserve"> </w:t>
      </w:r>
      <w:r>
        <w:t xml:space="preserve">The bear case is sector-wide and independent of THC's own execution:</w:t>
      </w:r>
    </w:p>
    <w:p>
      <w:pPr>
        <w:pStyle w:val="Compact"/>
        <w:numPr>
          <w:ilvl w:val="0"/>
          <w:numId w:val="1013"/>
        </w:numPr>
      </w:pPr>
      <w:r>
        <w:t xml:space="preserve">Tenet expects a</w:t>
      </w:r>
      <w:r>
        <w:t xml:space="preserve"> </w:t>
      </w:r>
      <w:r>
        <w:rPr>
          <w:b/>
          <w:bCs/>
        </w:rPr>
        <w:t xml:space="preserve">20% drop in ACA-exchange enrollment</w:t>
      </w:r>
      <w:r>
        <w:t xml:space="preserve"> </w:t>
      </w:r>
      <w:r>
        <w:t xml:space="preserve">and about a</w:t>
      </w:r>
      <w:r>
        <w:t xml:space="preserve"> </w:t>
      </w:r>
      <w:r>
        <w:rPr>
          <w:b/>
          <w:bCs/>
        </w:rPr>
        <w:t xml:space="preserve">$250M EBITDA hit</w:t>
      </w:r>
      <w:r>
        <w:t xml:space="preserve"> </w:t>
      </w:r>
      <w:r>
        <w:t xml:space="preserve">(</w:t>
      </w:r>
      <w:hyperlink r:id="rId104">
        <w:r>
          <w:rPr>
            <w:rStyle w:val="Hyperlink"/>
          </w:rPr>
          <w:t xml:space="preserve">Healthcare Dive</w:t>
        </w:r>
      </w:hyperlink>
      <w:r>
        <w:t xml:space="preserve">).</w:t>
      </w:r>
    </w:p>
    <w:p>
      <w:pPr>
        <w:pStyle w:val="Compact"/>
        <w:numPr>
          <w:ilvl w:val="0"/>
          <w:numId w:val="1013"/>
        </w:numPr>
      </w:pPr>
      <w:r>
        <w:t xml:space="preserve">Q2 exchange admissions fell 13.5% (</w:t>
      </w:r>
      <w:hyperlink r:id="rId105">
        <w:r>
          <w:rPr>
            <w:rStyle w:val="Hyperlink"/>
          </w:rPr>
          <w:t xml:space="preserve">Word &amp; Brown JR Report</w:t>
        </w:r>
      </w:hyperlink>
      <w:r>
        <w:t xml:space="preserve">).</w:t>
      </w:r>
    </w:p>
    <w:p>
      <w:pPr>
        <w:pStyle w:val="Compact"/>
        <w:numPr>
          <w:ilvl w:val="0"/>
          <w:numId w:val="1013"/>
        </w:numPr>
      </w:pPr>
      <w:r>
        <w:rPr>
          <w:b/>
          <w:bCs/>
        </w:rPr>
        <w:t xml:space="preserve">HCA's July guide cut knocked THC down 7% in a day</w:t>
      </w:r>
      <w:r>
        <w:t xml:space="preserve"> </w:t>
      </w:r>
      <w:r>
        <w:t xml:space="preserve">(</w:t>
      </w:r>
      <w:hyperlink r:id="rId106">
        <w:r>
          <w:rPr>
            <w:rStyle w:val="Hyperlink"/>
          </w:rPr>
          <w:t xml:space="preserve">Healthcare Dive</w:t>
        </w:r>
      </w:hyperlink>
      <w:r>
        <w:t xml:space="preserve">).</w:t>
      </w:r>
    </w:p>
    <w:p>
      <w:pPr>
        <w:pStyle w:val="Compact"/>
        <w:numPr>
          <w:ilvl w:val="0"/>
          <w:numId w:val="1013"/>
        </w:numPr>
      </w:pPr>
      <w:r>
        <w:t xml:space="preserve">ACA open enrollment starts Nov 1, and the midterms follow on Nov 3.</w:t>
      </w:r>
    </w:p>
    <w:p>
      <w:pPr>
        <w:pStyle w:val="FirstParagraph"/>
      </w:pPr>
      <w:r>
        <w:rPr>
          <w:b/>
          <w:bCs/>
        </w:rPr>
        <w:t xml:space="preserve">What proves it wrong:</w:t>
      </w:r>
    </w:p>
    <w:p>
      <w:pPr>
        <w:pStyle w:val="Compact"/>
        <w:numPr>
          <w:ilvl w:val="0"/>
          <w:numId w:val="1014"/>
        </w:numPr>
      </w:pPr>
      <w:r>
        <w:t xml:space="preserve">Exchange volumes worse than −20%, forcing a trimmed EBITDA guide.</w:t>
      </w:r>
    </w:p>
    <w:p>
      <w:pPr>
        <w:pStyle w:val="Compact"/>
        <w:numPr>
          <w:ilvl w:val="0"/>
          <w:numId w:val="1014"/>
        </w:numPr>
      </w:pPr>
      <w:r>
        <w:t xml:space="preserve">HCA cutting guidance again in late October.</w:t>
      </w:r>
    </w:p>
    <w:p>
      <w:pPr>
        <w:pStyle w:val="Compact"/>
        <w:numPr>
          <w:ilvl w:val="0"/>
          <w:numId w:val="1014"/>
        </w:numPr>
      </w:pPr>
      <w:r>
        <w:t xml:space="preserve">A close below the 50-day average of</w:t>
      </w:r>
      <w:r>
        <w:t xml:space="preserve"> </w:t>
      </w:r>
      <w:r>
        <w:rPr>
          <w:b/>
          <w:bCs/>
        </w:rPr>
        <w:t xml:space="preserve">about $244</w:t>
      </w:r>
      <w:r>
        <w:t xml:space="preserve">, about 6.0% below the reference price.</w:t>
      </w:r>
    </w:p>
    <w:bookmarkEnd w:id="107"/>
    <w:bookmarkEnd w:id="108"/>
    <w:bookmarkStart w:id="115" w:name="two-event-clusters-decide-the-window"/>
    <w:p>
      <w:pPr>
        <w:pStyle w:val="Heading2"/>
      </w:pPr>
      <w:r>
        <w:t xml:space="preserve">Two event clusters decide the window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 (2026)</w:t>
            </w:r>
          </w:p>
        </w:tc>
        <w:tc>
          <w:tcPr/>
          <w:p>
            <w:pPr>
              <w:pStyle w:val="Compact"/>
            </w:pPr>
            <w:r>
              <w:t xml:space="preserve">Event</w:t>
            </w:r>
          </w:p>
        </w:tc>
        <w:tc>
          <w:tcPr/>
          <w:p>
            <w:pPr>
              <w:pStyle w:val="Compact"/>
            </w:pPr>
            <w:r>
              <w:t xml:space="preserve">Relevance to picks</w:t>
            </w:r>
          </w:p>
        </w:tc>
        <w:tc>
          <w:tcPr/>
          <w:p>
            <w:pPr>
              <w:pStyle w:val="Compact"/>
            </w:pPr>
            <w:r>
              <w:t xml:space="preserve">Status</w:t>
            </w:r>
          </w:p>
        </w:tc>
      </w:tr>
      <w:tr>
        <w:tc>
          <w:tcPr/>
          <w:p>
            <w:pPr>
              <w:pStyle w:val="Compact"/>
            </w:pPr>
            <w:r>
              <w:t xml:space="preserve">Mon Sep 28</w:t>
            </w:r>
          </w:p>
        </w:tc>
        <w:tc>
          <w:tcPr/>
          <w:p>
            <w:pPr>
              <w:pStyle w:val="Compact"/>
            </w:pPr>
            <w:r>
              <w:t xml:space="preserve">US–China "protected lane" deal details (</w:t>
            </w:r>
            <w:hyperlink r:id="rId109">
              <w:r>
                <w:rPr>
                  <w:rStyle w:val="Hyperlink"/>
                </w:rPr>
                <w:t xml:space="preserve">Quartz</w:t>
              </w:r>
            </w:hyperlink>
            <w:r>
              <w:t xml:space="preserve">)</w:t>
            </w:r>
          </w:p>
        </w:tc>
        <w:tc>
          <w:tcPr/>
          <w:p>
            <w:pPr>
              <w:pStyle w:val="Compact"/>
            </w:pPr>
            <w:r>
              <w:t xml:space="preserve">Macro sentiment</w:t>
            </w:r>
          </w:p>
        </w:tc>
        <w:tc>
          <w:tcPr/>
          <w:p>
            <w:pPr>
              <w:pStyle w:val="Compact"/>
            </w:pPr>
            <w:r>
              <w:t xml:space="preserve">Announced</w:t>
            </w:r>
          </w:p>
        </w:tc>
      </w:tr>
      <w:tr>
        <w:tc>
          <w:tcPr/>
          <w:p>
            <w:pPr>
              <w:pStyle w:val="Compact"/>
            </w:pPr>
            <w:r>
              <w:t xml:space="preserve">Wed Sep 30</w:t>
            </w:r>
          </w:p>
        </w:tc>
        <w:tc>
          <w:tcPr/>
          <w:p>
            <w:pPr>
              <w:pStyle w:val="Compact"/>
            </w:pPr>
            <w:r>
              <w:t xml:space="preserve">Micron FQ4 results, after close (</w:t>
            </w:r>
            <w:hyperlink r:id="rId110">
              <w:r>
                <w:rPr>
                  <w:rStyle w:val="Hyperlink"/>
                </w:rPr>
                <w:t xml:space="preserve">GlobeNewswire</w:t>
              </w:r>
            </w:hyperlink>
            <w:r>
              <w:t xml:space="preserve">)</w:t>
            </w:r>
          </w:p>
        </w:tc>
        <w:tc>
          <w:tcPr/>
          <w:p>
            <w:pPr>
              <w:pStyle w:val="Compact"/>
            </w:pPr>
            <w:r>
              <w:t xml:space="preserve">AI read-across for NVDA, APH</w:t>
            </w:r>
          </w:p>
        </w:tc>
        <w:tc>
          <w:tcPr/>
          <w:p>
            <w:pPr>
              <w:pStyle w:val="Compact"/>
            </w:pPr>
            <w:r>
              <w:t xml:space="preserve">Confirmed</w:t>
            </w:r>
          </w:p>
        </w:tc>
      </w:tr>
      <w:tr>
        <w:tc>
          <w:tcPr/>
          <w:p>
            <w:pPr>
              <w:pStyle w:val="Compact"/>
            </w:pPr>
            <w:r>
              <w:t xml:space="preserve">Fri Oct 2</w:t>
            </w:r>
          </w:p>
        </w:tc>
        <w:tc>
          <w:tcPr/>
          <w:p>
            <w:pPr>
              <w:pStyle w:val="Compact"/>
            </w:pPr>
            <w:r>
              <w:t xml:space="preserve">September jobs report (</w:t>
            </w:r>
            <w:hyperlink r:id="rId111">
              <w:r>
                <w:rPr>
                  <w:rStyle w:val="Hyperlink"/>
                </w:rPr>
                <w:t xml:space="preserve">BLS</w:t>
              </w:r>
            </w:hyperlink>
            <w:r>
              <w:t xml:space="preserve">)</w:t>
            </w:r>
          </w:p>
        </w:tc>
        <w:tc>
          <w:tcPr/>
          <w:p>
            <w:pPr>
              <w:pStyle w:val="Compact"/>
            </w:pPr>
            <w:r>
              <w:t xml:space="preserve">Yields → JPM, TRV</w:t>
            </w:r>
          </w:p>
        </w:tc>
        <w:tc>
          <w:tcPr/>
          <w:p>
            <w:pPr>
              <w:pStyle w:val="Compact"/>
            </w:pPr>
            <w:r>
              <w:t xml:space="preserve">Confirmed</w:t>
            </w:r>
          </w:p>
        </w:tc>
      </w:tr>
      <w:tr>
        <w:tc>
          <w:tcPr/>
          <w:p>
            <w:pPr>
              <w:pStyle w:val="Compact"/>
            </w:pPr>
            <w:r>
              <w:t xml:space="preserve">Tue Oct 13</w:t>
            </w:r>
          </w:p>
        </w:tc>
        <w:tc>
          <w:tcPr/>
          <w:p>
            <w:pPr>
              <w:pStyle w:val="Compact"/>
            </w:pPr>
            <w:r>
              <w:rPr>
                <w:b/>
                <w:bCs/>
              </w:rPr>
              <w:t xml:space="preserve">JPM Q3</w:t>
            </w:r>
            <w:r>
              <w:t xml:space="preserve"> </w:t>
            </w:r>
            <w:r>
              <w:t xml:space="preserve">(~7:00am ET); UNH (</w:t>
            </w:r>
            <w:hyperlink r:id="rId112">
              <w:r>
                <w:rPr>
                  <w:rStyle w:val="Hyperlink"/>
                </w:rPr>
                <w:t xml:space="preserve">UNH</w:t>
              </w:r>
            </w:hyperlink>
            <w:r>
              <w:t xml:space="preserve">); GS, WFC, C (estimated)</w:t>
            </w:r>
          </w:p>
        </w:tc>
        <w:tc>
          <w:tcPr/>
          <w:p>
            <w:pPr>
              <w:pStyle w:val="Compact"/>
            </w:pPr>
            <w:r>
              <w:rPr>
                <w:b/>
                <w:bCs/>
              </w:rPr>
              <w:t xml:space="preserve">JPM</w:t>
            </w:r>
          </w:p>
        </w:tc>
        <w:tc>
          <w:tcPr/>
          <w:p>
            <w:pPr>
              <w:pStyle w:val="Compact"/>
            </w:pPr>
            <w:r>
              <w:t xml:space="preserve">JPM confirmed</w:t>
            </w:r>
          </w:p>
        </w:tc>
      </w:tr>
      <w:tr>
        <w:tc>
          <w:tcPr/>
          <w:p>
            <w:pPr>
              <w:pStyle w:val="Compact"/>
            </w:pPr>
            <w:r>
              <w:t xml:space="preserve">Wed Oct 14</w:t>
            </w:r>
          </w:p>
        </w:tc>
        <w:tc>
          <w:tcPr/>
          <w:p>
            <w:pPr>
              <w:pStyle w:val="Compact"/>
            </w:pPr>
            <w:r>
              <w:t xml:space="preserve">September CPI; BAC and MS (estimated)</w:t>
            </w:r>
          </w:p>
        </w:tc>
        <w:tc>
          <w:tcPr/>
          <w:p>
            <w:pPr>
              <w:pStyle w:val="Compact"/>
            </w:pPr>
            <w:r>
              <w:t xml:space="preserve">Yields → JPM, TRV</w:t>
            </w:r>
          </w:p>
        </w:tc>
        <w:tc>
          <w:tcPr/>
          <w:p>
            <w:pPr>
              <w:pStyle w:val="Compact"/>
            </w:pPr>
            <w:r>
              <w:t xml:space="preserve">Confirmed</w:t>
            </w:r>
          </w:p>
        </w:tc>
      </w:tr>
      <w:tr>
        <w:tc>
          <w:tcPr/>
          <w:p>
            <w:pPr>
              <w:pStyle w:val="Compact"/>
            </w:pPr>
            <w:r>
              <w:t xml:space="preserve">Thu Oct 15</w:t>
            </w:r>
          </w:p>
        </w:tc>
        <w:tc>
          <w:tcPr/>
          <w:p>
            <w:pPr>
              <w:pStyle w:val="Compact"/>
            </w:pPr>
            <w:r>
              <w:t xml:space="preserve">TSMC Q3 call; PPI; retail sales</w:t>
            </w:r>
          </w:p>
        </w:tc>
        <w:tc>
          <w:tcPr/>
          <w:p>
            <w:pPr>
              <w:pStyle w:val="Compact"/>
            </w:pPr>
            <w:r>
              <w:t xml:space="preserve">AI read-across for NVDA, APH</w:t>
            </w:r>
          </w:p>
        </w:tc>
        <w:tc>
          <w:tcPr/>
          <w:p>
            <w:pPr>
              <w:pStyle w:val="Compact"/>
            </w:pPr>
            <w:r>
              <w:t xml:space="preserve">Confirmed</w:t>
            </w:r>
          </w:p>
        </w:tc>
      </w:tr>
      <w:tr>
        <w:tc>
          <w:tcPr/>
          <w:p>
            <w:pPr>
              <w:pStyle w:val="Compact"/>
            </w:pPr>
            <w:r>
              <w:t xml:space="preserve">Fri Oct 16</w:t>
            </w:r>
          </w:p>
        </w:tc>
        <w:tc>
          <w:tcPr/>
          <w:p>
            <w:pPr>
              <w:pStyle w:val="Compact"/>
            </w:pPr>
            <w:r>
              <w:rPr>
                <w:b/>
                <w:bCs/>
              </w:rPr>
              <w:t xml:space="preserve">TRV Q3</w:t>
            </w:r>
            <w:r>
              <w:t xml:space="preserve"> </w:t>
            </w:r>
            <w:r>
              <w:t xml:space="preserve">(before open); monthly options expiration</w:t>
            </w:r>
          </w:p>
        </w:tc>
        <w:tc>
          <w:tcPr/>
          <w:p>
            <w:pPr>
              <w:pStyle w:val="Compact"/>
            </w:pPr>
            <w:r>
              <w:rPr>
                <w:b/>
                <w:bCs/>
              </w:rPr>
              <w:t xml:space="preserve">TRV</w:t>
            </w:r>
          </w:p>
        </w:tc>
        <w:tc>
          <w:tcPr/>
          <w:p>
            <w:pPr>
              <w:pStyle w:val="Compact"/>
            </w:pPr>
            <w:r>
              <w:t xml:space="preserve">Confirmed</w:t>
            </w:r>
          </w:p>
        </w:tc>
      </w:tr>
      <w:tr>
        <w:tc>
          <w:tcPr/>
          <w:p>
            <w:pPr>
              <w:pStyle w:val="Compact"/>
            </w:pPr>
            <w:r>
              <w:t xml:space="preserve">~Oct 27–29</w:t>
            </w:r>
          </w:p>
        </w:tc>
        <w:tc>
          <w:tcPr/>
          <w:p>
            <w:pPr>
              <w:pStyle w:val="Compact"/>
            </w:pPr>
            <w:r>
              <w:rPr>
                <w:b/>
                <w:bCs/>
              </w:rPr>
              <w:t xml:space="preserve">THC Q3</w:t>
            </w:r>
            <w:r>
              <w:t xml:space="preserve"> </w:t>
            </w:r>
            <w:r>
              <w:t xml:space="preserve">(historical pattern)</w:t>
            </w:r>
          </w:p>
        </w:tc>
        <w:tc>
          <w:tcPr/>
          <w:p>
            <w:pPr>
              <w:pStyle w:val="Compact"/>
            </w:pPr>
            <w:r>
              <w:rPr>
                <w:b/>
                <w:bCs/>
              </w:rPr>
              <w:t xml:space="preserve">THC</w:t>
            </w:r>
          </w:p>
        </w:tc>
        <w:tc>
          <w:tcPr/>
          <w:p>
            <w:pPr>
              <w:pStyle w:val="Compact"/>
            </w:pPr>
            <w:r>
              <w:t xml:space="preserve">Unconfirmed</w:t>
            </w:r>
          </w:p>
        </w:tc>
      </w:tr>
      <w:tr>
        <w:tc>
          <w:tcPr/>
          <w:p>
            <w:pPr>
              <w:pStyle w:val="Compact"/>
            </w:pPr>
            <w:r>
              <w:t xml:space="preserve">Tue–Wed Oct 27–28</w:t>
            </w:r>
          </w:p>
        </w:tc>
        <w:tc>
          <w:tcPr/>
          <w:p>
            <w:pPr>
              <w:pStyle w:val="Compact"/>
            </w:pPr>
            <w:r>
              <w:t xml:space="preserve">FOMC (hold expected; next hike priced for December)</w:t>
            </w:r>
          </w:p>
        </w:tc>
        <w:tc>
          <w:tcPr/>
          <w:p>
            <w:pPr>
              <w:pStyle w:val="Compact"/>
            </w:pPr>
            <w:r>
              <w:t xml:space="preserve">All</w:t>
            </w:r>
          </w:p>
        </w:tc>
        <w:tc>
          <w:tcPr/>
          <w:p>
            <w:pPr>
              <w:pStyle w:val="Compact"/>
            </w:pPr>
            <w:r>
              <w:t xml:space="preserve">Confirmed</w:t>
            </w:r>
          </w:p>
        </w:tc>
      </w:tr>
      <w:tr>
        <w:tc>
          <w:tcPr/>
          <w:p>
            <w:pPr>
              <w:pStyle w:val="Compact"/>
            </w:pPr>
            <w:r>
              <w:t xml:space="preserve">Wed Oct 28</w:t>
            </w:r>
          </w:p>
        </w:tc>
        <w:tc>
          <w:tcPr/>
          <w:p>
            <w:pPr>
              <w:pStyle w:val="Compact"/>
            </w:pPr>
            <w:r>
              <w:rPr>
                <w:b/>
                <w:bCs/>
              </w:rPr>
              <w:t xml:space="preserve">APH Q3</w:t>
            </w:r>
            <w:r>
              <w:t xml:space="preserve"> </w:t>
            </w:r>
            <w:r>
              <w:t xml:space="preserve">(before open); MSFT (unconfirmed)</w:t>
            </w:r>
          </w:p>
        </w:tc>
        <w:tc>
          <w:tcPr/>
          <w:p>
            <w:pPr>
              <w:pStyle w:val="Compact"/>
            </w:pPr>
            <w:r>
              <w:rPr>
                <w:b/>
                <w:bCs/>
              </w:rPr>
              <w:t xml:space="preserve">APH</w:t>
            </w:r>
            <w:r>
              <w:t xml:space="preserve">, NVDA</w:t>
            </w:r>
          </w:p>
        </w:tc>
        <w:tc>
          <w:tcPr/>
          <w:p>
            <w:pPr>
              <w:pStyle w:val="Compact"/>
            </w:pPr>
            <w:r>
              <w:t xml:space="preserve">APH aggregator-confirmed</w:t>
            </w:r>
          </w:p>
        </w:tc>
      </w:tr>
      <w:tr>
        <w:tc>
          <w:tcPr/>
          <w:p>
            <w:pPr>
              <w:pStyle w:val="Compact"/>
            </w:pPr>
            <w:r>
              <w:t xml:space="preserve">~Oct 27–30</w:t>
            </w:r>
          </w:p>
        </w:tc>
        <w:tc>
          <w:tcPr/>
          <w:p>
            <w:pPr>
              <w:pStyle w:val="Compact"/>
            </w:pPr>
            <w:r>
              <w:t xml:space="preserve">GOOGL, META, AMZN, AAPL capex guides</w:t>
            </w:r>
          </w:p>
        </w:tc>
        <w:tc>
          <w:tcPr/>
          <w:p>
            <w:pPr>
              <w:pStyle w:val="Compact"/>
            </w:pPr>
            <w:r>
              <w:rPr>
                <w:b/>
                <w:bCs/>
              </w:rPr>
              <w:t xml:space="preserve">NVDA</w:t>
            </w:r>
            <w:r>
              <w:t xml:space="preserve">, APH</w:t>
            </w:r>
          </w:p>
        </w:tc>
        <w:tc>
          <w:tcPr/>
          <w:p>
            <w:pPr>
              <w:pStyle w:val="Compact"/>
            </w:pPr>
            <w:r>
              <w:t xml:space="preserve">Unconfirmed</w:t>
            </w:r>
          </w:p>
        </w:tc>
      </w:tr>
      <w:tr>
        <w:tc>
          <w:tcPr/>
          <w:p>
            <w:pPr>
              <w:pStyle w:val="Compact"/>
            </w:pPr>
            <w:r>
              <w:t xml:space="preserve">Thu Oct 29</w:t>
            </w:r>
          </w:p>
        </w:tc>
        <w:tc>
          <w:tcPr/>
          <w:p>
            <w:pPr>
              <w:pStyle w:val="Compact"/>
            </w:pPr>
            <w:r>
              <w:rPr>
                <w:b/>
                <w:bCs/>
              </w:rPr>
              <w:t xml:space="preserve">Q3 advance GDP</w:t>
            </w:r>
            <w:r>
              <w:t xml:space="preserve"> </w:t>
            </w:r>
            <w:r>
              <w:t xml:space="preserve">(corrected from Sep 30) plus September PCE</w:t>
            </w:r>
          </w:p>
        </w:tc>
        <w:tc>
          <w:tcPr/>
          <w:p>
            <w:pPr>
              <w:pStyle w:val="Compact"/>
            </w:pPr>
            <w:r>
              <w:t xml:space="preserve">All</w:t>
            </w:r>
          </w:p>
        </w:tc>
        <w:tc>
          <w:tcPr/>
          <w:p>
            <w:pPr>
              <w:pStyle w:val="Compact"/>
            </w:pPr>
            <w:r>
              <w:t xml:space="preserve">Secondary source</w:t>
            </w:r>
          </w:p>
        </w:tc>
      </w:tr>
      <w:tr>
        <w:tc>
          <w:tcPr/>
          <w:p>
            <w:pPr>
              <w:pStyle w:val="Compact"/>
            </w:pPr>
            <w:r>
              <w:t xml:space="preserve">Fri Oct 30</w:t>
            </w:r>
          </w:p>
        </w:tc>
        <w:tc>
          <w:tcPr/>
          <w:p>
            <w:pPr>
              <w:pStyle w:val="Compact"/>
            </w:pPr>
            <w:r>
              <w:t xml:space="preserve">Employment Cost Index</w:t>
            </w:r>
          </w:p>
        </w:tc>
        <w:tc>
          <w:tcPr/>
          <w:p>
            <w:pPr>
              <w:pStyle w:val="Compact"/>
            </w:pPr>
            <w:r>
              <w:t xml:space="preserve">Yields</w:t>
            </w:r>
          </w:p>
        </w:tc>
        <w:tc>
          <w:tcPr/>
          <w:p>
            <w:pPr>
              <w:pStyle w:val="Compact"/>
            </w:pPr>
            <w:r>
              <w:t xml:space="preserve">Scheduled</w:t>
            </w:r>
          </w:p>
        </w:tc>
      </w:tr>
      <w:tr>
        <w:tc>
          <w:tcPr/>
          <w:p>
            <w:pPr>
              <w:pStyle w:val="Compact"/>
            </w:pPr>
            <w:r>
              <w:t xml:space="preserve">Sun Nov 1</w:t>
            </w:r>
          </w:p>
        </w:tc>
        <w:tc>
          <w:tcPr/>
          <w:p>
            <w:pPr>
              <w:pStyle w:val="Compact"/>
            </w:pPr>
            <w:r>
              <w:t xml:space="preserve">ACA open enrollment begins</w:t>
            </w:r>
          </w:p>
        </w:tc>
        <w:tc>
          <w:tcPr/>
          <w:p>
            <w:pPr>
              <w:pStyle w:val="Compact"/>
            </w:pPr>
            <w:r>
              <w:t xml:space="preserve">THC</w:t>
            </w:r>
          </w:p>
        </w:tc>
        <w:tc>
          <w:tcPr/>
          <w:p>
            <w:pPr>
              <w:pStyle w:val="Compact"/>
            </w:pPr>
            <w:r>
              <w:t xml:space="preserve">Statutory</w:t>
            </w:r>
          </w:p>
        </w:tc>
      </w:tr>
      <w:tr>
        <w:tc>
          <w:tcPr/>
          <w:p>
            <w:pPr>
              <w:pStyle w:val="Compact"/>
            </w:pPr>
            <w:r>
              <w:t xml:space="preserve">Mon Nov 2</w:t>
            </w:r>
          </w:p>
        </w:tc>
        <w:tc>
          <w:tcPr/>
          <w:p>
            <w:pPr>
              <w:pStyle w:val="Compact"/>
            </w:pPr>
            <w:r>
              <w:t xml:space="preserve">ANET Q3 (runner-up)</w:t>
            </w:r>
          </w:p>
        </w:tc>
        <w:tc>
          <w:tcPr/>
          <w:p>
            <w:pPr>
              <w:pStyle w:val="Compact"/>
            </w:pPr>
            <w:r>
              <w:t xml:space="preserve">NVDA, APH read-across</w:t>
            </w:r>
          </w:p>
        </w:tc>
        <w:tc>
          <w:tcPr/>
          <w:p>
            <w:pPr>
              <w:pStyle w:val="Compact"/>
            </w:pPr>
            <w:r>
              <w:t xml:space="preserve">Aggregator-confirmed</w:t>
            </w:r>
          </w:p>
        </w:tc>
      </w:tr>
      <w:tr>
        <w:tc>
          <w:tcPr/>
          <w:p>
            <w:pPr>
              <w:pStyle w:val="Compact"/>
            </w:pPr>
            <w:r>
              <w:t xml:space="preserve">Tue Nov 3</w:t>
            </w:r>
          </w:p>
        </w:tc>
        <w:tc>
          <w:tcPr/>
          <w:p>
            <w:pPr>
              <w:pStyle w:val="Compact"/>
            </w:pPr>
            <w:r>
              <w:t xml:space="preserve">Midterm elections</w:t>
            </w:r>
          </w:p>
        </w:tc>
        <w:tc>
          <w:tcPr/>
          <w:p>
            <w:pPr>
              <w:pStyle w:val="Compact"/>
            </w:pPr>
            <w:r>
              <w:t xml:space="preserve">THC policy; all</w:t>
            </w:r>
          </w:p>
        </w:tc>
        <w:tc>
          <w:tcPr/>
          <w:p>
            <w:pPr>
              <w:pStyle w:val="Compact"/>
            </w:pPr>
            <w:r>
              <w:t xml:space="preserve">Statutory</w:t>
            </w:r>
          </w:p>
        </w:tc>
      </w:tr>
      <w:tr>
        <w:tc>
          <w:tcPr/>
          <w:p>
            <w:pPr>
              <w:pStyle w:val="Compact"/>
            </w:pPr>
            <w:r>
              <w:t xml:space="preserve">Wed Nov 4</w:t>
            </w:r>
          </w:p>
        </w:tc>
        <w:tc>
          <w:tcPr/>
          <w:p>
            <w:pPr>
              <w:pStyle w:val="Compact"/>
            </w:pPr>
            <w:r>
              <w:t xml:space="preserve">Treasury quarterly refunding (</w:t>
            </w:r>
            <w:hyperlink r:id="rId113">
              <w:r>
                <w:rPr>
                  <w:rStyle w:val="Hyperlink"/>
                </w:rPr>
                <w:t xml:space="preserve">Treasury</w:t>
              </w:r>
            </w:hyperlink>
            <w:r>
              <w:t xml:space="preserve">)</w:t>
            </w:r>
          </w:p>
        </w:tc>
        <w:tc>
          <w:tcPr/>
          <w:p>
            <w:pPr>
              <w:pStyle w:val="Compact"/>
            </w:pPr>
            <w:r>
              <w:t xml:space="preserve">Yields → JPM, TRV</w:t>
            </w:r>
          </w:p>
        </w:tc>
        <w:tc>
          <w:tcPr/>
          <w:p>
            <w:pPr>
              <w:pStyle w:val="Compact"/>
            </w:pPr>
            <w:r>
              <w:t xml:space="preserve">Confirmed</w:t>
            </w:r>
          </w:p>
        </w:tc>
      </w:tr>
      <w:tr>
        <w:tc>
          <w:tcPr/>
          <w:p>
            <w:pPr>
              <w:pStyle w:val="Compact"/>
            </w:pPr>
            <w:r>
              <w:t xml:space="preserve">Fri Nov 6</w:t>
            </w:r>
          </w:p>
        </w:tc>
        <w:tc>
          <w:tcPr/>
          <w:p>
            <w:pPr>
              <w:pStyle w:val="Compact"/>
            </w:pPr>
            <w:r>
              <w:t xml:space="preserve">October jobs report</w:t>
            </w:r>
          </w:p>
        </w:tc>
        <w:tc>
          <w:tcPr/>
          <w:p>
            <w:pPr>
              <w:pStyle w:val="Compact"/>
            </w:pPr>
            <w:r>
              <w:t xml:space="preserve">Yields</w:t>
            </w:r>
          </w:p>
        </w:tc>
        <w:tc>
          <w:tcPr/>
          <w:p>
            <w:pPr>
              <w:pStyle w:val="Compact"/>
            </w:pPr>
            <w:r>
              <w:t xml:space="preserve">Unverified</w:t>
            </w:r>
          </w:p>
        </w:tc>
      </w:tr>
      <w:tr>
        <w:tc>
          <w:tcPr/>
          <w:p>
            <w:pPr>
              <w:pStyle w:val="Compact"/>
            </w:pPr>
            <w:r>
              <w:t xml:space="preserve">Tue Nov 10</w:t>
            </w:r>
          </w:p>
        </w:tc>
        <w:tc>
          <w:tcPr/>
          <w:p>
            <w:pPr>
              <w:pStyle w:val="Compact"/>
            </w:pPr>
            <w:r>
              <w:t xml:space="preserve">October CPI (</w:t>
            </w:r>
            <w:hyperlink r:id="rId114">
              <w:r>
                <w:rPr>
                  <w:rStyle w:val="Hyperlink"/>
                </w:rPr>
                <w:t xml:space="preserve">US Inflation Calculator</w:t>
              </w:r>
            </w:hyperlink>
            <w:r>
              <w:t xml:space="preserve">)</w:t>
            </w:r>
          </w:p>
        </w:tc>
        <w:tc>
          <w:tcPr/>
          <w:p>
            <w:pPr>
              <w:pStyle w:val="Compact"/>
            </w:pPr>
            <w:r>
              <w:t xml:space="preserve">Yields</w:t>
            </w:r>
          </w:p>
        </w:tc>
        <w:tc>
          <w:tcPr/>
          <w:p>
            <w:pPr>
              <w:pStyle w:val="Compact"/>
            </w:pPr>
            <w:r>
              <w:t xml:space="preserve">Secondary source</w:t>
            </w:r>
          </w:p>
        </w:tc>
      </w:tr>
      <w:tr>
        <w:tc>
          <w:tcPr/>
          <w:p>
            <w:pPr>
              <w:pStyle w:val="Compact"/>
            </w:pPr>
            <w:r>
              <w:t xml:space="preserve">Tue Nov 17</w:t>
            </w:r>
          </w:p>
        </w:tc>
        <w:tc>
          <w:tcPr/>
          <w:p>
            <w:pPr>
              <w:pStyle w:val="Compact"/>
            </w:pPr>
            <w:r>
              <w:rPr>
                <w:b/>
                <w:bCs/>
              </w:rPr>
              <w:t xml:space="preserve">NVDA Q3 FY27</w:t>
            </w:r>
            <w:r>
              <w:t xml:space="preserve"> </w:t>
            </w:r>
            <w:r>
              <w:t xml:space="preserve">(after close)</w:t>
            </w:r>
          </w:p>
        </w:tc>
        <w:tc>
          <w:tcPr/>
          <w:p>
            <w:pPr>
              <w:pStyle w:val="Compact"/>
            </w:pPr>
            <w:r>
              <w:rPr>
                <w:b/>
                <w:bCs/>
              </w:rPr>
              <w:t xml:space="preserve">NVDA</w:t>
            </w:r>
          </w:p>
        </w:tc>
        <w:tc>
          <w:tcPr/>
          <w:p>
            <w:pPr>
              <w:pStyle w:val="Compact"/>
            </w:pPr>
            <w:r>
              <w:t xml:space="preserve">Conflicting (Nov 25 elsewhere)</w:t>
            </w:r>
          </w:p>
        </w:tc>
      </w:tr>
      <w:tr>
        <w:tc>
          <w:tcPr/>
          <w:p>
            <w:pPr>
              <w:pStyle w:val="Compact"/>
            </w:pPr>
            <w:r>
              <w:t xml:space="preserve">Fri Nov 20</w:t>
            </w:r>
          </w:p>
        </w:tc>
        <w:tc>
          <w:tcPr/>
          <w:p>
            <w:pPr>
              <w:pStyle w:val="Compact"/>
            </w:pPr>
            <w:r>
              <w:t xml:space="preserve">Options expiration; window ends</w:t>
            </w:r>
          </w:p>
        </w:tc>
        <w:tc>
          <w:tcPr/>
          <w:p>
            <w:pPr>
              <w:pStyle w:val="Compact"/>
            </w:pPr>
            <w:r>
              <w:t xml:space="preserve">All</w:t>
            </w:r>
          </w:p>
        </w:tc>
        <w:tc>
          <w:tcPr/>
          <w:p>
            <w:pPr>
              <w:pStyle w:val="Compact"/>
            </w:pPr>
            <w:r>
              <w:t xml:space="preserve">Calendar</w:t>
            </w:r>
          </w:p>
        </w:tc>
      </w:tr>
    </w:tbl>
    <w:p>
      <w:pPr>
        <w:pStyle w:val="BodyText"/>
      </w:pPr>
      <w:r>
        <w:rPr>
          <w:b/>
          <w:bCs/>
        </w:rPr>
        <w:t xml:space="preserve">The first cluster, Oct 13–16, decides the Financials leg.</w:t>
      </w:r>
      <w:r>
        <w:t xml:space="preserve"> </w:t>
      </w:r>
      <w:r>
        <w:t xml:space="preserve">JPM, CPI and TRV all land within four days, followed by options expiration. The two Financials picks therefore face the same macro print within 72 hours of each other.</w:t>
      </w:r>
    </w:p>
    <w:p>
      <w:pPr>
        <w:pStyle w:val="BodyText"/>
      </w:pPr>
      <w:r>
        <w:rPr>
          <w:b/>
          <w:bCs/>
        </w:rPr>
        <w:t xml:space="preserve">The second cluster, Oct 27–30, decides the rest.</w:t>
      </w:r>
      <w:r>
        <w:t xml:space="preserve"> </w:t>
      </w:r>
      <w:r>
        <w:t xml:space="preserve">It brings the FOMC decision, APH, likely THC, the hyperscaler capex guides, GDP, PCE and ECI. That leaves the three non-bank picks exposed to one crowded week.</w:t>
      </w:r>
    </w:p>
    <w:p>
      <w:pPr>
        <w:pStyle w:val="BodyText"/>
      </w:pPr>
      <w:r>
        <w:t xml:space="preserve">NVDA's report may add a third decision point in the final three trading days.</w:t>
      </w:r>
    </w:p>
    <w:bookmarkEnd w:id="115"/>
    <w:bookmarkStart w:id="119" w:name="X63b89da5788a912fdb407a113e9ad725352439e"/>
    <w:p>
      <w:pPr>
        <w:pStyle w:val="Heading2"/>
      </w:pPr>
      <w:r>
        <w:t xml:space="preserve">Yields, not oil, are the basket's weak point</w:t>
      </w:r>
    </w:p>
    <w:p>
      <w:pPr>
        <w:pStyle w:val="FirstParagraph"/>
      </w:pPr>
      <w:r>
        <w:rPr>
          <w:b/>
          <w:bCs/>
        </w:rPr>
        <w:t xml:space="preserve">A Hormuz deal that holds</w:t>
      </w:r>
      <w:r>
        <w:t xml:space="preserve"> </w:t>
      </w:r>
      <w:r>
        <w:t xml:space="preserve">would push oil and then yields down. Our notes' scenario map shows this would hurt energy and defense and lift airlines, rate-sensitive stocks and small caps. When the Iran offer surfaced, airlines rose 6–8% in a week (</w:t>
      </w:r>
      <w:hyperlink r:id="rId116">
        <w:r>
          <w:rPr>
            <w:rStyle w:val="Hyperlink"/>
          </w:rPr>
          <w:t xml:space="preserve">24/7 Wall St</w:t>
        </w:r>
      </w:hyperlink>
      <w:r>
        <w:t xml:space="preserve">). The basket has no oil exposure, so the direct effect is neutral to mildly positive. Lower yields would help TRV's book value and JPM's multiple, and the index would lose its energy leadership.</w:t>
      </w:r>
    </w:p>
    <w:p>
      <w:pPr>
        <w:pStyle w:val="BodyText"/>
      </w:pPr>
      <w:r>
        <w:t xml:space="preserve">The indirect risk is a momentum reversal. A bond rally that sparks a rush into laggards is the most plausible momentum-crash trigger in this window. THC, the basket's highest-momentum name at RSI 75, is the most exposed. "Short Treasuries" is the second most crowded trade in the Fund Manager Survey, which could amplify the reversal.</w:t>
      </w:r>
    </w:p>
    <w:p>
      <w:pPr>
        <w:pStyle w:val="BodyText"/>
      </w:pPr>
      <w:r>
        <w:rPr>
          <w:b/>
          <w:bCs/>
        </w:rPr>
        <w:t xml:space="preserve">A further yield spike</w:t>
      </w:r>
      <w:r>
        <w:t xml:space="preserve"> </w:t>
      </w:r>
      <w:r>
        <w:t xml:space="preserve">is the Fund Manager Survey's top tail risk and the basket's weakest scenario. JPM already fell 3.4% on the day the 10-year crossed 5%. TRV loses book value through bond marks. NVDA and APH carry long-duration multiples. Only THC, on a 12.6x multiple, is relatively insulated. Watch the Oct 14 CPI, the Oct 29 PCE and GDP, and the Nov 4 refunding.</w:t>
      </w:r>
    </w:p>
    <w:p>
      <w:pPr>
        <w:pStyle w:val="BodyText"/>
      </w:pPr>
      <w:r>
        <w:rPr>
          <w:b/>
          <w:bCs/>
        </w:rPr>
        <w:t xml:space="preserve">A crack in AI capex</w:t>
      </w:r>
      <w:r>
        <w:t xml:space="preserve"> </w:t>
      </w:r>
      <w:r>
        <w:t xml:space="preserve">would test the NVDA and APH slots, 40% of an equal-weight basket. Oracle's Sep 24 force-majeure notice was the first dated crack (</w:t>
      </w:r>
      <w:hyperlink r:id="rId117">
        <w:r>
          <w:rPr>
            <w:rStyle w:val="Hyperlink"/>
          </w:rPr>
          <w:t xml:space="preserve">TechCrunch</w:t>
        </w:r>
      </w:hyperlink>
      <w:r>
        <w:t xml:space="preserve">). The GLJ note on GEV showed the whole AI-power complex trading as one factor that day: ETN fell 7% and PWR 4% (</w:t>
      </w:r>
      <w:hyperlink r:id="rId118">
        <w:r>
          <w:rPr>
            <w:rStyle w:val="Hyperlink"/>
          </w:rPr>
          <w:t xml:space="preserve">24/7 Wall St</w:t>
        </w:r>
      </w:hyperlink>
      <w:r>
        <w:t xml:space="preserve">). The index itself is heavily AI-weighted, with NVDA alone about 8%. So an AI sell-off hits the benchmark too. Whether the basket's 60% non-AI weight helps relative returns in that scenario depends on the basket's total AI sensitivity against the benchmark's. That includes indirect exposure, such as JPM's and TRV's losses in an AI-led risk-off. We have not measured it, so the cap is a sensible precaution, not demonstrated protection.</w:t>
      </w:r>
    </w:p>
    <w:p>
      <w:pPr>
        <w:pStyle w:val="BodyText"/>
      </w:pPr>
      <w:r>
        <w:rPr>
          <w:b/>
          <w:bCs/>
        </w:rPr>
        <w:t xml:space="preserve">Crowding</w:t>
      </w:r>
      <w:r>
        <w:t xml:space="preserve"> </w:t>
      </w:r>
      <w:r>
        <w:t xml:space="preserve">is concentrated in semis: 53% of managers call them the most crowded trade, and hedge-fund net exposure was at the 98th percentile in July. It also shows in THC's overbought reading. For banks, the Fund Manager Survey's contrarian call is "short banks". No verified short-interest data exist for most picks.</w:t>
      </w:r>
    </w:p>
    <w:p>
      <w:pPr>
        <w:pStyle w:val="BodyText"/>
      </w:pPr>
      <w:r>
        <w:rPr>
          <w:b/>
          <w:bCs/>
        </w:rPr>
        <w:t xml:space="preserve">Event clustering</w:t>
      </w:r>
      <w:r>
        <w:t xml:space="preserve"> </w:t>
      </w:r>
      <w:r>
        <w:t xml:space="preserve">adds to the risk. Two picks report within four days of each other, and three more sit in the Oct 27–30 week. Earnings-gap risk is therefore concentrated rather than spread across the window.</w:t>
      </w:r>
    </w:p>
    <w:bookmarkEnd w:id="119"/>
    <w:bookmarkStart w:id="125" w:name="conflicting-figures-across-the-notes"/>
    <w:p>
      <w:pPr>
        <w:pStyle w:val="Heading2"/>
      </w:pPr>
      <w:r>
        <w:t xml:space="preserve">Conflicting figures across the notes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Conflict</w:t>
            </w:r>
          </w:p>
        </w:tc>
        <w:tc>
          <w:tcPr/>
          <w:p>
            <w:pPr>
              <w:pStyle w:val="Compact"/>
            </w:pPr>
            <w:r>
              <w:t xml:space="preserve">Treatment in this report</w:t>
            </w:r>
          </w:p>
        </w:tc>
      </w:tr>
      <w:tr>
        <w:tc>
          <w:tcPr/>
          <w:p>
            <w:pPr>
              <w:pStyle w:val="Compact"/>
            </w:pPr>
            <w:r>
              <w:t xml:space="preserve">Q3 advance GDP date</w:t>
            </w:r>
          </w:p>
        </w:tc>
        <w:tc>
          <w:tcPr/>
          <w:p>
            <w:pPr>
              <w:pStyle w:val="Compact"/>
            </w:pPr>
            <w:r>
              <w:t xml:space="preserve">Sep 30 (regime note's parse of OMB schedule) vs Oct 29 (</w:t>
            </w:r>
            <w:hyperlink r:id="rId35">
              <w:r>
                <w:rPr>
                  <w:rStyle w:val="Hyperlink"/>
                </w:rPr>
                <w:t xml:space="preserve">FinanceCalendar</w:t>
              </w:r>
            </w:hyperlink>
            <w:r>
              <w:t xml:space="preserve">)</w:t>
            </w:r>
          </w:p>
        </w:tc>
        <w:tc>
          <w:tcPr/>
          <w:p>
            <w:pPr>
              <w:pStyle w:val="Compact"/>
            </w:pPr>
            <w:r>
              <w:rPr>
                <w:b/>
                <w:bCs/>
              </w:rPr>
              <w:t xml:space="preserve">Oct 29</w:t>
            </w:r>
            <w:r>
              <w:t xml:space="preserve"> </w:t>
            </w:r>
            <w:r>
              <w:t xml:space="preserve">used</w:t>
            </w:r>
          </w:p>
        </w:tc>
      </w:tr>
      <w:tr>
        <w:tc>
          <w:tcPr/>
          <w:p>
            <w:pPr>
              <w:pStyle w:val="Compact"/>
            </w:pPr>
            <w:r>
              <w:t xml:space="preserve">Brent crude, Sep 25</w:t>
            </w:r>
          </w:p>
        </w:tc>
        <w:tc>
          <w:tcPr/>
          <w:p>
            <w:pPr>
              <w:pStyle w:val="Compact"/>
            </w:pPr>
            <w:r>
              <w:t xml:space="preserve">$105.40 (</w:t>
            </w:r>
            <w:hyperlink r:id="rId19">
              <w:r>
                <w:rPr>
                  <w:rStyle w:val="Hyperlink"/>
                </w:rPr>
                <w:t xml:space="preserve">TheStreet</w:t>
              </w:r>
            </w:hyperlink>
            <w:r>
              <w:t xml:space="preserve">) vs "below $98" (Yahoo) vs about $106 (</w:t>
            </w:r>
            <w:hyperlink r:id="rId120">
              <w:r>
                <w:rPr>
                  <w:rStyle w:val="Hyperlink"/>
                </w:rPr>
                <w:t xml:space="preserve">Invezz</w:t>
              </w:r>
            </w:hyperlink>
            <w:r>
              <w:t xml:space="preserve">)</w:t>
            </w:r>
          </w:p>
        </w:tc>
        <w:tc>
          <w:tcPr/>
          <w:p>
            <w:pPr>
              <w:pStyle w:val="Compact"/>
            </w:pPr>
            <w:r>
              <w:t xml:space="preserve">WTI (~$92) cited instead</w:t>
            </w:r>
          </w:p>
        </w:tc>
      </w:tr>
      <w:tr>
        <w:tc>
          <w:tcPr/>
          <w:p>
            <w:pPr>
              <w:pStyle w:val="Compact"/>
            </w:pPr>
            <w:r>
              <w:t xml:space="preserve">10-year yield, Sep 25</w:t>
            </w:r>
          </w:p>
        </w:tc>
        <w:tc>
          <w:tcPr/>
          <w:p>
            <w:pPr>
              <w:pStyle w:val="Compact"/>
            </w:pPr>
            <w:r>
              <w:t xml:space="preserve">5.18% vs 5.225%</w:t>
            </w:r>
          </w:p>
        </w:tc>
        <w:tc>
          <w:tcPr/>
          <w:p>
            <w:pPr>
              <w:pStyle w:val="Compact"/>
            </w:pPr>
            <w:r>
              <w:t xml:space="preserve">Cited as a range; likely intraday vs close</w:t>
            </w:r>
          </w:p>
        </w:tc>
      </w:tr>
      <w:tr>
        <w:tc>
          <w:tcPr/>
          <w:p>
            <w:pPr>
              <w:pStyle w:val="Compact"/>
            </w:pPr>
            <w:r>
              <w:t xml:space="preserve">S&amp;P 500 weekly gain</w:t>
            </w:r>
          </w:p>
        </w:tc>
        <w:tc>
          <w:tcPr/>
          <w:p>
            <w:pPr>
              <w:pStyle w:val="Compact"/>
            </w:pPr>
            <w:r>
              <w:t xml:space="preserve">+0.63% (regime note) vs +1.2% (</w:t>
            </w:r>
            <w:hyperlink r:id="rId31">
              <w:r>
                <w:rPr>
                  <w:rStyle w:val="Hyperlink"/>
                </w:rPr>
                <w:t xml:space="preserve">currentlogic</w:t>
              </w:r>
            </w:hyperlink>
            <w:r>
              <w:t xml:space="preserve">)</w:t>
            </w:r>
          </w:p>
        </w:tc>
        <w:tc>
          <w:tcPr/>
          <w:p>
            <w:pPr>
              <w:pStyle w:val="Compact"/>
            </w:pPr>
            <w:r>
              <w:t xml:space="preserve">Not relied on</w:t>
            </w:r>
          </w:p>
        </w:tc>
      </w:tr>
      <w:tr>
        <w:tc>
          <w:tcPr/>
          <w:p>
            <w:pPr>
              <w:pStyle w:val="Compact"/>
            </w:pPr>
            <w:r>
              <w:t xml:space="preserve">Sector YTD</w:t>
            </w:r>
          </w:p>
        </w:tc>
        <w:tc>
          <w:tcPr/>
          <w:p>
            <w:pPr>
              <w:pStyle w:val="Compact"/>
            </w:pPr>
            <w:r>
              <w:t xml:space="preserve">Energy +38.8% / +40.01% / +38.4%; Tech +35.24% vs +24.1% (</w:t>
            </w:r>
            <w:hyperlink r:id="rId121">
              <w:r>
                <w:rPr>
                  <w:rStyle w:val="Hyperlink"/>
                </w:rPr>
                <w:t xml:space="preserve">TraderHQ</w:t>
              </w:r>
            </w:hyperlink>
            <w:r>
              <w:t xml:space="preserve">)</w:t>
            </w:r>
          </w:p>
        </w:tc>
        <w:tc>
          <w:tcPr/>
          <w:p>
            <w:pPr>
              <w:pStyle w:val="Compact"/>
            </w:pPr>
            <w:r>
              <w:t xml:space="preserve">Cited as about +39–40% and about +35%</w:t>
            </w:r>
          </w:p>
        </w:tc>
      </w:tr>
      <w:tr>
        <w:tc>
          <w:tcPr/>
          <w:p>
            <w:pPr>
              <w:pStyle w:val="Compact"/>
            </w:pPr>
            <w:r>
              <w:t xml:space="preserve">Q3 EPS revision and growth</w:t>
            </w:r>
          </w:p>
        </w:tc>
        <w:tc>
          <w:tcPr/>
          <w:p>
            <w:pPr>
              <w:pStyle w:val="Compact"/>
            </w:pPr>
            <w:r>
              <w:t xml:space="preserve">+1.2% vs +1.3% vs +1.4%; 29.1% vs 28.9%</w:t>
            </w:r>
          </w:p>
        </w:tc>
        <w:tc>
          <w:tcPr/>
          <w:p>
            <w:pPr>
              <w:pStyle w:val="Compact"/>
            </w:pPr>
            <w:r>
              <w:t xml:space="preserve">+1.2% (dated Sep 4) and about 29%</w:t>
            </w:r>
          </w:p>
        </w:tc>
      </w:tr>
      <w:tr>
        <w:tc>
          <w:tcPr/>
          <w:p>
            <w:pPr>
              <w:pStyle w:val="Compact"/>
            </w:pPr>
            <w:r>
              <w:t xml:space="preserve">Energy Q3 growth</w:t>
            </w:r>
          </w:p>
        </w:tc>
        <w:tc>
          <w:tcPr/>
          <w:p>
            <w:pPr>
              <w:pStyle w:val="Compact"/>
            </w:pPr>
            <w:r>
              <w:t xml:space="preserve">+75.6% (FactSet summary) vs about +110% (Fool)</w:t>
            </w:r>
          </w:p>
        </w:tc>
        <w:tc>
          <w:tcPr/>
          <w:p>
            <w:pPr>
              <w:pStyle w:val="Compact"/>
            </w:pPr>
            <w:r>
              <w:t xml:space="preserve">Not relied on</w:t>
            </w:r>
          </w:p>
        </w:tc>
      </w:tr>
      <w:tr>
        <w:tc>
          <w:tcPr/>
          <w:p>
            <w:pPr>
              <w:pStyle w:val="Compact"/>
            </w:pPr>
            <w:r>
              <w:t xml:space="preserve">Guidance counts</w:t>
            </w:r>
          </w:p>
        </w:tc>
        <w:tc>
          <w:tcPr/>
          <w:p>
            <w:pPr>
              <w:pStyle w:val="Compact"/>
            </w:pPr>
            <w:r>
              <w:t xml:space="preserve">42 negative + 72 positive = 114, not the stated 111 (</w:t>
            </w:r>
            <w:hyperlink r:id="rId122">
              <w:r>
                <w:rPr>
                  <w:rStyle w:val="Hyperlink"/>
                </w:rPr>
                <w:t xml:space="preserve">FactSet</w:t>
              </w:r>
            </w:hyperlink>
            <w:r>
              <w:t xml:space="preserve">)</w:t>
            </w:r>
          </w:p>
        </w:tc>
        <w:tc>
          <w:tcPr/>
          <w:p>
            <w:pPr>
              <w:pStyle w:val="Compact"/>
            </w:pPr>
            <w:r>
              <w:t xml:space="preserve">Not used</w:t>
            </w:r>
          </w:p>
        </w:tc>
      </w:tr>
      <w:tr>
        <w:tc>
          <w:tcPr/>
          <w:p>
            <w:pPr>
              <w:pStyle w:val="Compact"/>
            </w:pPr>
            <w:r>
              <w:t xml:space="preserve">NVDA report date</w:t>
            </w:r>
          </w:p>
        </w:tc>
        <w:tc>
          <w:tcPr/>
          <w:p>
            <w:pPr>
              <w:pStyle w:val="Compact"/>
            </w:pPr>
            <w:r>
              <w:t xml:space="preserve">Nov 17 (Wall Street Horizon) vs Nov 25 (Investing.com, TipRanks)</w:t>
            </w:r>
          </w:p>
        </w:tc>
        <w:tc>
          <w:tcPr/>
          <w:p>
            <w:pPr>
              <w:pStyle w:val="Compact"/>
            </w:pPr>
            <w:r>
              <w:t xml:space="preserve">Treated as probable but unconfirmed</w:t>
            </w:r>
          </w:p>
        </w:tc>
      </w:tr>
      <w:tr>
        <w:tc>
          <w:tcPr/>
          <w:p>
            <w:pPr>
              <w:pStyle w:val="Compact"/>
            </w:pPr>
            <w:r>
              <w:t xml:space="preserve">NVDA reaction to Q2</w:t>
            </w:r>
          </w:p>
        </w:tc>
        <w:tc>
          <w:tcPr/>
          <w:p>
            <w:pPr>
              <w:pStyle w:val="Compact"/>
            </w:pPr>
            <w:r>
              <w:t xml:space="preserve">−1.24% after hours (low-quality blog) vs +8.7% the next day (</w:t>
            </w:r>
            <w:hyperlink r:id="rId123">
              <w:r>
                <w:rPr>
                  <w:rStyle w:val="Hyperlink"/>
                </w:rPr>
                <w:t xml:space="preserve">Zacks via Yahoo</w:t>
              </w:r>
            </w:hyperlink>
            <w:r>
              <w:t xml:space="preserve">)</w:t>
            </w:r>
          </w:p>
        </w:tc>
        <w:tc>
          <w:tcPr/>
          <w:p>
            <w:pPr>
              <w:pStyle w:val="Compact"/>
            </w:pPr>
            <w:r>
              <w:t xml:space="preserve">Zacks preferred</w:t>
            </w:r>
          </w:p>
        </w:tc>
      </w:tr>
      <w:tr>
        <w:tc>
          <w:tcPr/>
          <w:p>
            <w:pPr>
              <w:pStyle w:val="Compact"/>
            </w:pPr>
            <w:r>
              <w:t xml:space="preserve">THC Q3 date</w:t>
            </w:r>
          </w:p>
        </w:tc>
        <w:tc>
          <w:tcPr/>
          <w:p>
            <w:pPr>
              <w:pStyle w:val="Compact"/>
            </w:pPr>
            <w:r>
              <w:t xml:space="preserve">~Nov 3 (factor-screen note) vs ~Oct 27–29 (pattern)</w:t>
            </w:r>
          </w:p>
        </w:tc>
        <w:tc>
          <w:tcPr/>
          <w:p>
            <w:pPr>
              <w:pStyle w:val="Compact"/>
            </w:pPr>
            <w:r>
              <w:t xml:space="preserve">Oct 27–29 used; both in window</w:t>
            </w:r>
          </w:p>
        </w:tc>
      </w:tr>
      <w:tr>
        <w:tc>
          <w:tcPr/>
          <w:p>
            <w:pPr>
              <w:pStyle w:val="Compact"/>
            </w:pPr>
            <w:r>
              <w:t xml:space="preserve">TRV Q3 date and high</w:t>
            </w:r>
          </w:p>
        </w:tc>
        <w:tc>
          <w:tcPr/>
          <w:p>
            <w:pPr>
              <w:pStyle w:val="Compact"/>
            </w:pPr>
            <w:r>
              <w:t xml:space="preserve">Oct 15 (EarningsCountdown) vs Oct 16 (company); 52-week high "$374" vs $398.70</w:t>
            </w:r>
          </w:p>
        </w:tc>
        <w:tc>
          <w:tcPr/>
          <w:p>
            <w:pPr>
              <w:pStyle w:val="Compact"/>
            </w:pPr>
            <w:r>
              <w:t xml:space="preserve">Company date; $398.70 (the $374 was a September close)</w:t>
            </w:r>
          </w:p>
        </w:tc>
      </w:tr>
      <w:tr>
        <w:tc>
          <w:tcPr/>
          <w:p>
            <w:pPr>
              <w:pStyle w:val="Compact"/>
            </w:pPr>
            <w:r>
              <w:t xml:space="preserve">APH price</w:t>
            </w:r>
          </w:p>
        </w:tc>
        <w:tc>
          <w:tcPr/>
          <w:p>
            <w:pPr>
              <w:pStyle w:val="Compact"/>
            </w:pPr>
            <w:r>
              <w:t xml:space="preserve">$84.09 looked stale</w:t>
            </w:r>
          </w:p>
        </w:tc>
        <w:tc>
          <w:tcPr/>
          <w:p>
            <w:pPr>
              <w:pStyle w:val="Compact"/>
            </w:pPr>
            <w:r>
              <w:t xml:space="preserve">Resolved: 2-for-1 split on Sep 3</w:t>
            </w:r>
          </w:p>
        </w:tc>
      </w:tr>
      <w:tr>
        <w:tc>
          <w:tcPr/>
          <w:p>
            <w:pPr>
              <w:pStyle w:val="Compact"/>
            </w:pPr>
            <w:r>
              <w:t xml:space="preserve">APH YTD</w:t>
            </w:r>
          </w:p>
        </w:tc>
        <w:tc>
          <w:tcPr/>
          <w:p>
            <w:pPr>
              <w:pStyle w:val="Compact"/>
            </w:pPr>
            <w:r>
              <w:t xml:space="preserve">"Drops 5% YTD" vs "rises 17% YTD" (both undated)</w:t>
            </w:r>
          </w:p>
        </w:tc>
        <w:tc>
          <w:tcPr/>
          <w:p>
            <w:pPr>
              <w:pStyle w:val="Compact"/>
            </w:pPr>
            <w:r>
              <w:t xml:space="preserve">Not cited</w:t>
            </w:r>
          </w:p>
        </w:tc>
      </w:tr>
      <w:tr>
        <w:tc>
          <w:tcPr/>
          <w:p>
            <w:pPr>
              <w:pStyle w:val="Compact"/>
            </w:pPr>
            <w:r>
              <w:t xml:space="preserve">JPM yield curve</w:t>
            </w:r>
          </w:p>
        </w:tc>
        <w:tc>
          <w:tcPr/>
          <w:p>
            <w:pPr>
              <w:pStyle w:val="Compact"/>
            </w:pPr>
            <w:r>
              <w:t xml:space="preserve">"Near-flat" (</w:t>
            </w:r>
            <w:hyperlink r:id="rId95">
              <w:r>
                <w:rPr>
                  <w:rStyle w:val="Hyperlink"/>
                </w:rPr>
                <w:t xml:space="preserve">Eastern Herald</w:t>
              </w:r>
            </w:hyperlink>
            <w:r>
              <w:t xml:space="preserve">) vs 2s/10s about +0.52% (</w:t>
            </w:r>
            <w:hyperlink r:id="rId124">
              <w:r>
                <w:rPr>
                  <w:rStyle w:val="Hyperlink"/>
                </w:rPr>
                <w:t xml:space="preserve">MarketWise</w:t>
              </w:r>
            </w:hyperlink>
            <w:r>
              <w:t xml:space="preserve">, undated)</w:t>
            </w:r>
          </w:p>
        </w:tc>
        <w:tc>
          <w:tcPr/>
          <w:p>
            <w:pPr>
              <w:pStyle w:val="Compact"/>
            </w:pPr>
            <w:r>
              <w:t xml:space="preserve">Flagged; curve shape needs verifying</w:t>
            </w:r>
          </w:p>
        </w:tc>
      </w:tr>
      <w:tr>
        <w:tc>
          <w:tcPr/>
          <w:p>
            <w:pPr>
              <w:pStyle w:val="Compact"/>
            </w:pPr>
            <w:r>
              <w:t xml:space="preserve">MU consensus and implied move</w:t>
            </w:r>
          </w:p>
        </w:tc>
        <w:tc>
          <w:tcPr/>
          <w:p>
            <w:pPr>
              <w:pStyle w:val="Compact"/>
            </w:pPr>
            <w:r>
              <w:t xml:space="preserve">EPS $31.49 vs $31.27; implied move 9.9% / 10.3% / 7.8%</w:t>
            </w:r>
          </w:p>
        </w:tc>
        <w:tc>
          <w:tcPr/>
          <w:p>
            <w:pPr>
              <w:pStyle w:val="Compact"/>
            </w:pPr>
            <w:r>
              <w:t xml:space="preserve">Cited as about ±10%</w:t>
            </w:r>
          </w:p>
        </w:tc>
      </w:tr>
      <w:tr>
        <w:tc>
          <w:tcPr/>
          <w:p>
            <w:pPr>
              <w:pStyle w:val="Compact"/>
            </w:pPr>
            <w:r>
              <w:t xml:space="preserve">GS Q3 consensus</w:t>
            </w:r>
          </w:p>
        </w:tc>
        <w:tc>
          <w:tcPr/>
          <w:p>
            <w:pPr>
              <w:pStyle w:val="Compact"/>
            </w:pPr>
            <w:r>
              <w:t xml:space="preserve">$16.00–16.40 vs Morgan Stanley's $13.76</w:t>
            </w:r>
          </w:p>
        </w:tc>
        <w:tc>
          <w:tcPr/>
          <w:p>
            <w:pPr>
              <w:pStyle w:val="Compact"/>
            </w:pPr>
            <w:r>
              <w:t xml:space="preserve">Evidence that estimates are falling</w:t>
            </w:r>
          </w:p>
        </w:tc>
      </w:tr>
      <w:tr>
        <w:tc>
          <w:tcPr/>
          <w:p>
            <w:pPr>
              <w:pStyle w:val="Compact"/>
            </w:pPr>
            <w:r>
              <w:t xml:space="preserve">VRT report date</w:t>
            </w:r>
          </w:p>
        </w:tc>
        <w:tc>
          <w:tcPr/>
          <w:p>
            <w:pPr>
              <w:pStyle w:val="Compact"/>
            </w:pPr>
            <w:r>
              <w:t xml:space="preserve">Oct 20 vs Oct 28</w:t>
            </w:r>
          </w:p>
        </w:tc>
        <w:tc>
          <w:tcPr/>
          <w:p>
            <w:pPr>
              <w:pStyle w:val="Compact"/>
            </w:pPr>
            <w:r>
              <w:t xml:space="preserve">Both inside the window</w:t>
            </w:r>
          </w:p>
        </w:tc>
      </w:tr>
      <w:tr>
        <w:tc>
          <w:tcPr/>
          <w:p>
            <w:pPr>
              <w:pStyle w:val="Compact"/>
            </w:pPr>
            <w:r>
              <w:t xml:space="preserve">SNOW YTD</w:t>
            </w:r>
          </w:p>
        </w:tc>
        <w:tc>
          <w:tcPr/>
          <w:p>
            <w:pPr>
              <w:pStyle w:val="Compact"/>
            </w:pPr>
            <w:r>
              <w:t xml:space="preserve">+71% vs +55%</w:t>
            </w:r>
          </w:p>
        </w:tc>
        <w:tc>
          <w:tcPr/>
          <w:p>
            <w:pPr>
              <w:pStyle w:val="Compact"/>
            </w:pPr>
            <w:r>
              <w:t xml:space="preserve">Not relied on</w:t>
            </w:r>
          </w:p>
        </w:tc>
      </w:tr>
    </w:tbl>
    <w:bookmarkEnd w:id="125"/>
    <w:bookmarkStart w:id="126" w:name="grading-the-picks-on-nov-20-and-nov-23"/>
    <w:p>
      <w:pPr>
        <w:pStyle w:val="Heading2"/>
      </w:pPr>
      <w:r>
        <w:t xml:space="preserve">Grading the picks on Nov 20 and Nov 23</w:t>
      </w:r>
    </w:p>
    <w:p>
      <w:pPr>
        <w:pStyle w:val="FirstParagraph"/>
      </w:pPr>
      <w:r>
        <w:rPr>
          <w:b/>
          <w:bCs/>
        </w:rPr>
        <w:t xml:space="preserve">Fixed window.</w:t>
      </w:r>
      <w:r>
        <w:t xml:space="preserve"> </w:t>
      </w:r>
      <w:r>
        <w:t xml:space="preserve">The official result uses the</w:t>
      </w:r>
      <w:r>
        <w:t xml:space="preserve"> </w:t>
      </w:r>
      <w:r>
        <w:rPr>
          <w:b/>
          <w:bCs/>
        </w:rPr>
        <w:t xml:space="preserve">Mon Sep 28 open</w:t>
      </w:r>
      <w:r>
        <w:t xml:space="preserve"> </w:t>
      </w:r>
      <w:r>
        <w:t xml:space="preserve">to the</w:t>
      </w:r>
      <w:r>
        <w:t xml:space="preserve"> </w:t>
      </w:r>
      <w:r>
        <w:rPr>
          <w:b/>
          <w:bCs/>
        </w:rPr>
        <w:t xml:space="preserve">Fri Nov 20 close</w:t>
      </w:r>
      <w:r>
        <w:t xml:space="preserve"> </w:t>
      </w:r>
      <w:r>
        <w:t xml:space="preserve">for every stock and for the benchmark. Do not substitute Sep 25 closes. That would change the experiment. If an open price is unavailable, use the Sep 28 close for the stock</w:t>
      </w:r>
      <w:r>
        <w:t xml:space="preserve"> </w:t>
      </w:r>
      <w:r>
        <w:rPr>
          <w:i/>
          <w:iCs/>
        </w:rPr>
        <w:t xml:space="preserve">and</w:t>
      </w:r>
      <w:r>
        <w:t xml:space="preserve"> </w:t>
      </w:r>
      <w:r>
        <w:t xml:space="preserve">the benchmark, and say so.</w:t>
      </w:r>
    </w:p>
    <w:p>
      <w:pPr>
        <w:pStyle w:val="BodyText"/>
      </w:pPr>
      <w:r>
        <w:rPr>
          <w:b/>
          <w:bCs/>
        </w:rPr>
        <w:t xml:space="preserve">Benchmark.</w:t>
      </w:r>
      <w:r>
        <w:t xml:space="preserve"> </w:t>
      </w:r>
      <w:r>
        <w:t xml:space="preserve">Measure the S&amp;P 500 total return with SPY (or the S&amp;P 500 Total Return index) at exactly the same timestamps.</w:t>
      </w:r>
    </w:p>
    <w:p>
      <w:pPr>
        <w:pStyle w:val="BodyText"/>
      </w:pPr>
      <w:r>
        <w:rPr>
          <w:b/>
          <w:bCs/>
        </w:rPr>
        <w:t xml:space="preserve">Dividends.</w:t>
      </w:r>
      <w:r>
        <w:t xml:space="preserve"> </w:t>
      </w:r>
      <w:r>
        <w:t xml:space="preserve">Count a dividend only if its</w:t>
      </w:r>
      <w:r>
        <w:t xml:space="preserve"> </w:t>
      </w:r>
      <w:r>
        <w:rPr>
          <w:b/>
          <w:bCs/>
        </w:rPr>
        <w:t xml:space="preserve">ex-dividend date falls between Sep 29 and Nov 20 inclusive</w:t>
      </w:r>
      <w:r>
        <w:t xml:space="preserve">, which means a Sep 28 buyer is entitled to it. Payment inside the window is not enough. For example, a dividend paid in October to holders of record in mid-September belongs to the seller. Apply the same rule to SPY's distributions.</w:t>
      </w:r>
    </w:p>
    <w:p>
      <w:pPr>
        <w:pStyle w:val="BodyText"/>
      </w:pPr>
      <w:r>
        <w:t xml:space="preserve">Grade on four levels:</w:t>
      </w:r>
    </w:p>
    <w:p>
      <w:pPr>
        <w:pStyle w:val="Compact"/>
        <w:numPr>
          <w:ilvl w:val="0"/>
          <w:numId w:val="1015"/>
        </w:numPr>
      </w:pPr>
      <w:r>
        <w:rPr>
          <w:b/>
          <w:bCs/>
        </w:rPr>
        <w:t xml:space="preserve">Per-pick excess return.</w:t>
      </w:r>
      <w:r>
        <w:t xml:space="preserve"> </w:t>
      </w:r>
      <w:r>
        <w:t xml:space="preserve">Each stock's total return minus the benchmark's.</w:t>
      </w:r>
    </w:p>
    <w:p>
      <w:pPr>
        <w:pStyle w:val="Compact"/>
        <w:numPr>
          <w:ilvl w:val="0"/>
          <w:numId w:val="1015"/>
        </w:numPr>
      </w:pPr>
      <w:r>
        <w:rPr>
          <w:b/>
          <w:bCs/>
        </w:rPr>
        <w:t xml:space="preserve">Hit rate, with the right chance model.</w:t>
      </w:r>
      <w:r>
        <w:t xml:space="preserve"> </w:t>
      </w:r>
      <w:r>
        <w:t xml:space="preserve">Using the 45–48% base rate and assuming independent picks, the chance of at least four of five beating the index is</w:t>
      </w:r>
      <w:r>
        <w:t xml:space="preserve"> </w:t>
      </w:r>
      <w:r>
        <w:rPr>
          <w:b/>
          <w:bCs/>
        </w:rPr>
        <w:t xml:space="preserve">13–16%</w:t>
      </w:r>
      <w:r>
        <w:t xml:space="preserve">, and of all five</w:t>
      </w:r>
      <w:r>
        <w:t xml:space="preserve"> </w:t>
      </w:r>
      <w:r>
        <w:rPr>
          <w:b/>
          <w:bCs/>
        </w:rPr>
        <w:t xml:space="preserve">2–2.5%</w:t>
      </w:r>
      <w:r>
        <w:t xml:space="preserve">. The picks share exposures (yields, AI capex), so the true chance of a lucky cluster is higher.</w:t>
      </w:r>
      <w:r>
        <w:t xml:space="preserve"> </w:t>
      </w:r>
      <w:r>
        <w:rPr>
          <w:b/>
          <w:bCs/>
        </w:rPr>
        <w:t xml:space="preserve">Four or five winners would be encouraging, not proof of skill.</w:t>
      </w:r>
      <w:r>
        <w:t xml:space="preserve"> </w:t>
      </w:r>
      <w:r>
        <w:t xml:space="preserve">One eight-week window cannot establish an edge either way.</w:t>
      </w:r>
    </w:p>
    <w:p>
      <w:pPr>
        <w:pStyle w:val="Compact"/>
        <w:numPr>
          <w:ilvl w:val="0"/>
          <w:numId w:val="1015"/>
        </w:numPr>
      </w:pPr>
      <w:r>
        <w:rPr>
          <w:b/>
          <w:bCs/>
        </w:rPr>
        <w:t xml:space="preserve">Basket excess return.</w:t>
      </w:r>
      <w:r>
        <w:t xml:space="preserve"> </w:t>
      </w:r>
      <w:r>
        <w:t xml:space="preserve">The equal-weight basket against the benchmark. The ±5–7% band is a rough one-standard-deviation estimate, not a measured covariance or a significance threshold. A result outside it is a large outcome, not evidence of skill.</w:t>
      </w:r>
    </w:p>
    <w:p>
      <w:pPr>
        <w:pStyle w:val="Compact"/>
        <w:numPr>
          <w:ilvl w:val="0"/>
          <w:numId w:val="1015"/>
        </w:numPr>
      </w:pPr>
      <w:r>
        <w:rPr>
          <w:b/>
          <w:bCs/>
        </w:rPr>
        <w:t xml:space="preserve">Process check.</w:t>
      </w:r>
      <w:r>
        <w:t xml:space="preserve"> </w:t>
      </w:r>
      <w:r>
        <w:t xml:space="preserve">For each pick, record whether its "what proves it wrong" signal fired and whether the stock then underperformed. A pick can beat the index for the wrong reason or lose despite a correct thesis.</w:t>
      </w:r>
    </w:p>
    <w:p>
      <w:pPr>
        <w:pStyle w:val="FirstParagraph"/>
      </w:pPr>
      <w:r>
        <w:rPr>
          <w:b/>
          <w:bCs/>
        </w:rPr>
        <w:t xml:space="preserve">Supplementary checks, reported separately from the official result:</w:t>
      </w:r>
    </w:p>
    <w:p>
      <w:pPr>
        <w:pStyle w:val="Compact"/>
        <w:numPr>
          <w:ilvl w:val="0"/>
          <w:numId w:val="1016"/>
        </w:numPr>
      </w:pPr>
      <w:r>
        <w:rPr>
          <w:b/>
          <w:bCs/>
        </w:rPr>
        <w:t xml:space="preserve">The mechanical basket</w:t>
      </w:r>
      <w:r>
        <w:t xml:space="preserve"> </w:t>
      </w:r>
      <w:r>
        <w:t xml:space="preserve">(ANET in place of APH) and the</w:t>
      </w:r>
      <w:r>
        <w:t xml:space="preserve"> </w:t>
      </w:r>
      <w:r>
        <w:rPr>
          <w:b/>
          <w:bCs/>
        </w:rPr>
        <w:t xml:space="preserve">runners-up</w:t>
      </w:r>
      <w:r>
        <w:t xml:space="preserve"> </w:t>
      </w:r>
      <w:r>
        <w:t xml:space="preserve">(ANET, DELL, MU, VLO, CVE), graded the same way. One window cannot show whether the caps or the override helped, because selection and sector exposure change together. Treat these as descriptive only.</w:t>
      </w:r>
    </w:p>
    <w:p>
      <w:pPr>
        <w:pStyle w:val="Compact"/>
        <w:numPr>
          <w:ilvl w:val="0"/>
          <w:numId w:val="1016"/>
        </w:numPr>
      </w:pPr>
      <w:r>
        <w:rPr>
          <w:b/>
          <w:bCs/>
        </w:rPr>
        <w:t xml:space="preserve">NVDA's report date.</w:t>
      </w:r>
      <w:r>
        <w:t xml:space="preserve"> </w:t>
      </w:r>
      <w:r>
        <w:t xml:space="preserve">Record the actual NVDA and THC report dates. If NVDA reports after Nov 20, note that its in-window catalyst did not happen. An optional Nov 30 re-mark of NVDA is a sensitivity check and never replaces the fixed-window result.</w:t>
      </w:r>
    </w:p>
    <w:p>
      <w:pPr>
        <w:pStyle w:val="FirstParagraph"/>
      </w:pPr>
      <w:r>
        <w:t xml:space="preserve">Running the grading on Mon Nov 23 captures the Nov 20 closing data after options expiration. A grading check is scheduled for that date.</w:t>
      </w:r>
    </w:p>
    <w:bookmarkEnd w:id="126"/>
    <w:bookmarkStart w:id="127" w:name="conclusion"/>
    <w:p>
      <w:pPr>
        <w:pStyle w:val="Heading2"/>
      </w:pPr>
      <w:r>
        <w:t xml:space="preserve">Conclusion</w:t>
      </w:r>
    </w:p>
    <w:p>
      <w:pPr>
        <w:pStyle w:val="FirstParagraph"/>
      </w:pPr>
      <w:r>
        <w:t xml:space="preserve">The main finding is that in this regime the scorecard's two strongest signals point in different directions. Momentum is concentrated in crowded AI hardware, while the cleanest revisions sit in a quiet-catastrophe insurer and a guided-up bank. Neither signal alone makes a risk-aware basket. The theme cap replaces a de facto AI-capex bet with a basket whose business drivers are split across rates (JPM, TRV), hyperscaler capex (NVDA, APH) and health policy (THC). The drivers differ, but the common macro exposure does not: a yield spike hits at least four of the five, and that exposure has not been quantified. The sensitivity test supports treating TRV, JPM and THC as the robust core. The two AI slots are low-confidence choices among four close names.</w:t>
      </w:r>
    </w:p>
    <w:p>
      <w:pPr>
        <w:pStyle w:val="BodyText"/>
      </w:pPr>
      <w:r>
        <w:t xml:space="preserve">The uncomfortable implication is that the Financials leg makes the basket short the Fund Manager Survey's top tail risk, a yield spike. The Oct 13–16 cluster is therefore the first real test of the thesis, well before the AI names report. Given the snippet-only data, the most valuable next step is not more screening. It is a live-data pass that confirms prices, the NVDA and THC dates, and the implied moves, before anyone relies on these rankings.</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8" Target="https://247wallst.com/investing/2026/09/14/ge-vernova-sinks-9-as-glj-research-starts-at-sell-with-470-target-eaton-drops-7-quanta-services-falls-4/" TargetMode="External" /><Relationship Type="http://schemas.openxmlformats.org/officeDocument/2006/relationships/hyperlink" Id="rId116" Target="https://247wallst.com/investing/2026/09/23/iran-offered-to-reopen-the-strait-of-hormuz-these-stocks-could-be-the-biggest-winners/" TargetMode="External" /><Relationship Type="http://schemas.openxmlformats.org/officeDocument/2006/relationships/hyperlink" Id="rId122" Target="https://advantage.factset.com/hubfs/Website/Resources%20Section/Research%20Desk/Earnings%20Insight/EarningsInsight_091126.pdf" TargetMode="External" /><Relationship Type="http://schemas.openxmlformats.org/officeDocument/2006/relationships/hyperlink" Id="rId72" Target="https://alcapitaladvisory.com/research/intelligence/ai-infrastructure.html" TargetMode="External" /><Relationship Type="http://schemas.openxmlformats.org/officeDocument/2006/relationships/hyperlink" Id="rId32" Target="https://articles.stockcharts.com/article/the-best-five-sectors-this-week-sept-21-2026-84/" TargetMode="External" /><Relationship Type="http://schemas.openxmlformats.org/officeDocument/2006/relationships/hyperlink" Id="rId21" Target="https://backtest.substack.com/p/s-and-p-500-near-a-record-high-but" TargetMode="External" /><Relationship Type="http://schemas.openxmlformats.org/officeDocument/2006/relationships/hyperlink" Id="rId34" Target="https://breakingdefense.com/2026/09/house-passes-funding-stopgap-averting-government-shutdown-in-october/" TargetMode="External" /><Relationship Type="http://schemas.openxmlformats.org/officeDocument/2006/relationships/hyperlink" Id="rId87" Target="https://ca.finance.yahoo.com/news/best-strong-buy-momentum-stocks-185700470.html" TargetMode="External" /><Relationship Type="http://schemas.openxmlformats.org/officeDocument/2006/relationships/hyperlink" Id="rId83" Target="https://ca.investing.com/news/earnings/travelers-faces-earnings-test-as-pricing-pressures-mount-93CH-4737774" TargetMode="External" /><Relationship Type="http://schemas.openxmlformats.org/officeDocument/2006/relationships/hyperlink" Id="rId31" Target="https://currentlogic.substack.com/p/the-weekend-summary-sep-21-sep-25" TargetMode="External" /><Relationship Type="http://schemas.openxmlformats.org/officeDocument/2006/relationships/hyperlink" Id="rId12" Target="https://doi.org/10.1111/j.1540-6261.1993.tb04702.x" TargetMode="External" /><Relationship Type="http://schemas.openxmlformats.org/officeDocument/2006/relationships/hyperlink" Id="rId76" Target="https://earningscountdown.com/stock/trv/" TargetMode="External" /><Relationship Type="http://schemas.openxmlformats.org/officeDocument/2006/relationships/hyperlink" Id="rId95" Target="https://easternherald.com/2026/09/24/jpmorgan-chase-jpm-stock-treasury-yields-qia-september-23/" TargetMode="External" /><Relationship Type="http://schemas.openxmlformats.org/officeDocument/2006/relationships/hyperlink" Id="rId79" Target="https://en.wikipedia.org/wiki/2026_Atlantic_hurricane_season" TargetMode="External" /><Relationship Type="http://schemas.openxmlformats.org/officeDocument/2006/relationships/hyperlink" Id="rId100" Target="https://equibles.com/stocks/thc/short-interest" TargetMode="External" /><Relationship Type="http://schemas.openxmlformats.org/officeDocument/2006/relationships/hyperlink" Id="rId24" Target="https://finance.yahoo.com/economy/articles/u-cpi-rose-0-4-123718937.html" TargetMode="External" /><Relationship Type="http://schemas.openxmlformats.org/officeDocument/2006/relationships/hyperlink" Id="rId101" Target="https://finance.yahoo.com/healthcare/articles/tenet-raises-2026-outlook-weathering-101957674.html" TargetMode="External" /><Relationship Type="http://schemas.openxmlformats.org/officeDocument/2006/relationships/hyperlink" Id="rId20" Target="https://finance.yahoo.com/markets/live/stock-market-today-friday-september-25-dow-sp-500-nasdaq-081738529.html" TargetMode="External" /><Relationship Type="http://schemas.openxmlformats.org/officeDocument/2006/relationships/hyperlink" Id="rId92" Target="https://finance.yahoo.com/markets/stocks/articles/amphenol-drops-5-date-buy-164200153.html" TargetMode="External" /><Relationship Type="http://schemas.openxmlformats.org/officeDocument/2006/relationships/hyperlink" Id="rId53" Target="https://finance.yahoo.com/markets/stocks/articles/carnival-ccl-q3-earnings-preview-121502863.html" TargetMode="External" /><Relationship Type="http://schemas.openxmlformats.org/officeDocument/2006/relationships/hyperlink" Id="rId16" Target="https://finance.yahoo.com/markets/stocks/articles/mtum-owns-winners-july-could-191043086.html" TargetMode="External" /><Relationship Type="http://schemas.openxmlformats.org/officeDocument/2006/relationships/hyperlink" Id="rId33" Target="https://finance.yahoo.com/markets/stocks/articles/p-500-enters-historically-strong-192728409.html" TargetMode="External" /><Relationship Type="http://schemas.openxmlformats.org/officeDocument/2006/relationships/hyperlink" Id="rId123" Target="https://finance.yahoo.com/markets/stocks/articles/stock-market-news-aug-28-133400922.html" TargetMode="External" /><Relationship Type="http://schemas.openxmlformats.org/officeDocument/2006/relationships/hyperlink" Id="rId75" Target="https://finance.yahoo.com/markets/stocks/articles/strong-buy-stocks-september-18th-083800743.html" TargetMode="External" /><Relationship Type="http://schemas.openxmlformats.org/officeDocument/2006/relationships/hyperlink" Id="rId57" Target="https://finance.yahoo.com/markets/stocks/articles/travelers-companies-trv-strength-keeps-021103666.html" TargetMode="External" /><Relationship Type="http://schemas.openxmlformats.org/officeDocument/2006/relationships/hyperlink" Id="rId71" Target="https://finance.yahoo.com/news/nvidia-stalls-600-billion-ai-180327124.html" TargetMode="External" /><Relationship Type="http://schemas.openxmlformats.org/officeDocument/2006/relationships/hyperlink" Id="rId29" Target="https://finvaulta.com/research/bank-of-america/global-fund-manager-survey-racing-the-frontier-2026-09-15" TargetMode="External" /><Relationship Type="http://schemas.openxmlformats.org/officeDocument/2006/relationships/hyperlink" Id="rId113" Target="https://home.treasury.gov/news/press-releases/sb0590" TargetMode="External" /><Relationship Type="http://schemas.openxmlformats.org/officeDocument/2006/relationships/hyperlink" Id="rId26" Target="https://insight.factset.com/analysts-increasing-eps-estimates-for-sp-500-companies-for-2nd-straight-quarter" TargetMode="External" /><Relationship Type="http://schemas.openxmlformats.org/officeDocument/2006/relationships/hyperlink" Id="rId78" Target="https://investor.travelers.com/newsroom/press-releases/news-details/2026/Travelers-Schedules-Conference-Call-to-Review-Third-Quarter-2026-Results/default.aspx" TargetMode="External" /><Relationship Type="http://schemas.openxmlformats.org/officeDocument/2006/relationships/hyperlink" Id="rId67" Target="https://investor.tsmc.com/english/quarterly-results/teleconference" TargetMode="External" /><Relationship Type="http://schemas.openxmlformats.org/officeDocument/2006/relationships/hyperlink" Id="rId120" Target="https://invezz.com/news/2026/09/25/oil-slips-to-106-as-us-iran-weigh-phased-deal-to-reopen-strait-of-hormuz/" TargetMode="External" /><Relationship Type="http://schemas.openxmlformats.org/officeDocument/2006/relationships/hyperlink" Id="rId105" Target="https://jrreport.wordandbrown.com/2026/07/28/affordable-care-act-subsidy-cuts-hit-hospitals-hard/" TargetMode="External" /><Relationship Type="http://schemas.openxmlformats.org/officeDocument/2006/relationships/hyperlink" Id="rId124" Target="https://marketwise.com/investing/investing-yield-curve-steepening-2026-what-it-means-stocks-banks-bonds/" TargetMode="External" /><Relationship Type="http://schemas.openxmlformats.org/officeDocument/2006/relationships/hyperlink" Id="rId63" Target="https://nvidianews.nvidia.com/news/nvidia-announces-financial-results-for-second-quarter-fiscal-2027" TargetMode="External" /><Relationship Type="http://schemas.openxmlformats.org/officeDocument/2006/relationships/hyperlink" Id="rId14" Target="https://papers.ssrn.com/abstract=986940" TargetMode="External" /><Relationship Type="http://schemas.openxmlformats.org/officeDocument/2006/relationships/hyperlink" Id="rId15" Target="https://papers.ssrn.com/sol3/papers.cfm?abstract_id=3111607" TargetMode="External" /><Relationship Type="http://schemas.openxmlformats.org/officeDocument/2006/relationships/hyperlink" Id="rId50" Target="https://qz.com/kroger-earnings-same-store-sales-guidance-cut-091126" TargetMode="External" /><Relationship Type="http://schemas.openxmlformats.org/officeDocument/2006/relationships/hyperlink" Id="rId81" Target="https://qz.com/travelers-earnings-profit-catastrophe-losses-investment-income-071726" TargetMode="External" /><Relationship Type="http://schemas.openxmlformats.org/officeDocument/2006/relationships/hyperlink" Id="rId109" Target="https://qz.com/us-china-preferential-trade-deal-select-goods-092526" TargetMode="External" /><Relationship Type="http://schemas.openxmlformats.org/officeDocument/2006/relationships/hyperlink" Id="rId88" Target="https://seekingalpha.com/news/4645447-bnp-paribas-ups-estimates-price-target-on-amphenol-after-management-meeting" TargetMode="External" /><Relationship Type="http://schemas.openxmlformats.org/officeDocument/2006/relationships/hyperlink" Id="rId60" Target="https://stockanalysis.com/stocks/jpm/" TargetMode="External" /><Relationship Type="http://schemas.openxmlformats.org/officeDocument/2006/relationships/hyperlink" Id="rId56" Target="https://stockanalysis.com/stocks/nvda/market-cap/" TargetMode="External" /><Relationship Type="http://schemas.openxmlformats.org/officeDocument/2006/relationships/hyperlink" Id="rId102" Target="https://stockanalysis.com/stocks/thc/" TargetMode="External" /><Relationship Type="http://schemas.openxmlformats.org/officeDocument/2006/relationships/hyperlink" Id="rId117" Target="https://techcrunch.com/2026/09/24/oracle-sends-force-majeure-notice-on-its-new-mexico-stargate-data-center/" TargetMode="External" /><Relationship Type="http://schemas.openxmlformats.org/officeDocument/2006/relationships/hyperlink" Id="rId121" Target="https://traderhq.com/ibd-leaderboard-review-top-growth-stocks-smart-investors/" TargetMode="External" /><Relationship Type="http://schemas.openxmlformats.org/officeDocument/2006/relationships/hyperlink" Id="rId91" Target="https://www.ad-hoc-news.de/boerse/news/corporate-news/amphenol-stock-gains-as-bernstein-sets-a-usd-99-target/70167158" TargetMode="External" /><Relationship Type="http://schemas.openxmlformats.org/officeDocument/2006/relationships/hyperlink" Id="rId52" Target="https://www.ad-hoc-news.de/boerse/news/corporate-news/goldman-sachs-stock-holds-steady-as-morgan-stanley-trims-eps-forecasts/70137017" TargetMode="External" /><Relationship Type="http://schemas.openxmlformats.org/officeDocument/2006/relationships/hyperlink" Id="rId84" Target="https://www.ad-hoc-news.de/boerse/news/corporate-news/travelers-companies-stock-falls-2-23-percent-as-storm-losses-weigh/70167041" TargetMode="External" /><Relationship Type="http://schemas.openxmlformats.org/officeDocument/2006/relationships/hyperlink" Id="rId59" Target="https://www.ad-hoc-news.de/boerse/news/vorboerse/amphenol-corp-stock-heads-into-the-open-after-a-2-79-percent-gain/70181092" TargetMode="External" /><Relationship Type="http://schemas.openxmlformats.org/officeDocument/2006/relationships/hyperlink" Id="rId23" Target="https://www.advisorperspectives.com/dshort/updates/2026/09/16/feds-interest-rate-decision-september-16-2026" TargetMode="External" /><Relationship Type="http://schemas.openxmlformats.org/officeDocument/2006/relationships/hyperlink" Id="rId9" Target="https://www.apolloacademy.com/percentage-of-sp-500-stocks-outperforming-the-index/" TargetMode="External" /><Relationship Type="http://schemas.openxmlformats.org/officeDocument/2006/relationships/hyperlink" Id="rId36" Target="https://www.bea.gov/news/blog/2026-01-07/economic-release-schedule-updates-gdp-personal-income-and-outlays" TargetMode="External" /><Relationship Type="http://schemas.openxmlformats.org/officeDocument/2006/relationships/hyperlink" Id="rId22" Target="https://www.benzinga.com/etfs/broad-u-s-equity-etfs/26/09/61970497/small-caps-2026-rally-hits-a-roadblock-sp-600-falls-below-50-day-moving-average-strategist-says-high-rates-and-weak-consumer-demand-arent-helping" TargetMode="External" /><Relationship Type="http://schemas.openxmlformats.org/officeDocument/2006/relationships/hyperlink" Id="rId17" Target="https://www.benzinga.com/etfs/specialty-etfs/26/05/52414461/momentum-etfs-tumble-as-overcrowded-ai-trade-unwinds-but-goldman-says-history-favors-buying-the-dip" TargetMode="External" /><Relationship Type="http://schemas.openxmlformats.org/officeDocument/2006/relationships/hyperlink" Id="rId48" Target="https://www.benzinga.com/trading-ideas/movers/26/09/62004588/crowdstrike-stock-slides-amid-akamais-11-6-billion-deal" TargetMode="External" /><Relationship Type="http://schemas.openxmlformats.org/officeDocument/2006/relationships/hyperlink" Id="rId96" Target="https://www.bloomberg.com/news/articles/2026-09-14/bofa-ceo-sees-trading-revenue-relatively-flat-in-third-quarter" TargetMode="External" /><Relationship Type="http://schemas.openxmlformats.org/officeDocument/2006/relationships/hyperlink" Id="rId111" Target="https://www.bls.gov/schedule/news_release/current_year.asp" TargetMode="External" /><Relationship Type="http://schemas.openxmlformats.org/officeDocument/2006/relationships/hyperlink" Id="rId103" Target="https://www.businesswire.com/news/home/20250930153706/en/Tenet-to-Report-Its-Third-Quarter-2025-Results-on-October-28th" TargetMode="External" /><Relationship Type="http://schemas.openxmlformats.org/officeDocument/2006/relationships/hyperlink" Id="rId41" Target="https://www.cenovus.com/News-and-Stories/News-releases/2026/3335023" TargetMode="External" /><Relationship Type="http://schemas.openxmlformats.org/officeDocument/2006/relationships/hyperlink" Id="rId25" Target="https://www.cnbc.com/2026/09/24/oil-iran-crude-kepler-trump-us-un-.html" TargetMode="External" /><Relationship Type="http://schemas.openxmlformats.org/officeDocument/2006/relationships/hyperlink" Id="rId73" Target="https://www.cnbc.com/2026/09/24/oracle-data-center-force-majeure.html" TargetMode="External" /><Relationship Type="http://schemas.openxmlformats.org/officeDocument/2006/relationships/hyperlink" Id="rId58" Target="https://www.cnn.com/markets/stocks/APH" TargetMode="External" /><Relationship Type="http://schemas.openxmlformats.org/officeDocument/2006/relationships/hyperlink" Id="rId43" Target="https://www.defenseworld.net/2026/09/26/everpure-nysep-stock-insider-john-colgrove-sells-100000-shares.html" TargetMode="External" /><Relationship Type="http://schemas.openxmlformats.org/officeDocument/2006/relationships/hyperlink" Id="rId86" Target="https://www.ebc.com/forex/amphenol-stock-split-2026-aph-september-3" TargetMode="External" /><Relationship Type="http://schemas.openxmlformats.org/officeDocument/2006/relationships/hyperlink" Id="rId28" Target="https://www.factset.com/earningsinsight" TargetMode="External" /><Relationship Type="http://schemas.openxmlformats.org/officeDocument/2006/relationships/hyperlink" Id="rId35" Target="https://www.financecalendar.com/event/us-gross-domestic-product-october-2026/" TargetMode="External" /><Relationship Type="http://schemas.openxmlformats.org/officeDocument/2006/relationships/hyperlink" Id="rId66" Target="https://www.fool.com/investing/2026/08/31/prediction-this-is-where-nvidia-stock-will-be-when/" TargetMode="External" /><Relationship Type="http://schemas.openxmlformats.org/officeDocument/2006/relationships/hyperlink" Id="rId27" Target="https://www.fool.com/investing/2026/09/22/s-and-p-500-profits-are-on-track-for-a-third-straight-quarter-of-25-growth-the-index-hasn-t-kept-up/" TargetMode="External" /><Relationship Type="http://schemas.openxmlformats.org/officeDocument/2006/relationships/hyperlink" Id="rId46" Target="https://www.globenewswire.com/news-release/2026/08/06/3340797/0/en/globus-medical-reports-second-quarter-2026-results.html" TargetMode="External" /><Relationship Type="http://schemas.openxmlformats.org/officeDocument/2006/relationships/hyperlink" Id="rId110" Target="https://www.globenewswire.com/news-release/2026/08/26/3351673/14450/en/micron-technology-to-report-fiscal-fourth-quarter-results-on-september-30-2026.html" TargetMode="External" /><Relationship Type="http://schemas.openxmlformats.org/officeDocument/2006/relationships/hyperlink" Id="rId98" Target="https://www.gurufocus.com/news/8889897/tenet-healthcare-corp-thc-shares-fall-43-what-gf-score-of-80-tells-investors" TargetMode="External" /><Relationship Type="http://schemas.openxmlformats.org/officeDocument/2006/relationships/hyperlink" Id="rId62" Target="https://www.gurufocus.com/news/9097988/a-look-at-tenet-healthcare-corp-thc-after-41-gain-gf-value-18560-vs-price-25971" TargetMode="External" /><Relationship Type="http://schemas.openxmlformats.org/officeDocument/2006/relationships/hyperlink" Id="rId99" Target="https://www.gurufocus.com/term/forward-pe-ratio/THC" TargetMode="External" /><Relationship Type="http://schemas.openxmlformats.org/officeDocument/2006/relationships/hyperlink" Id="rId106" Target="https://www.healthcaredive.com/news/hca-cuts-2026-earnings-ACA-coverage-losses/825147/" TargetMode="External" /><Relationship Type="http://schemas.openxmlformats.org/officeDocument/2006/relationships/hyperlink" Id="rId104" Target="https://www.healthcaredive.com/news/tenet-expects-250m-hit-loss-aca-subsidies/812014/" TargetMode="External" /><Relationship Type="http://schemas.openxmlformats.org/officeDocument/2006/relationships/hyperlink" Id="rId61" Target="https://www.investing.com/equities/jp-morgan-chase" TargetMode="External" /><Relationship Type="http://schemas.openxmlformats.org/officeDocument/2006/relationships/hyperlink" Id="rId70" Target="https://www.investing.com/equities/nvidia-corp-earnings" TargetMode="External" /><Relationship Type="http://schemas.openxmlformats.org/officeDocument/2006/relationships/hyperlink" Id="rId44" Target="https://www.investing.com/news/analyst-ratings/glj-research-initiates-ge-vernova-stock-with-sell-rating-on-cycle-concerns-93CH-4899091" TargetMode="External" /><Relationship Type="http://schemas.openxmlformats.org/officeDocument/2006/relationships/hyperlink" Id="rId82" Target="https://www.investing.com/news/analyst-ratings/morgan-stanley-downgrades-travelers-stock-rating-on-valuation-concerns-93CH-4792395" TargetMode="External" /><Relationship Type="http://schemas.openxmlformats.org/officeDocument/2006/relationships/hyperlink" Id="rId49" Target="https://www.investing.com/news/insider-trading-news/snowflake-director-frank-slootman-sells-1003-million-in-stock-93CH-4911878" TargetMode="External" /><Relationship Type="http://schemas.openxmlformats.org/officeDocument/2006/relationships/hyperlink" Id="rId94" Target="https://www.jpmorganchase.com/ir/news/2026/jpmc-to-host-third-quarter-2026-earnings-call" TargetMode="External" /><Relationship Type="http://schemas.openxmlformats.org/officeDocument/2006/relationships/hyperlink" Id="rId10" Target="https://www.jstor.org/stable/2329242" TargetMode="External" /><Relationship Type="http://schemas.openxmlformats.org/officeDocument/2006/relationships/hyperlink" Id="rId30" Target="https://www.kucoin.com/news/flash/bofa-survey-53-of-fund-managers-view-longing-semiconductors-as-the-most-crowded-trade" TargetMode="External" /><Relationship Type="http://schemas.openxmlformats.org/officeDocument/2006/relationships/hyperlink" Id="rId47" Target="https://www.macrotrends.net/stocks/charts/VRT/vertiv-holdings/stock-price-history" TargetMode="External" /><Relationship Type="http://schemas.openxmlformats.org/officeDocument/2006/relationships/hyperlink" Id="rId42" Target="https://www.marketbeat.com/instant-alerts/price-everpure-nyse-p-shares-climb-5-following-analyst-upgrade-2026-09-25/" TargetMode="External" /><Relationship Type="http://schemas.openxmlformats.org/officeDocument/2006/relationships/hyperlink" Id="rId45" Target="https://www.marketbeat.com/stocks/NYSE/FIX/forecast/" TargetMode="External" /><Relationship Type="http://schemas.openxmlformats.org/officeDocument/2006/relationships/hyperlink" Id="rId11" Target="https://www.millstreetresearch.com/do-analyst-estimate-revisions-still-help-forecast-relative-stock-returns/" TargetMode="External" /><Relationship Type="http://schemas.openxmlformats.org/officeDocument/2006/relationships/hyperlink" Id="rId39" Target="https://www.nasdaq.com/market-activity/stocks/anet/earnings" TargetMode="External" /><Relationship Type="http://schemas.openxmlformats.org/officeDocument/2006/relationships/hyperlink" Id="rId13" Target="https://www.nber.org/system/files/working_papers/w20439/w20439.pdf" TargetMode="External" /><Relationship Type="http://schemas.openxmlformats.org/officeDocument/2006/relationships/hyperlink" Id="rId89" Target="https://www.optionstradingreport.com/2026/09/aphs-order-book-hit-10-7b-q3-earnings-are-oct-28/" TargetMode="External" /><Relationship Type="http://schemas.openxmlformats.org/officeDocument/2006/relationships/hyperlink" Id="rId64" Target="https://www.sec.gov/Archives/edgar/data/0001045810/000104581026000073/q2fy27pr.htm" TargetMode="External" /><Relationship Type="http://schemas.openxmlformats.org/officeDocument/2006/relationships/hyperlink" Id="rId80" Target="https://www.swissre.com/institute/research/topics-and-risk-dialogues/climate-and-natural-catastrophe-risk/first-half-2026-insured-catastrophe-losses.html" TargetMode="External" /><Relationship Type="http://schemas.openxmlformats.org/officeDocument/2006/relationships/hyperlink" Id="rId19" Target="https://www.thestreet.com/stock-market-today/stock-market-today-dow-jones-sp-500-nasdaq-updates-sept-25-2026" TargetMode="External" /><Relationship Type="http://schemas.openxmlformats.org/officeDocument/2006/relationships/hyperlink" Id="rId40" Target="https://www.tipranks.com/news/why-micron-stock-options-signal-a-10-3-move-after-q4-results" TargetMode="External" /><Relationship Type="http://schemas.openxmlformats.org/officeDocument/2006/relationships/hyperlink" Id="rId90" Target="https://www.tipranks.com/stocks/aph/earnings" TargetMode="External" /><Relationship Type="http://schemas.openxmlformats.org/officeDocument/2006/relationships/hyperlink" Id="rId51" Target="https://www.tradingview.com/news/zacks:a3870c618094b:0-sterling-vs-comfort-systems-which-ai-infrastructure-stock-wins/" TargetMode="External" /><Relationship Type="http://schemas.openxmlformats.org/officeDocument/2006/relationships/hyperlink" Id="rId65" Target="https://www.tradingview.com/news/zacks:ecd994dc1094b:0-nvidia-and-travelzoo-have-been-highlighted-as-zacks-bull-and-bear-of-the-day/" TargetMode="External" /><Relationship Type="http://schemas.openxmlformats.org/officeDocument/2006/relationships/hyperlink" Id="rId77" Target="https://www.tradingview.com/symbols/NYSE-TRV/" TargetMode="External" /><Relationship Type="http://schemas.openxmlformats.org/officeDocument/2006/relationships/hyperlink" Id="rId112" Target="https://www.unitedhealthgroup.com/newsroom/2026/2026-09-15-uhg-announces-q3-earnings-release-date.html" TargetMode="External" /><Relationship Type="http://schemas.openxmlformats.org/officeDocument/2006/relationships/hyperlink" Id="rId114" Target="https://www.usinflationcalculator.com/inflation/consumer-price-index-release-schedule/" TargetMode="External" /><Relationship Type="http://schemas.openxmlformats.org/officeDocument/2006/relationships/hyperlink" Id="rId68" Target="https://www.wallstreethorizon.com/microsoft-earnings-calendar" TargetMode="External" /><Relationship Type="http://schemas.openxmlformats.org/officeDocument/2006/relationships/hyperlink" Id="rId69" Target="https://www.wallstreethorizon.com/nvidia-earnings-calendar" TargetMode="External" /></Relationships>
</file>

<file path=word/_rels/footnotes.xml.rels><?xml version="1.0" encoding="UTF-8"?><Relationships xmlns="http://schemas.openxmlformats.org/package/2006/relationships"><Relationship Type="http://schemas.openxmlformats.org/officeDocument/2006/relationships/hyperlink" Id="rId118" Target="https://247wallst.com/investing/2026/09/14/ge-vernova-sinks-9-as-glj-research-starts-at-sell-with-470-target-eaton-drops-7-quanta-services-falls-4/" TargetMode="External" /><Relationship Type="http://schemas.openxmlformats.org/officeDocument/2006/relationships/hyperlink" Id="rId116" Target="https://247wallst.com/investing/2026/09/23/iran-offered-to-reopen-the-strait-of-hormuz-these-stocks-could-be-the-biggest-winners/" TargetMode="External" /><Relationship Type="http://schemas.openxmlformats.org/officeDocument/2006/relationships/hyperlink" Id="rId122" Target="https://advantage.factset.com/hubfs/Website/Resources%20Section/Research%20Desk/Earnings%20Insight/EarningsInsight_091126.pdf" TargetMode="External" /><Relationship Type="http://schemas.openxmlformats.org/officeDocument/2006/relationships/hyperlink" Id="rId72" Target="https://alcapitaladvisory.com/research/intelligence/ai-infrastructure.html" TargetMode="External" /><Relationship Type="http://schemas.openxmlformats.org/officeDocument/2006/relationships/hyperlink" Id="rId32" Target="https://articles.stockcharts.com/article/the-best-five-sectors-this-week-sept-21-2026-84/" TargetMode="External" /><Relationship Type="http://schemas.openxmlformats.org/officeDocument/2006/relationships/hyperlink" Id="rId21" Target="https://backtest.substack.com/p/s-and-p-500-near-a-record-high-but" TargetMode="External" /><Relationship Type="http://schemas.openxmlformats.org/officeDocument/2006/relationships/hyperlink" Id="rId34" Target="https://breakingdefense.com/2026/09/house-passes-funding-stopgap-averting-government-shutdown-in-october/" TargetMode="External" /><Relationship Type="http://schemas.openxmlformats.org/officeDocument/2006/relationships/hyperlink" Id="rId87" Target="https://ca.finance.yahoo.com/news/best-strong-buy-momentum-stocks-185700470.html" TargetMode="External" /><Relationship Type="http://schemas.openxmlformats.org/officeDocument/2006/relationships/hyperlink" Id="rId83" Target="https://ca.investing.com/news/earnings/travelers-faces-earnings-test-as-pricing-pressures-mount-93CH-4737774" TargetMode="External" /><Relationship Type="http://schemas.openxmlformats.org/officeDocument/2006/relationships/hyperlink" Id="rId31" Target="https://currentlogic.substack.com/p/the-weekend-summary-sep-21-sep-25" TargetMode="External" /><Relationship Type="http://schemas.openxmlformats.org/officeDocument/2006/relationships/hyperlink" Id="rId12" Target="https://doi.org/10.1111/j.1540-6261.1993.tb04702.x" TargetMode="External" /><Relationship Type="http://schemas.openxmlformats.org/officeDocument/2006/relationships/hyperlink" Id="rId76" Target="https://earningscountdown.com/stock/trv/" TargetMode="External" /><Relationship Type="http://schemas.openxmlformats.org/officeDocument/2006/relationships/hyperlink" Id="rId95" Target="https://easternherald.com/2026/09/24/jpmorgan-chase-jpm-stock-treasury-yields-qia-september-23/" TargetMode="External" /><Relationship Type="http://schemas.openxmlformats.org/officeDocument/2006/relationships/hyperlink" Id="rId79" Target="https://en.wikipedia.org/wiki/2026_Atlantic_hurricane_season" TargetMode="External" /><Relationship Type="http://schemas.openxmlformats.org/officeDocument/2006/relationships/hyperlink" Id="rId100" Target="https://equibles.com/stocks/thc/short-interest" TargetMode="External" /><Relationship Type="http://schemas.openxmlformats.org/officeDocument/2006/relationships/hyperlink" Id="rId24" Target="https://finance.yahoo.com/economy/articles/u-cpi-rose-0-4-123718937.html" TargetMode="External" /><Relationship Type="http://schemas.openxmlformats.org/officeDocument/2006/relationships/hyperlink" Id="rId101" Target="https://finance.yahoo.com/healthcare/articles/tenet-raises-2026-outlook-weathering-101957674.html" TargetMode="External" /><Relationship Type="http://schemas.openxmlformats.org/officeDocument/2006/relationships/hyperlink" Id="rId20" Target="https://finance.yahoo.com/markets/live/stock-market-today-friday-september-25-dow-sp-500-nasdaq-081738529.html" TargetMode="External" /><Relationship Type="http://schemas.openxmlformats.org/officeDocument/2006/relationships/hyperlink" Id="rId92" Target="https://finance.yahoo.com/markets/stocks/articles/amphenol-drops-5-date-buy-164200153.html" TargetMode="External" /><Relationship Type="http://schemas.openxmlformats.org/officeDocument/2006/relationships/hyperlink" Id="rId53" Target="https://finance.yahoo.com/markets/stocks/articles/carnival-ccl-q3-earnings-preview-121502863.html" TargetMode="External" /><Relationship Type="http://schemas.openxmlformats.org/officeDocument/2006/relationships/hyperlink" Id="rId16" Target="https://finance.yahoo.com/markets/stocks/articles/mtum-owns-winners-july-could-191043086.html" TargetMode="External" /><Relationship Type="http://schemas.openxmlformats.org/officeDocument/2006/relationships/hyperlink" Id="rId33" Target="https://finance.yahoo.com/markets/stocks/articles/p-500-enters-historically-strong-192728409.html" TargetMode="External" /><Relationship Type="http://schemas.openxmlformats.org/officeDocument/2006/relationships/hyperlink" Id="rId123" Target="https://finance.yahoo.com/markets/stocks/articles/stock-market-news-aug-28-133400922.html" TargetMode="External" /><Relationship Type="http://schemas.openxmlformats.org/officeDocument/2006/relationships/hyperlink" Id="rId75" Target="https://finance.yahoo.com/markets/stocks/articles/strong-buy-stocks-september-18th-083800743.html" TargetMode="External" /><Relationship Type="http://schemas.openxmlformats.org/officeDocument/2006/relationships/hyperlink" Id="rId57" Target="https://finance.yahoo.com/markets/stocks/articles/travelers-companies-trv-strength-keeps-021103666.html" TargetMode="External" /><Relationship Type="http://schemas.openxmlformats.org/officeDocument/2006/relationships/hyperlink" Id="rId71" Target="https://finance.yahoo.com/news/nvidia-stalls-600-billion-ai-180327124.html" TargetMode="External" /><Relationship Type="http://schemas.openxmlformats.org/officeDocument/2006/relationships/hyperlink" Id="rId29" Target="https://finvaulta.com/research/bank-of-america/global-fund-manager-survey-racing-the-frontier-2026-09-15" TargetMode="External" /><Relationship Type="http://schemas.openxmlformats.org/officeDocument/2006/relationships/hyperlink" Id="rId113" Target="https://home.treasury.gov/news/press-releases/sb0590" TargetMode="External" /><Relationship Type="http://schemas.openxmlformats.org/officeDocument/2006/relationships/hyperlink" Id="rId26" Target="https://insight.factset.com/analysts-increasing-eps-estimates-for-sp-500-companies-for-2nd-straight-quarter" TargetMode="External" /><Relationship Type="http://schemas.openxmlformats.org/officeDocument/2006/relationships/hyperlink" Id="rId78" Target="https://investor.travelers.com/newsroom/press-releases/news-details/2026/Travelers-Schedules-Conference-Call-to-Review-Third-Quarter-2026-Results/default.aspx" TargetMode="External" /><Relationship Type="http://schemas.openxmlformats.org/officeDocument/2006/relationships/hyperlink" Id="rId67" Target="https://investor.tsmc.com/english/quarterly-results/teleconference" TargetMode="External" /><Relationship Type="http://schemas.openxmlformats.org/officeDocument/2006/relationships/hyperlink" Id="rId120" Target="https://invezz.com/news/2026/09/25/oil-slips-to-106-as-us-iran-weigh-phased-deal-to-reopen-strait-of-hormuz/" TargetMode="External" /><Relationship Type="http://schemas.openxmlformats.org/officeDocument/2006/relationships/hyperlink" Id="rId105" Target="https://jrreport.wordandbrown.com/2026/07/28/affordable-care-act-subsidy-cuts-hit-hospitals-hard/" TargetMode="External" /><Relationship Type="http://schemas.openxmlformats.org/officeDocument/2006/relationships/hyperlink" Id="rId124" Target="https://marketwise.com/investing/investing-yield-curve-steepening-2026-what-it-means-stocks-banks-bonds/" TargetMode="External" /><Relationship Type="http://schemas.openxmlformats.org/officeDocument/2006/relationships/hyperlink" Id="rId63" Target="https://nvidianews.nvidia.com/news/nvidia-announces-financial-results-for-second-quarter-fiscal-2027" TargetMode="External" /><Relationship Type="http://schemas.openxmlformats.org/officeDocument/2006/relationships/hyperlink" Id="rId14" Target="https://papers.ssrn.com/abstract=986940" TargetMode="External" /><Relationship Type="http://schemas.openxmlformats.org/officeDocument/2006/relationships/hyperlink" Id="rId15" Target="https://papers.ssrn.com/sol3/papers.cfm?abstract_id=3111607" TargetMode="External" /><Relationship Type="http://schemas.openxmlformats.org/officeDocument/2006/relationships/hyperlink" Id="rId50" Target="https://qz.com/kroger-earnings-same-store-sales-guidance-cut-091126" TargetMode="External" /><Relationship Type="http://schemas.openxmlformats.org/officeDocument/2006/relationships/hyperlink" Id="rId81" Target="https://qz.com/travelers-earnings-profit-catastrophe-losses-investment-income-071726" TargetMode="External" /><Relationship Type="http://schemas.openxmlformats.org/officeDocument/2006/relationships/hyperlink" Id="rId109" Target="https://qz.com/us-china-preferential-trade-deal-select-goods-092526" TargetMode="External" /><Relationship Type="http://schemas.openxmlformats.org/officeDocument/2006/relationships/hyperlink" Id="rId88" Target="https://seekingalpha.com/news/4645447-bnp-paribas-ups-estimates-price-target-on-amphenol-after-management-meeting" TargetMode="External" /><Relationship Type="http://schemas.openxmlformats.org/officeDocument/2006/relationships/hyperlink" Id="rId60" Target="https://stockanalysis.com/stocks/jpm/" TargetMode="External" /><Relationship Type="http://schemas.openxmlformats.org/officeDocument/2006/relationships/hyperlink" Id="rId56" Target="https://stockanalysis.com/stocks/nvda/market-cap/" TargetMode="External" /><Relationship Type="http://schemas.openxmlformats.org/officeDocument/2006/relationships/hyperlink" Id="rId102" Target="https://stockanalysis.com/stocks/thc/" TargetMode="External" /><Relationship Type="http://schemas.openxmlformats.org/officeDocument/2006/relationships/hyperlink" Id="rId117" Target="https://techcrunch.com/2026/09/24/oracle-sends-force-majeure-notice-on-its-new-mexico-stargate-data-center/" TargetMode="External" /><Relationship Type="http://schemas.openxmlformats.org/officeDocument/2006/relationships/hyperlink" Id="rId121" Target="https://traderhq.com/ibd-leaderboard-review-top-growth-stocks-smart-investors/" TargetMode="External" /><Relationship Type="http://schemas.openxmlformats.org/officeDocument/2006/relationships/hyperlink" Id="rId91" Target="https://www.ad-hoc-news.de/boerse/news/corporate-news/amphenol-stock-gains-as-bernstein-sets-a-usd-99-target/70167158" TargetMode="External" /><Relationship Type="http://schemas.openxmlformats.org/officeDocument/2006/relationships/hyperlink" Id="rId52" Target="https://www.ad-hoc-news.de/boerse/news/corporate-news/goldman-sachs-stock-holds-steady-as-morgan-stanley-trims-eps-forecasts/70137017" TargetMode="External" /><Relationship Type="http://schemas.openxmlformats.org/officeDocument/2006/relationships/hyperlink" Id="rId84" Target="https://www.ad-hoc-news.de/boerse/news/corporate-news/travelers-companies-stock-falls-2-23-percent-as-storm-losses-weigh/70167041" TargetMode="External" /><Relationship Type="http://schemas.openxmlformats.org/officeDocument/2006/relationships/hyperlink" Id="rId59" Target="https://www.ad-hoc-news.de/boerse/news/vorboerse/amphenol-corp-stock-heads-into-the-open-after-a-2-79-percent-gain/70181092" TargetMode="External" /><Relationship Type="http://schemas.openxmlformats.org/officeDocument/2006/relationships/hyperlink" Id="rId23" Target="https://www.advisorperspectives.com/dshort/updates/2026/09/16/feds-interest-rate-decision-september-16-2026" TargetMode="External" /><Relationship Type="http://schemas.openxmlformats.org/officeDocument/2006/relationships/hyperlink" Id="rId9" Target="https://www.apolloacademy.com/percentage-of-sp-500-stocks-outperforming-the-index/" TargetMode="External" /><Relationship Type="http://schemas.openxmlformats.org/officeDocument/2006/relationships/hyperlink" Id="rId36" Target="https://www.bea.gov/news/blog/2026-01-07/economic-release-schedule-updates-gdp-personal-income-and-outlays" TargetMode="External" /><Relationship Type="http://schemas.openxmlformats.org/officeDocument/2006/relationships/hyperlink" Id="rId22" Target="https://www.benzinga.com/etfs/broad-u-s-equity-etfs/26/09/61970497/small-caps-2026-rally-hits-a-roadblock-sp-600-falls-below-50-day-moving-average-strategist-says-high-rates-and-weak-consumer-demand-arent-helping" TargetMode="External" /><Relationship Type="http://schemas.openxmlformats.org/officeDocument/2006/relationships/hyperlink" Id="rId17" Target="https://www.benzinga.com/etfs/specialty-etfs/26/05/52414461/momentum-etfs-tumble-as-overcrowded-ai-trade-unwinds-but-goldman-says-history-favors-buying-the-dip" TargetMode="External" /><Relationship Type="http://schemas.openxmlformats.org/officeDocument/2006/relationships/hyperlink" Id="rId48" Target="https://www.benzinga.com/trading-ideas/movers/26/09/62004588/crowdstrike-stock-slides-amid-akamais-11-6-billion-deal" TargetMode="External" /><Relationship Type="http://schemas.openxmlformats.org/officeDocument/2006/relationships/hyperlink" Id="rId96" Target="https://www.bloomberg.com/news/articles/2026-09-14/bofa-ceo-sees-trading-revenue-relatively-flat-in-third-quarter" TargetMode="External" /><Relationship Type="http://schemas.openxmlformats.org/officeDocument/2006/relationships/hyperlink" Id="rId111" Target="https://www.bls.gov/schedule/news_release/current_year.asp" TargetMode="External" /><Relationship Type="http://schemas.openxmlformats.org/officeDocument/2006/relationships/hyperlink" Id="rId103" Target="https://www.businesswire.com/news/home/20250930153706/en/Tenet-to-Report-Its-Third-Quarter-2025-Results-on-October-28th" TargetMode="External" /><Relationship Type="http://schemas.openxmlformats.org/officeDocument/2006/relationships/hyperlink" Id="rId41" Target="https://www.cenovus.com/News-and-Stories/News-releases/2026/3335023" TargetMode="External" /><Relationship Type="http://schemas.openxmlformats.org/officeDocument/2006/relationships/hyperlink" Id="rId25" Target="https://www.cnbc.com/2026/09/24/oil-iran-crude-kepler-trump-us-un-.html" TargetMode="External" /><Relationship Type="http://schemas.openxmlformats.org/officeDocument/2006/relationships/hyperlink" Id="rId73" Target="https://www.cnbc.com/2026/09/24/oracle-data-center-force-majeure.html" TargetMode="External" /><Relationship Type="http://schemas.openxmlformats.org/officeDocument/2006/relationships/hyperlink" Id="rId58" Target="https://www.cnn.com/markets/stocks/APH" TargetMode="External" /><Relationship Type="http://schemas.openxmlformats.org/officeDocument/2006/relationships/hyperlink" Id="rId43" Target="https://www.defenseworld.net/2026/09/26/everpure-nysep-stock-insider-john-colgrove-sells-100000-shares.html" TargetMode="External" /><Relationship Type="http://schemas.openxmlformats.org/officeDocument/2006/relationships/hyperlink" Id="rId86" Target="https://www.ebc.com/forex/amphenol-stock-split-2026-aph-september-3" TargetMode="External" /><Relationship Type="http://schemas.openxmlformats.org/officeDocument/2006/relationships/hyperlink" Id="rId28" Target="https://www.factset.com/earningsinsight" TargetMode="External" /><Relationship Type="http://schemas.openxmlformats.org/officeDocument/2006/relationships/hyperlink" Id="rId35" Target="https://www.financecalendar.com/event/us-gross-domestic-product-october-2026/" TargetMode="External" /><Relationship Type="http://schemas.openxmlformats.org/officeDocument/2006/relationships/hyperlink" Id="rId66" Target="https://www.fool.com/investing/2026/08/31/prediction-this-is-where-nvidia-stock-will-be-when/" TargetMode="External" /><Relationship Type="http://schemas.openxmlformats.org/officeDocument/2006/relationships/hyperlink" Id="rId27" Target="https://www.fool.com/investing/2026/09/22/s-and-p-500-profits-are-on-track-for-a-third-straight-quarter-of-25-growth-the-index-hasn-t-kept-up/" TargetMode="External" /><Relationship Type="http://schemas.openxmlformats.org/officeDocument/2006/relationships/hyperlink" Id="rId46" Target="https://www.globenewswire.com/news-release/2026/08/06/3340797/0/en/globus-medical-reports-second-quarter-2026-results.html" TargetMode="External" /><Relationship Type="http://schemas.openxmlformats.org/officeDocument/2006/relationships/hyperlink" Id="rId110" Target="https://www.globenewswire.com/news-release/2026/08/26/3351673/14450/en/micron-technology-to-report-fiscal-fourth-quarter-results-on-september-30-2026.html" TargetMode="External" /><Relationship Type="http://schemas.openxmlformats.org/officeDocument/2006/relationships/hyperlink" Id="rId98" Target="https://www.gurufocus.com/news/8889897/tenet-healthcare-corp-thc-shares-fall-43-what-gf-score-of-80-tells-investors" TargetMode="External" /><Relationship Type="http://schemas.openxmlformats.org/officeDocument/2006/relationships/hyperlink" Id="rId62" Target="https://www.gurufocus.com/news/9097988/a-look-at-tenet-healthcare-corp-thc-after-41-gain-gf-value-18560-vs-price-25971" TargetMode="External" /><Relationship Type="http://schemas.openxmlformats.org/officeDocument/2006/relationships/hyperlink" Id="rId99" Target="https://www.gurufocus.com/term/forward-pe-ratio/THC" TargetMode="External" /><Relationship Type="http://schemas.openxmlformats.org/officeDocument/2006/relationships/hyperlink" Id="rId106" Target="https://www.healthcaredive.com/news/hca-cuts-2026-earnings-ACA-coverage-losses/825147/" TargetMode="External" /><Relationship Type="http://schemas.openxmlformats.org/officeDocument/2006/relationships/hyperlink" Id="rId104" Target="https://www.healthcaredive.com/news/tenet-expects-250m-hit-loss-aca-subsidies/812014/" TargetMode="External" /><Relationship Type="http://schemas.openxmlformats.org/officeDocument/2006/relationships/hyperlink" Id="rId61" Target="https://www.investing.com/equities/jp-morgan-chase" TargetMode="External" /><Relationship Type="http://schemas.openxmlformats.org/officeDocument/2006/relationships/hyperlink" Id="rId70" Target="https://www.investing.com/equities/nvidia-corp-earnings" TargetMode="External" /><Relationship Type="http://schemas.openxmlformats.org/officeDocument/2006/relationships/hyperlink" Id="rId44" Target="https://www.investing.com/news/analyst-ratings/glj-research-initiates-ge-vernova-stock-with-sell-rating-on-cycle-concerns-93CH-4899091" TargetMode="External" /><Relationship Type="http://schemas.openxmlformats.org/officeDocument/2006/relationships/hyperlink" Id="rId82" Target="https://www.investing.com/news/analyst-ratings/morgan-stanley-downgrades-travelers-stock-rating-on-valuation-concerns-93CH-4792395" TargetMode="External" /><Relationship Type="http://schemas.openxmlformats.org/officeDocument/2006/relationships/hyperlink" Id="rId49" Target="https://www.investing.com/news/insider-trading-news/snowflake-director-frank-slootman-sells-1003-million-in-stock-93CH-4911878" TargetMode="External" /><Relationship Type="http://schemas.openxmlformats.org/officeDocument/2006/relationships/hyperlink" Id="rId94" Target="https://www.jpmorganchase.com/ir/news/2026/jpmc-to-host-third-quarter-2026-earnings-call" TargetMode="External" /><Relationship Type="http://schemas.openxmlformats.org/officeDocument/2006/relationships/hyperlink" Id="rId10" Target="https://www.jstor.org/stable/2329242" TargetMode="External" /><Relationship Type="http://schemas.openxmlformats.org/officeDocument/2006/relationships/hyperlink" Id="rId30" Target="https://www.kucoin.com/news/flash/bofa-survey-53-of-fund-managers-view-longing-semiconductors-as-the-most-crowded-trade" TargetMode="External" /><Relationship Type="http://schemas.openxmlformats.org/officeDocument/2006/relationships/hyperlink" Id="rId47" Target="https://www.macrotrends.net/stocks/charts/VRT/vertiv-holdings/stock-price-history" TargetMode="External" /><Relationship Type="http://schemas.openxmlformats.org/officeDocument/2006/relationships/hyperlink" Id="rId42" Target="https://www.marketbeat.com/instant-alerts/price-everpure-nyse-p-shares-climb-5-following-analyst-upgrade-2026-09-25/" TargetMode="External" /><Relationship Type="http://schemas.openxmlformats.org/officeDocument/2006/relationships/hyperlink" Id="rId45" Target="https://www.marketbeat.com/stocks/NYSE/FIX/forecast/" TargetMode="External" /><Relationship Type="http://schemas.openxmlformats.org/officeDocument/2006/relationships/hyperlink" Id="rId11" Target="https://www.millstreetresearch.com/do-analyst-estimate-revisions-still-help-forecast-relative-stock-returns/" TargetMode="External" /><Relationship Type="http://schemas.openxmlformats.org/officeDocument/2006/relationships/hyperlink" Id="rId39" Target="https://www.nasdaq.com/market-activity/stocks/anet/earnings" TargetMode="External" /><Relationship Type="http://schemas.openxmlformats.org/officeDocument/2006/relationships/hyperlink" Id="rId13" Target="https://www.nber.org/system/files/working_papers/w20439/w20439.pdf" TargetMode="External" /><Relationship Type="http://schemas.openxmlformats.org/officeDocument/2006/relationships/hyperlink" Id="rId89" Target="https://www.optionstradingreport.com/2026/09/aphs-order-book-hit-10-7b-q3-earnings-are-oct-28/" TargetMode="External" /><Relationship Type="http://schemas.openxmlformats.org/officeDocument/2006/relationships/hyperlink" Id="rId64" Target="https://www.sec.gov/Archives/edgar/data/0001045810/000104581026000073/q2fy27pr.htm" TargetMode="External" /><Relationship Type="http://schemas.openxmlformats.org/officeDocument/2006/relationships/hyperlink" Id="rId80" Target="https://www.swissre.com/institute/research/topics-and-risk-dialogues/climate-and-natural-catastrophe-risk/first-half-2026-insured-catastrophe-losses.html" TargetMode="External" /><Relationship Type="http://schemas.openxmlformats.org/officeDocument/2006/relationships/hyperlink" Id="rId19" Target="https://www.thestreet.com/stock-market-today/stock-market-today-dow-jones-sp-500-nasdaq-updates-sept-25-2026" TargetMode="External" /><Relationship Type="http://schemas.openxmlformats.org/officeDocument/2006/relationships/hyperlink" Id="rId40" Target="https://www.tipranks.com/news/why-micron-stock-options-signal-a-10-3-move-after-q4-results" TargetMode="External" /><Relationship Type="http://schemas.openxmlformats.org/officeDocument/2006/relationships/hyperlink" Id="rId90" Target="https://www.tipranks.com/stocks/aph/earnings" TargetMode="External" /><Relationship Type="http://schemas.openxmlformats.org/officeDocument/2006/relationships/hyperlink" Id="rId51" Target="https://www.tradingview.com/news/zacks:a3870c618094b:0-sterling-vs-comfort-systems-which-ai-infrastructure-stock-wins/" TargetMode="External" /><Relationship Type="http://schemas.openxmlformats.org/officeDocument/2006/relationships/hyperlink" Id="rId65" Target="https://www.tradingview.com/news/zacks:ecd994dc1094b:0-nvidia-and-travelzoo-have-been-highlighted-as-zacks-bull-and-bear-of-the-day/" TargetMode="External" /><Relationship Type="http://schemas.openxmlformats.org/officeDocument/2006/relationships/hyperlink" Id="rId77" Target="https://www.tradingview.com/symbols/NYSE-TRV/" TargetMode="External" /><Relationship Type="http://schemas.openxmlformats.org/officeDocument/2006/relationships/hyperlink" Id="rId112" Target="https://www.unitedhealthgroup.com/newsroom/2026/2026-09-15-uhg-announces-q3-earnings-release-date.html" TargetMode="External" /><Relationship Type="http://schemas.openxmlformats.org/officeDocument/2006/relationships/hyperlink" Id="rId114" Target="https://www.usinflationcalculator.com/inflation/consumer-price-index-release-schedule/" TargetMode="External" /><Relationship Type="http://schemas.openxmlformats.org/officeDocument/2006/relationships/hyperlink" Id="rId68" Target="https://www.wallstreethorizon.com/microsoft-earnings-calendar" TargetMode="External" /><Relationship Type="http://schemas.openxmlformats.org/officeDocument/2006/relationships/hyperlink" Id="rId69" Target="https://www.wallstreethorizon.com/nvidia-earnings-calend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2026-09-27T23:02:52Z</dcterms:created>
  <dcterms:modified xsi:type="dcterms:W3CDTF">2026-09-27T23:02:52Z</dcterms:modified>
</cp:coreProperties>
</file>

<file path=docProps/custom.xml><?xml version="1.0" encoding="utf-8"?>
<Properties xmlns="http://schemas.openxmlformats.org/officeDocument/2006/custom-properties" xmlns:vt="http://schemas.openxmlformats.org/officeDocument/2006/docPropsVTypes"/>
</file>