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READ FIRST</w:t>
      </w:r>
    </w:p>
    <w:p>
      <w:pPr>
        <w:jc w:val="center"/>
      </w:pPr>
      <w:r>
        <w:rPr>
          <w:rFonts w:ascii="Arial" w:hAnsi="Arial"/>
          <w:b/>
          <w:sz w:val="22"/>
        </w:rPr>
        <w:t>Jason Manuel - Houston AutoAppeal™ IQ 200 Assignment Package</w:t>
      </w:r>
    </w:p>
    <w:p/>
    <w:p>
      <w:pPr>
        <w:pStyle w:val="Heading1"/>
      </w:pPr>
      <w:r>
        <w:t>Package Purpose</w:t>
      </w:r>
    </w:p>
    <w:p>
      <w:r>
        <w:t>This package converts Jason Manuel’s accepted Houston AutoAppeal™ assignment into an executable operator deployment system. It is designed for immediate action, Founder oversight, and Red Vault™ controlled execution.</w:t>
      </w:r>
    </w:p>
    <w:p>
      <w:pPr>
        <w:pStyle w:val="Heading1"/>
      </w:pPr>
      <w:r>
        <w:t>Execution Order</w:t>
      </w:r>
    </w:p>
    <w:p>
      <w:pPr>
        <w:pStyle w:val="ListNumber"/>
      </w:pPr>
      <w:r>
        <w:t>Confirm DocuSign completion and archive final executed agreement.</w:t>
      </w:r>
    </w:p>
    <w:p>
      <w:pPr>
        <w:pStyle w:val="ListNumber"/>
      </w:pPr>
      <w:r>
        <w:t>Complete treasury activation and payment verification.</w:t>
      </w:r>
    </w:p>
    <w:p>
      <w:pPr>
        <w:pStyle w:val="ListNumber"/>
      </w:pPr>
      <w:r>
        <w:t>Validate .card deployment credential and master code.</w:t>
      </w:r>
    </w:p>
    <w:p>
      <w:pPr>
        <w:pStyle w:val="ListNumber"/>
      </w:pPr>
      <w:r>
        <w:t>Assign Houston environment, repositories, and approved permissions.</w:t>
      </w:r>
    </w:p>
    <w:p>
      <w:pPr>
        <w:pStyle w:val="ListNumber"/>
      </w:pPr>
      <w:r>
        <w:t>Build or configure intake funnel, citation upload flow, countdown logic, and SMS/email escalation.</w:t>
      </w:r>
    </w:p>
    <w:p>
      <w:pPr>
        <w:pStyle w:val="ListNumber"/>
      </w:pPr>
      <w:r>
        <w:t>Connect Founder Dashboard™ controls.</w:t>
      </w:r>
    </w:p>
    <w:p>
      <w:pPr>
        <w:pStyle w:val="ListNumber"/>
      </w:pPr>
      <w:r>
        <w:t>Run Red Vault™ compliance, security, and operational QA.</w:t>
      </w:r>
    </w:p>
    <w:p>
      <w:pPr>
        <w:pStyle w:val="ListNumber"/>
      </w:pPr>
      <w:r>
        <w:t>Complete launch readiness review and Founder approval.</w:t>
      </w:r>
    </w:p>
    <w:p>
      <w:pPr>
        <w:pStyle w:val="Heading1"/>
      </w:pPr>
      <w:r>
        <w:t>IQ 200 Standard</w:t>
      </w:r>
    </w:p>
    <w:p>
      <w:pPr>
        <w:pStyle w:val="ListBullet"/>
      </w:pPr>
      <w:r>
        <w:t>Clear ownership boundaries.</w:t>
      </w:r>
    </w:p>
    <w:p>
      <w:pPr>
        <w:pStyle w:val="ListBullet"/>
      </w:pPr>
      <w:r>
        <w:t>No undocumented build changes.</w:t>
      </w:r>
    </w:p>
    <w:p>
      <w:pPr>
        <w:pStyle w:val="ListBullet"/>
      </w:pPr>
      <w:r>
        <w:t>Every deployment item has an owner, acceptance standard, and Founder approval gate.</w:t>
      </w:r>
    </w:p>
    <w:p>
      <w:pPr>
        <w:pStyle w:val="ListBullet"/>
      </w:pPr>
      <w:r>
        <w:t>Countdown urgency and jurisdiction-aware deadline logic are mandatory.</w:t>
      </w:r>
    </w:p>
    <w:p>
      <w:pPr>
        <w:pStyle w:val="ListBullet"/>
      </w:pPr>
      <w:r>
        <w:t>No compensation eligibility until treasury compliance is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Founder Controlled - Jason Manuel Assignment Package - May 9,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LAGNAF™ network LLC | AutoAppeal™ Houston | IQ 200 Operator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