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Aptos" w:cs="Aptos" w:eastAsia="Aptos" w:hAnsi="Aptos"/>
          <w:b/>
          <w:bCs/>
          <w:color w:val="1F2A44"/>
          <w:sz w:val="52"/>
          <w:szCs w:val="52"/>
        </w:rPr>
        <w:t xml:space="preserve">AISI Model v2.0</w:t>
      </w:r>
    </w:p>
    <w:p>
      <w:pPr>
        <w:spacing w:after="100"/>
      </w:pPr>
      <w:r>
        <w:rPr>
          <w:rFonts w:ascii="Aptos" w:cs="Aptos" w:eastAsia="Aptos" w:hAnsi="Aptos"/>
          <w:b/>
          <w:bCs/>
          <w:color w:val="1F2A44"/>
          <w:sz w:val="26"/>
          <w:szCs w:val="26"/>
        </w:rPr>
        <w:t xml:space="preserve">A2A Protocol Specification</w:t>
      </w:r>
    </w:p>
    <w:p>
      <w:pPr>
        <w:spacing w:after="120"/>
      </w:pPr>
      <w:r>
        <w:rPr>
          <w:rFonts w:ascii="Aptos" w:cs="Aptos" w:eastAsia="Aptos" w:hAnsi="Aptos"/>
          <w:color w:val="5B6475"/>
          <w:sz w:val="21"/>
          <w:szCs w:val="21"/>
        </w:rPr>
        <w:t xml:space="preserve">Agent Cards and the AISI manifest, MCP server metadata, behavioral contracts, authentication and authorization, graduated oversight</w:t>
      </w:r>
    </w:p>
    <w:p>
      <w:pPr>
        <w:spacing w:after="360"/>
      </w:pPr>
      <w:r>
        <w:rPr>
          <w:rFonts w:ascii="Aptos" w:cs="Aptos" w:eastAsia="Aptos" w:hAnsi="Aptos"/>
          <w:color w:val="5B6475"/>
          <w:sz w:val="17"/>
          <w:szCs w:val="17"/>
        </w:rPr>
        <w:t xml:space="preserve">Copyright 2026 Jason Robbins. Licensed under the Apache License, Version 2.0; see the LICENSE and NOTICE files in the repository. Adaptations and forks must not imply the author's endorsement.</w:t>
      </w:r>
    </w:p>
    <w:p>
      <w:pPr>
        <w:spacing w:after="240" w:before="60" w:line="276"/>
      </w:pPr>
      <w:r>
        <w:rPr>
          <w:rFonts w:ascii="Aptos" w:cs="Aptos" w:eastAsia="Aptos" w:hAnsi="Aptos"/>
          <w:sz w:val="21"/>
          <w:szCs w:val="21"/>
        </w:rPr>
        <w:t xml:space="preserve">The implementer's companion. The core document defines the seven layers, the two boundaries and the six-phase trust sequence; this one gives the detail needed to build to it: what an Agent Card and its AISI manifest carry, the terms that make up a behavioral contract, the authentication and authorization mechanisms that secure agent-to-agent and agent-to-tool channels over the Agent2Agent (A2A) protocol and the Model Context Protocol (MCP), and the four oversight levels and the hold response. It is a profile over those two protocols: it relies on what they define and adds what they leave to you.</w:t>
      </w:r>
    </w:p>
    <w:p>
      <w:pPr>
        <w:pStyle w:val="Heading1"/>
        <w:keepNext/>
        <w:spacing w:after="160" w:before="360"/>
      </w:pPr>
      <w:r>
        <w:rPr>
          <w:rFonts w:ascii="Aptos" w:cs="Aptos" w:eastAsia="Aptos" w:hAnsi="Aptos"/>
        </w:rPr>
        <w:t xml:space="preserve">How to Use This Document</w:t>
      </w:r>
    </w:p>
    <w:p>
      <w:pPr>
        <w:spacing w:after="140" w:line="276"/>
      </w:pPr>
      <w:r>
        <w:rPr>
          <w:rFonts w:ascii="Aptos" w:cs="Aptos" w:eastAsia="Aptos" w:hAnsi="Aptos"/>
          <w:sz w:val="21"/>
          <w:szCs w:val="21"/>
        </w:rPr>
        <w:t xml:space="preserve">The Baseline Controls define what has to be in place for production and who builds it; this document says what the artifacts look like. The Security Reference maps the threats these mechanisms defend against. The Implementation Guide shows how to stand them up on Kubernetes-native infrastructure. Where a mechanism here is enforced by a baseline control, the control ID is given so the two stay in step.</w:t>
      </w:r>
    </w:p>
    <w:p>
      <w:pPr>
        <w:pStyle w:val="Heading2"/>
        <w:keepNext/>
        <w:spacing w:after="120" w:before="260"/>
      </w:pPr>
      <w:r>
        <w:rPr>
          <w:rFonts w:ascii="Aptos" w:cs="Aptos" w:eastAsia="Aptos" w:hAnsi="Aptos"/>
        </w:rPr>
        <w:t xml:space="preserve">Before You Start</w:t>
      </w:r>
    </w:p>
    <w:p>
      <w:pPr>
        <w:spacing w:after="140" w:line="276"/>
      </w:pPr>
      <w:r>
        <w:rPr>
          <w:rFonts w:ascii="Aptos" w:cs="Aptos" w:eastAsia="Aptos" w:hAnsi="Aptos"/>
          <w:sz w:val="21"/>
          <w:szCs w:val="21"/>
        </w:rPr>
        <w:t xml:space="preserve">The AISI Model is a reference architecture, not a standard, a regulation or a compliance requirement. It carries no force of law and no certification authority. Everything here is a starting point your organization has to adapt to its own infrastructure, threat model, risk posture and regulatory obligations. Field names, schemas and examples are reference material, not a wire format anyone has to adopt verbatim. Where this document references regulatory frameworks, those references are informational mappings; consult qualified legal, security and compliance professionals for decisions specific to your environment.</w:t>
      </w:r>
    </w:p>
    <w:p>
      <w:pPr>
        <w:pStyle w:val="Heading2"/>
        <w:keepNext/>
        <w:spacing w:after="120" w:before="260"/>
      </w:pPr>
      <w:r>
        <w:rPr>
          <w:rFonts w:ascii="Aptos" w:cs="Aptos" w:eastAsia="Aptos" w:hAnsi="Aptos"/>
        </w:rPr>
        <w:t xml:space="preserve">Scope: Agents and Tools</w:t>
      </w:r>
    </w:p>
    <w:p>
      <w:pPr>
        <w:spacing w:after="140" w:line="276"/>
      </w:pPr>
      <w:r>
        <w:rPr>
          <w:rFonts w:ascii="Aptos" w:cs="Aptos" w:eastAsia="Aptos" w:hAnsi="Aptos"/>
          <w:sz w:val="21"/>
          <w:szCs w:val="21"/>
        </w:rPr>
        <w:t xml:space="preserve">This specification covers agents calling agents and agents calling MCP servers and tool APIs with the same mechanisms, because a single agent with one credential and one tool can already do damage and the trust sequence applies to it unchanged. Where a mechanism has an agent-to-agent form and an agent-to-tool form, both are given. Where the A2A protocol provides an artifact (the Agent Card) and MCP provides a different one (server and tool metadata), the requirement is stated once and the artifact named for each.</w:t>
      </w:r>
    </w:p>
    <w:p>
      <w:pPr>
        <w:pStyle w:val="Heading2"/>
        <w:keepNext/>
        <w:spacing w:after="120" w:before="260"/>
      </w:pPr>
      <w:r>
        <w:rPr>
          <w:rFonts w:ascii="Aptos" w:cs="Aptos" w:eastAsia="Aptos" w:hAnsi="Aptos"/>
        </w:rPr>
        <w:t xml:space="preserve">What Is Protocol, What Is Profile, What Is Policy</w:t>
      </w:r>
    </w:p>
    <w:p>
      <w:pPr>
        <w:spacing w:after="140" w:line="276"/>
      </w:pPr>
      <w:r>
        <w:rPr>
          <w:rFonts w:ascii="Aptos" w:cs="Aptos" w:eastAsia="Aptos" w:hAnsi="Aptos"/>
          <w:sz w:val="21"/>
          <w:szCs w:val="21"/>
        </w:rPr>
        <w:t xml:space="preserve">Four kinds of requirement appear in this document, and anyone implementing against it needs to know which is which.</w:t>
      </w:r>
    </w:p>
    <w:p>
      <w:pPr>
        <w:pStyle w:val="ListParagraph"/>
        <w:numPr>
          <w:ilvl w:val="0"/>
          <w:numId w:val="2"/>
        </w:numPr>
        <w:spacing w:after="90" w:line="264"/>
      </w:pPr>
      <w:r>
        <w:rPr>
          <w:rFonts w:ascii="Aptos" w:cs="Aptos" w:eastAsia="Aptos" w:hAnsi="Aptos"/>
          <w:sz w:val="21"/>
          <w:szCs w:val="21"/>
        </w:rPr>
        <w:t xml:space="preserve">Native protocol behavior: the A2A Agent Card schema, its well-known location, its signatures and their canonicalization, its security schemes and transport; MCP's server metadata, tool definitions and authorization framework. The protocol specifications are authoritative for all of it. This document relies on those features and does not redefine them.</w:t>
      </w:r>
    </w:p>
    <w:p>
      <w:pPr>
        <w:pStyle w:val="ListParagraph"/>
        <w:numPr>
          <w:ilvl w:val="0"/>
          <w:numId w:val="2"/>
        </w:numPr>
        <w:spacing w:after="90" w:line="264"/>
      </w:pPr>
      <w:r>
        <w:rPr>
          <w:rFonts w:ascii="Aptos" w:cs="Aptos" w:eastAsia="Aptos" w:hAnsi="Aptos"/>
          <w:sz w:val="21"/>
          <w:szCs w:val="21"/>
        </w:rPr>
        <w:t xml:space="preserve">AISI extensions: the manifest and its fields, the tool allowlist, tiered discovery, the hold response and the behavioral contract wire shape. They are declared through the protocols' own extension mechanisms, so a native client can see that the profile is in use, and a client that does not implement the profile can still read the native artifacts.</w:t>
      </w:r>
    </w:p>
    <w:p>
      <w:pPr>
        <w:pStyle w:val="ListParagraph"/>
        <w:numPr>
          <w:ilvl w:val="0"/>
          <w:numId w:val="2"/>
        </w:numPr>
        <w:spacing w:after="90" w:line="264"/>
      </w:pPr>
      <w:r>
        <w:rPr>
          <w:rFonts w:ascii="Aptos" w:cs="Aptos" w:eastAsia="Aptos" w:hAnsi="Aptos"/>
          <w:sz w:val="21"/>
          <w:szCs w:val="21"/>
        </w:rPr>
        <w:t xml:space="preserve">Local policy: what the receiver's own layer 6 enforces regardless of what the wire carries: oversight selection, scope monotonicity, budget and classification ceilings, revocation checks. These need no agreement from the other side, and the requirement that every protected channel authenticates is one of them, since the MCP authorization specification is optional for MCP implementations and this profile makes it mandatory.</w:t>
      </w:r>
    </w:p>
    <w:p>
      <w:pPr>
        <w:pStyle w:val="ListParagraph"/>
        <w:numPr>
          <w:ilvl w:val="0"/>
          <w:numId w:val="2"/>
        </w:numPr>
        <w:spacing w:after="90" w:line="264"/>
      </w:pPr>
      <w:r>
        <w:rPr>
          <w:rFonts w:ascii="Aptos" w:cs="Aptos" w:eastAsia="Aptos" w:hAnsi="Aptos"/>
          <w:sz w:val="21"/>
          <w:szCs w:val="21"/>
        </w:rPr>
        <w:t xml:space="preserve">Bilateral mechanisms: contract negotiation, compliance evidence, cost reporting and session tokens only work when both parties implement them. Where the counterpart does not, the caller's layer 6 treats the interaction as uncontracted and applies its most restrictive local policy.</w:t>
      </w:r>
    </w:p>
    <w:p>
      <w:pPr>
        <w:pStyle w:val="Heading1"/>
        <w:keepNext/>
        <w:spacing w:after="160" w:before="360"/>
      </w:pPr>
      <w:r>
        <w:rPr>
          <w:rFonts w:ascii="Aptos" w:cs="Aptos" w:eastAsia="Aptos" w:hAnsi="Aptos"/>
        </w:rPr>
        <w:t xml:space="preserve">Agent Card Specification</w:t>
      </w:r>
    </w:p>
    <w:p>
      <w:pPr>
        <w:spacing w:after="140" w:line="276"/>
      </w:pPr>
      <w:r>
        <w:rPr>
          <w:rFonts w:ascii="Aptos" w:cs="Aptos" w:eastAsia="Aptos" w:hAnsi="Aptos"/>
          <w:sz w:val="21"/>
          <w:szCs w:val="21"/>
        </w:rPr>
        <w:t xml:space="preserve">Agent Cards are the discovery and trust artifact that makes the trust sequence work for agent-to-agent calls. Every agent published at layer 7 has one. In this document set, an Agent Card means two signed documents that travel together: the A2A protocol's own Agent Card, which the A2A specification defines and any A2A client can read, and an AISI manifest, which carries what this profile adds (the runtime identity binding, the tool allowlist, the issuance window and the default contract terms) and is bound to the card by a digest. The split keeps the native card interoperable with implementations that know nothing about this model, and keeps this model's requirements in a document whose schema this specification owns (A2A-2).</w:t>
      </w:r>
    </w:p>
    <w:p>
      <w:pPr>
        <w:spacing w:after="140" w:line="276"/>
      </w:pPr>
      <w:r>
        <w:rPr>
          <w:rFonts w:ascii="Aptos" w:cs="Aptos" w:eastAsia="Aptos" w:hAnsi="Aptos"/>
          <w:sz w:val="21"/>
          <w:szCs w:val="21"/>
        </w:rPr>
        <w:t xml:space="preserve">Agent Cards do three jobs in the handshake: discovery (what can this agent do), identity binding (is this really the agent it claims to be) and contract bootstrapping (what are its default terms). The native card carries the first; the manifest carries the second and third.</w:t>
      </w:r>
    </w:p>
    <w:p>
      <w:pPr>
        <w:pStyle w:val="Heading2"/>
        <w:keepNext/>
        <w:spacing w:after="120" w:before="260"/>
      </w:pPr>
      <w:r>
        <w:rPr>
          <w:rFonts w:ascii="Aptos" w:cs="Aptos" w:eastAsia="Aptos" w:hAnsi="Aptos"/>
        </w:rPr>
        <w:t xml:space="preserve">The Native A2A Card</w:t>
      </w:r>
    </w:p>
    <w:p>
      <w:pPr>
        <w:spacing w:after="140" w:line="276"/>
      </w:pPr>
      <w:r>
        <w:rPr>
          <w:rFonts w:ascii="Aptos" w:cs="Aptos" w:eastAsia="Aptos" w:hAnsi="Aptos"/>
          <w:sz w:val="21"/>
          <w:szCs w:val="21"/>
        </w:rPr>
        <w:t xml:space="preserve">The fields below are the A2A protocol's own. The names and structure are the protocol's, the A2A specification is the authority on their schema, and this profile relies on them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tblHeader/>
        </w:trPr>
        <w:tc>
          <w:tcPr>
            <w:tcW w:type="dxa" w:w="26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A2A field</w:t>
            </w:r>
          </w:p>
        </w:tc>
        <w:tc>
          <w:tcPr>
            <w:tcW w:type="dxa" w:w="676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What this profile relies on it for</w:t>
            </w:r>
          </w:p>
        </w:tc>
      </w:tr>
      <w:tr>
        <w:trPr>
          <w:cantSplit/>
        </w:trPr>
        <w:tc>
          <w:tcPr>
            <w:tcW w:type="dxa" w:w="26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name, description, version</w:t>
            </w:r>
          </w:p>
        </w:tc>
        <w:tc>
          <w:tcPr>
            <w:tcW w:type="dxa" w:w="67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Human-readable identity and the agent release version. The release version follows the versioning rules below.</w:t>
            </w:r>
          </w:p>
        </w:tc>
      </w:tr>
      <w:tr>
        <w:trPr>
          <w:cantSplit/>
        </w:trPr>
        <w:tc>
          <w:tcPr>
            <w:tcW w:type="dxa" w:w="26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supportedInterfaces</w:t>
            </w:r>
          </w:p>
        </w:tc>
        <w:tc>
          <w:tcPr>
            <w:tcW w:type="dxa" w:w="67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The endpoints and protocol bindings a caller may use. TLS is required on every interface.</w:t>
            </w:r>
          </w:p>
        </w:tc>
      </w:tr>
      <w:tr>
        <w:trPr>
          <w:cantSplit/>
        </w:trPr>
        <w:tc>
          <w:tcPr>
            <w:tcW w:type="dxa" w:w="26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capabilities</w:t>
            </w:r>
          </w:p>
        </w:tc>
        <w:tc>
          <w:tcPr>
            <w:tcW w:type="dxa" w:w="67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Protocol capabilities, the flag that says an authenticated extended card exists (used for tiered discovery), and the extensions entry that declares this profile: an extension whose URI identifies the AISI profile version, marked required, with the manifest location in its parameters.</w:t>
            </w:r>
          </w:p>
        </w:tc>
      </w:tr>
      <w:tr>
        <w:trPr>
          <w:cantSplit/>
        </w:trPr>
        <w:tc>
          <w:tcPr>
            <w:tcW w:type="dxa" w:w="26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skills</w:t>
            </w:r>
          </w:p>
        </w:tc>
        <w:tc>
          <w:tcPr>
            <w:tcW w:type="dxa" w:w="67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What the agent can do, as structured descriptors with tags and examples. This is the capability list the behavioral contract's scope is checked against.</w:t>
            </w:r>
          </w:p>
        </w:tc>
      </w:tr>
      <w:tr>
        <w:trPr>
          <w:cantSplit/>
        </w:trPr>
        <w:tc>
          <w:tcPr>
            <w:tcW w:type="dxa" w:w="26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securitySchemes and security</w:t>
            </w:r>
          </w:p>
        </w:tc>
        <w:tc>
          <w:tcPr>
            <w:tcW w:type="dxa" w:w="67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The authentication methods a caller has to use. They are part of the public card under tiered discovery.</w:t>
            </w:r>
          </w:p>
        </w:tc>
      </w:tr>
      <w:tr>
        <w:trPr>
          <w:cantSplit/>
        </w:trPr>
        <w:tc>
          <w:tcPr>
            <w:tcW w:type="dxa" w:w="26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signatures</w:t>
            </w:r>
          </w:p>
        </w:tc>
        <w:tc>
          <w:tcPr>
            <w:tcW w:type="dxa" w:w="67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JSON Web Signatures over the canonical card. This profile requires at least one; the A2A schema makes them optional.</w:t>
            </w:r>
          </w:p>
        </w:tc>
      </w:tr>
    </w:tbl>
    <w:p>
      <w:pPr>
        <w:spacing w:after="160"/>
      </w:pPr>
    </w:p>
    <w:p>
      <w:pPr>
        <w:spacing w:after="140" w:line="276"/>
      </w:pPr>
      <w:r>
        <w:rPr>
          <w:rFonts w:ascii="Aptos" w:cs="Aptos" w:eastAsia="Aptos" w:hAnsi="Aptos"/>
          <w:sz w:val="21"/>
          <w:szCs w:val="21"/>
        </w:rPr>
        <w:t xml:space="preserve">Where the native card is served at the well-known location, the manifest is served next to it at the location named in the extension parameters; where cards live in a registry, the registry stores both.</w:t>
      </w:r>
    </w:p>
    <w:p>
      <w:pPr>
        <w:pStyle w:val="Heading2"/>
        <w:keepNext/>
        <w:spacing w:after="120" w:before="260"/>
      </w:pPr>
      <w:r>
        <w:rPr>
          <w:rFonts w:ascii="Aptos" w:cs="Aptos" w:eastAsia="Aptos" w:hAnsi="Aptos"/>
        </w:rPr>
        <w:t xml:space="preserve">The AISI Manifest</w:t>
      </w:r>
    </w:p>
    <w:p>
      <w:pPr>
        <w:spacing w:after="140" w:line="276"/>
      </w:pPr>
      <w:r>
        <w:rPr>
          <w:rFonts w:ascii="Aptos" w:cs="Aptos" w:eastAsia="Aptos" w:hAnsi="Aptos"/>
          <w:sz w:val="21"/>
          <w:szCs w:val="21"/>
        </w:rPr>
        <w:t xml:space="preserve">The manifest is a JSON document signed by the agent's issuer. Required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100"/>
        <w:gridCol w:w="6060"/>
      </w:tblGrid>
      <w:tr>
        <w:trPr>
          <w:tblHeader/>
        </w:trPr>
        <w:tc>
          <w:tcPr>
            <w:tcW w:type="dxa" w:w="22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Field</w:t>
            </w:r>
          </w:p>
        </w:tc>
        <w:tc>
          <w:tcPr>
            <w:tcW w:type="dxa" w:w="11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Type</w:t>
            </w:r>
          </w:p>
        </w:tc>
        <w:tc>
          <w:tcPr>
            <w:tcW w:type="dxa" w:w="606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Description</w:t>
            </w:r>
          </w:p>
        </w:tc>
      </w:tr>
      <w:tr>
        <w:trPr>
          <w:cantSplit/>
        </w:trPr>
        <w:tc>
          <w:tcPr>
            <w:tcW w:type="dxa" w:w="2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aisi_profile</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string</w:t>
            </w:r>
          </w:p>
        </w:tc>
        <w:tc>
          <w:tcPr>
            <w:tcW w:type="dxa" w:w="60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The profile version this manifest conforms to.</w:t>
            </w:r>
          </w:p>
        </w:tc>
      </w:tr>
      <w:tr>
        <w:trPr>
          <w:cantSplit/>
        </w:trPr>
        <w:tc>
          <w:tcPr>
            <w:tcW w:type="dxa" w:w="22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agent_id</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string</w:t>
            </w:r>
          </w:p>
        </w:tc>
        <w:tc>
          <w:tcPr>
            <w:tcW w:type="dxa" w:w="60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Globally unique identifier for this agent instance. Stable across restarts, unique across deployments.</w:t>
            </w:r>
          </w:p>
        </w:tc>
      </w:tr>
      <w:tr>
        <w:trPr>
          <w:cantSplit/>
        </w:trPr>
        <w:tc>
          <w:tcPr>
            <w:tcW w:type="dxa" w:w="2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agent_card_digest</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string</w:t>
            </w:r>
          </w:p>
        </w:tc>
        <w:tc>
          <w:tcPr>
            <w:tcW w:type="dxa" w:w="60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SHA-256 of the canonical native card with its signatures removed. Binds this manifest to one specific card so a manifest cannot be reused with another card.</w:t>
            </w:r>
          </w:p>
        </w:tc>
      </w:tr>
      <w:tr>
        <w:trPr>
          <w:cantSplit/>
        </w:trPr>
        <w:tc>
          <w:tcPr>
            <w:tcW w:type="dxa" w:w="22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runtime_identity</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URI</w:t>
            </w:r>
          </w:p>
        </w:tc>
        <w:tc>
          <w:tcPr>
            <w:tcW w:type="dxa" w:w="60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The workload identity the card is bound to: a SPIFFE ID (Secure Production Identity Framework for Everyone) or equivalent, attested by the infrastructure, for example spiffe://domain/ns/agents/sa/research.</w:t>
            </w:r>
          </w:p>
        </w:tc>
      </w:tr>
      <w:tr>
        <w:trPr>
          <w:cantSplit/>
        </w:trPr>
        <w:tc>
          <w:tcPr>
            <w:tcW w:type="dxa" w:w="2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tools</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array</w:t>
            </w:r>
          </w:p>
        </w:tc>
        <w:tc>
          <w:tcPr>
            <w:tcW w:type="dxa" w:w="60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The tools this agent is allowed to invoke: names, schemas and permission requirements. This is the allowlist that layer 5 tool execution is checked against (A2A-8). An agent with no tools publishes an empty array rather than omitting the field.</w:t>
            </w:r>
          </w:p>
        </w:tc>
      </w:tr>
      <w:tr>
        <w:trPr>
          <w:cantSplit/>
        </w:trPr>
        <w:tc>
          <w:tcPr>
            <w:tcW w:type="dxa" w:w="22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issued_at</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ISO 8601</w:t>
            </w:r>
          </w:p>
        </w:tc>
        <w:tc>
          <w:tcPr>
            <w:tcW w:type="dxa" w:w="60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When the manifest was signed.</w:t>
            </w:r>
          </w:p>
        </w:tc>
      </w:tr>
      <w:tr>
        <w:trPr>
          <w:cantSplit/>
        </w:trPr>
        <w:tc>
          <w:tcPr>
            <w:tcW w:type="dxa" w:w="2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expires_at</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ISO 8601</w:t>
            </w:r>
          </w:p>
        </w:tc>
        <w:tc>
          <w:tcPr>
            <w:tcW w:type="dxa" w:w="60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When it stops being valid. Expired manifests are rejected unconditionally; see Versioning and Renewal.</w:t>
            </w:r>
          </w:p>
        </w:tc>
      </w:tr>
      <w:tr>
        <w:trPr>
          <w:cantSplit/>
        </w:trPr>
        <w:tc>
          <w:tcPr>
            <w:tcW w:type="dxa" w:w="22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issuer</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string</w:t>
            </w:r>
          </w:p>
        </w:tc>
        <w:tc>
          <w:tcPr>
            <w:tcW w:type="dxa" w:w="60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Identity of the signing authority, traceable to a trusted root.</w:t>
            </w:r>
          </w:p>
        </w:tc>
      </w:tr>
      <w:tr>
        <w:trPr>
          <w:cantSplit/>
        </w:trPr>
        <w:tc>
          <w:tcPr>
            <w:tcW w:type="dxa" w:w="2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signatures</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array</w:t>
            </w:r>
          </w:p>
        </w:tc>
        <w:tc>
          <w:tcPr>
            <w:tcW w:type="dxa" w:w="60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JSON Web Signatures over the canonical manifest, in the same form the A2A card uses.</w:t>
            </w:r>
          </w:p>
        </w:tc>
      </w:tr>
    </w:tbl>
    <w:p>
      <w:pPr>
        <w:spacing w:after="160"/>
      </w:pPr>
    </w:p>
    <w:p>
      <w:pPr>
        <w:spacing w:after="140" w:line="276"/>
      </w:pPr>
      <w:r>
        <w:rPr>
          <w:rFonts w:ascii="Aptos" w:cs="Aptos" w:eastAsia="Aptos" w:hAnsi="Aptos"/>
          <w:sz w:val="21"/>
          <w:szCs w:val="21"/>
        </w:rPr>
        <w:t xml:space="preserve">Optional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100"/>
        <w:gridCol w:w="6060"/>
      </w:tblGrid>
      <w:tr>
        <w:trPr>
          <w:tblHeader/>
        </w:trPr>
        <w:tc>
          <w:tcPr>
            <w:tcW w:type="dxa" w:w="22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Field</w:t>
            </w:r>
          </w:p>
        </w:tc>
        <w:tc>
          <w:tcPr>
            <w:tcW w:type="dxa" w:w="11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Type</w:t>
            </w:r>
          </w:p>
        </w:tc>
        <w:tc>
          <w:tcPr>
            <w:tcW w:type="dxa" w:w="606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Description</w:t>
            </w:r>
          </w:p>
        </w:tc>
      </w:tr>
      <w:tr>
        <w:trPr>
          <w:cantSplit/>
        </w:trPr>
        <w:tc>
          <w:tcPr>
            <w:tcW w:type="dxa" w:w="2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owner</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string</w:t>
            </w:r>
          </w:p>
        </w:tc>
        <w:tc>
          <w:tcPr>
            <w:tcW w:type="dxa" w:w="60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Team, organization or entity responsible for this agent. The business owner who is accountable for what it does.</w:t>
            </w:r>
          </w:p>
        </w:tc>
      </w:tr>
      <w:tr>
        <w:trPr>
          <w:cantSplit/>
        </w:trPr>
        <w:tc>
          <w:tcPr>
            <w:tcW w:type="dxa" w:w="22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default_contract</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object</w:t>
            </w:r>
          </w:p>
        </w:tc>
        <w:tc>
          <w:tcPr>
            <w:tcW w:type="dxa" w:w="60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Pre-published behavioral contract terms. Callers accept these or propose alternatives during negotiation.</w:t>
            </w:r>
          </w:p>
        </w:tc>
      </w:tr>
      <w:tr>
        <w:trPr>
          <w:cantSplit/>
        </w:trPr>
        <w:tc>
          <w:tcPr>
            <w:tcW w:type="dxa" w:w="2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max_chain_depth</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integer</w:t>
            </w:r>
          </w:p>
        </w:tc>
        <w:tc>
          <w:tcPr>
            <w:tcW w:type="dxa" w:w="60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Maximum downstream hops this agent supports. Bounds delegation chains (A2A-4).</w:t>
            </w:r>
          </w:p>
        </w:tc>
      </w:tr>
      <w:tr>
        <w:trPr>
          <w:cantSplit/>
        </w:trPr>
        <w:tc>
          <w:tcPr>
            <w:tcW w:type="dxa" w:w="22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oversight_minimum</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enum</w:t>
            </w:r>
          </w:p>
        </w:tc>
        <w:tc>
          <w:tcPr>
            <w:tcW w:type="dxa" w:w="60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Lowest oversight level this agent will accept: autonomous, monitored, gated or manual. Callers cannot request a level below it, and a receiver cannot select one below the caller's minimum.</w:t>
            </w:r>
          </w:p>
        </w:tc>
      </w:tr>
      <w:tr>
        <w:trPr>
          <w:cantSplit/>
        </w:trPr>
        <w:tc>
          <w:tcPr>
            <w:tcW w:type="dxa" w:w="2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dependencies</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array</w:t>
            </w:r>
          </w:p>
        </w:tc>
        <w:tc>
          <w:tcPr>
            <w:tcW w:type="dxa" w:w="60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Other agents, MCP servers or external services this agent requires. Supports supply chain auditing and the Agent-BOM (AI-3).</w:t>
            </w:r>
          </w:p>
        </w:tc>
      </w:tr>
      <w:tr>
        <w:trPr>
          <w:cantSplit/>
        </w:trPr>
        <w:tc>
          <w:tcPr>
            <w:tcW w:type="dxa" w:w="22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model_fingerprint</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string</w:t>
            </w:r>
          </w:p>
        </w:tc>
        <w:tc>
          <w:tcPr>
            <w:tcW w:type="dxa" w:w="60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Identifier for the model version behind this agent. For self-hosted models, the registry digest or semantic version. For provider-run models, the provider's pinned model identifier, never an alias that can update silently. If the model changes without the manifest being re-signed, drift detection treats that as a re-validation event (AI-11).</w:t>
            </w:r>
          </w:p>
        </w:tc>
      </w:tr>
      <w:tr>
        <w:trPr>
          <w:cantSplit/>
        </w:trPr>
        <w:tc>
          <w:tcPr>
            <w:tcW w:type="dxa" w:w="2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pricing</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object</w:t>
            </w:r>
          </w:p>
        </w:tc>
        <w:tc>
          <w:tcPr>
            <w:tcW w:type="dxa" w:w="60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Advertised cost structure: model (per_request, per_token or per_session), currency (ISO 4217) and rate. For per_token, the rate is per 1,000 tokens, input and output combined. Informational at discovery; the binding terms are the contract's budget_limit. Agents whose costs vary by operation may omit this and negotiate cost at the contract level.</w:t>
            </w:r>
          </w:p>
        </w:tc>
      </w:tr>
    </w:tbl>
    <w:p>
      <w:pPr>
        <w:spacing w:after="160"/>
      </w:pPr>
    </w:p>
    <w:p>
      <w:pPr>
        <w:pStyle w:val="Heading2"/>
        <w:keepNext/>
        <w:spacing w:after="120" w:before="260"/>
      </w:pPr>
      <w:r>
        <w:rPr>
          <w:rFonts w:ascii="Aptos" w:cs="Aptos" w:eastAsia="Aptos" w:hAnsi="Aptos"/>
        </w:rPr>
        <w:t xml:space="preserve">Binding and Verification</w:t>
      </w:r>
    </w:p>
    <w:p>
      <w:pPr>
        <w:spacing w:after="140" w:line="276"/>
      </w:pPr>
      <w:r>
        <w:rPr>
          <w:rFonts w:ascii="Aptos" w:cs="Aptos" w:eastAsia="Aptos" w:hAnsi="Aptos"/>
          <w:sz w:val="21"/>
          <w:szCs w:val="21"/>
        </w:rPr>
        <w:t xml:space="preserve">A receiver that validates an Agent Card does the following, in order, and rejects at the first failure: verify the card's signature against a key it trusts; read the AISI extension entry and fetch the manifest; verify the manifest's signature; recompute the card digest and compare it with agent_card_digest; check that the manifest is inside its issuance window; and confirm that runtime_identity matches the identity presented on the channel, the mTLS peer identity or the identity the token was issued to. A card that passes the first step and fails any later one is treated as unsigned for this profile's purposes: the native card can still be read, and nothing in this profile applies until a valid manifest is present.</w:t>
      </w:r>
    </w:p>
    <w:p>
      <w:pPr>
        <w:spacing w:after="140" w:line="276"/>
      </w:pPr>
      <w:r>
        <w:rPr>
          <w:rFonts w:ascii="Aptos" w:cs="Aptos" w:eastAsia="Aptos" w:hAnsi="Aptos"/>
          <w:sz w:val="21"/>
          <w:szCs w:val="21"/>
        </w:rPr>
        <w:t xml:space="preserve">Both documents are canonicalized with the JSON Canonicalization Scheme (RFC 8785) and signed as JSON Web Signatures (RFC 7515), which is the A2A card's own signing method; the manifest reuses it so one verifier handles both. The keys that sign cards and manifests are separate from the keys that sign model and container artifacts, so a compromise or a rotation in one domain does not touch the other, and a valid signature proves integrity and who signed, never that the signer should be trusted; that decision is the receiver's, made against its registry of approved issuers.</w:t>
      </w:r>
    </w:p>
    <w:p>
      <w:pPr>
        <w:pStyle w:val="Heading2"/>
        <w:keepNext/>
        <w:spacing w:after="120" w:before="260"/>
      </w:pPr>
      <w:r>
        <w:rPr>
          <w:rFonts w:ascii="Aptos" w:cs="Aptos" w:eastAsia="Aptos" w:hAnsi="Aptos"/>
        </w:rPr>
        <w:t xml:space="preserve">Versioning and Renewal</w:t>
      </w:r>
    </w:p>
    <w:p>
      <w:pPr>
        <w:spacing w:after="140" w:line="276"/>
      </w:pPr>
      <w:r>
        <w:rPr>
          <w:rFonts w:ascii="Aptos" w:cs="Aptos" w:eastAsia="Aptos" w:hAnsi="Aptos"/>
          <w:sz w:val="21"/>
          <w:szCs w:val="21"/>
        </w:rPr>
        <w:t xml:space="preserve">Three things change at different rates and are versioned separately.</w:t>
      </w:r>
    </w:p>
    <w:p>
      <w:pPr>
        <w:pStyle w:val="ListParagraph"/>
        <w:numPr>
          <w:ilvl w:val="0"/>
          <w:numId w:val="2"/>
        </w:numPr>
        <w:spacing w:after="90" w:line="264"/>
      </w:pPr>
      <w:r>
        <w:rPr>
          <w:rFonts w:ascii="Aptos" w:cs="Aptos" w:eastAsia="Aptos" w:hAnsi="Aptos"/>
          <w:sz w:val="21"/>
          <w:szCs w:val="21"/>
        </w:rPr>
        <w:t xml:space="preserve">Agent release version (the native card's version field, semantic versioning): major for a change that breaks capabilities or contracts, minor for an additive capability or an observable behavior change that stays compatible, patch for an internal change with no observable effect. A new release re-signs both documents.</w:t>
      </w:r>
    </w:p>
    <w:p>
      <w:pPr>
        <w:pStyle w:val="ListParagraph"/>
        <w:numPr>
          <w:ilvl w:val="0"/>
          <w:numId w:val="2"/>
        </w:numPr>
        <w:spacing w:after="90" w:line="264"/>
      </w:pPr>
      <w:r>
        <w:rPr>
          <w:rFonts w:ascii="Aptos" w:cs="Aptos" w:eastAsia="Aptos" w:hAnsi="Aptos"/>
          <w:sz w:val="21"/>
          <w:szCs w:val="21"/>
        </w:rPr>
        <w:t xml:space="preserve">Issuance (issued_at and expires_at on the manifest, and the signatures on both documents): renewed on a schedule, with no version change. Renewal is a re-signing of unchanged content and says nothing about the agent having changed.</w:t>
      </w:r>
    </w:p>
    <w:p>
      <w:pPr>
        <w:pStyle w:val="ListParagraph"/>
        <w:numPr>
          <w:ilvl w:val="0"/>
          <w:numId w:val="2"/>
        </w:numPr>
        <w:spacing w:after="90" w:line="264"/>
      </w:pPr>
      <w:r>
        <w:rPr>
          <w:rFonts w:ascii="Aptos" w:cs="Aptos" w:eastAsia="Aptos" w:hAnsi="Aptos"/>
          <w:sz w:val="21"/>
          <w:szCs w:val="21"/>
        </w:rPr>
        <w:t xml:space="preserve">Profile version (aisi_profile): changes only when this specification changes the manifest schema.</w:t>
      </w:r>
    </w:p>
    <w:p>
      <w:pPr>
        <w:spacing w:after="140" w:line="276"/>
      </w:pPr>
      <w:r>
        <w:rPr>
          <w:rFonts w:ascii="Aptos" w:cs="Aptos" w:eastAsia="Aptos" w:hAnsi="Aptos"/>
          <w:sz w:val="21"/>
          <w:szCs w:val="21"/>
        </w:rPr>
        <w:t xml:space="preserve">Manifests are short-lived, hours to a day, so that a revoked or retired agent stops validating quickly. A healthy agent must never reach expiry, so renewal is automatic: a job with access to the signing key re-signs the card and manifest at an interval shorter than the validity window (for a 24-hour window, every 8 hours) and republishes both. Receivers cache a card for no longer than its manifest's expires_at and re-fetch when it goes stale.</w:t>
      </w:r>
    </w:p>
    <w:p>
      <w:pPr>
        <w:pStyle w:val="ListParagraph"/>
        <w:numPr>
          <w:ilvl w:val="0"/>
          <w:numId w:val="2"/>
        </w:numPr>
        <w:spacing w:after="90" w:line="264"/>
      </w:pPr>
      <w:r>
        <w:rPr>
          <w:rFonts w:ascii="Aptos" w:cs="Aptos" w:eastAsia="Aptos" w:hAnsi="Aptos"/>
          <w:sz w:val="21"/>
          <w:szCs w:val="21"/>
        </w:rPr>
        <w:t xml:space="preserve">Cards and manifests are re-signed on every release, configuration change or capability change, including any change to the tools array, and on the renewal schedule.</w:t>
      </w:r>
    </w:p>
    <w:p>
      <w:pPr>
        <w:pStyle w:val="ListParagraph"/>
        <w:numPr>
          <w:ilvl w:val="0"/>
          <w:numId w:val="2"/>
        </w:numPr>
        <w:spacing w:after="90" w:line="264"/>
      </w:pPr>
      <w:r>
        <w:rPr>
          <w:rFonts w:ascii="Aptos" w:cs="Aptos" w:eastAsia="Aptos" w:hAnsi="Aptos"/>
          <w:sz w:val="21"/>
          <w:szCs w:val="21"/>
        </w:rPr>
        <w:t xml:space="preserve">An expired manifest is rejected unconditionally, even when the signature is valid.</w:t>
      </w:r>
    </w:p>
    <w:p>
      <w:pPr>
        <w:pStyle w:val="ListParagraph"/>
        <w:numPr>
          <w:ilvl w:val="0"/>
          <w:numId w:val="2"/>
        </w:numPr>
        <w:spacing w:after="90" w:line="264"/>
      </w:pPr>
      <w:r>
        <w:rPr>
          <w:rFonts w:ascii="Aptos" w:cs="Aptos" w:eastAsia="Aptos" w:hAnsi="Aptos"/>
          <w:sz w:val="21"/>
          <w:szCs w:val="21"/>
        </w:rPr>
        <w:t xml:space="preserve">A manifest whose runtime_identity does not match the presenting agent's identity is rejected.</w:t>
      </w:r>
    </w:p>
    <w:p>
      <w:pPr>
        <w:pStyle w:val="ListParagraph"/>
        <w:numPr>
          <w:ilvl w:val="0"/>
          <w:numId w:val="2"/>
        </w:numPr>
        <w:spacing w:after="90" w:line="264"/>
      </w:pPr>
      <w:r>
        <w:rPr>
          <w:rFonts w:ascii="Aptos" w:cs="Aptos" w:eastAsia="Aptos" w:hAnsi="Aptos"/>
          <w:sz w:val="21"/>
          <w:szCs w:val="21"/>
        </w:rPr>
        <w:t xml:space="preserve">Card revocation propagates through the same channels as credential revocation (see Authentication and Authorization).</w:t>
      </w:r>
    </w:p>
    <w:p>
      <w:pPr>
        <w:pStyle w:val="Heading2"/>
        <w:keepNext/>
        <w:spacing w:after="120" w:before="260"/>
      </w:pPr>
      <w:r>
        <w:rPr>
          <w:rFonts w:ascii="Aptos" w:cs="Aptos" w:eastAsia="Aptos" w:hAnsi="Aptos"/>
        </w:rPr>
        <w:t xml:space="preserve">Tiered Discovery</w:t>
      </w:r>
    </w:p>
    <w:p>
      <w:pPr>
        <w:spacing w:after="140" w:line="276"/>
      </w:pPr>
      <w:r>
        <w:rPr>
          <w:rFonts w:ascii="Aptos" w:cs="Aptos" w:eastAsia="Aptos" w:hAnsi="Aptos"/>
          <w:sz w:val="21"/>
          <w:szCs w:val="21"/>
        </w:rPr>
        <w:t xml:space="preserve">Publishing a full Agent Card to unauthenticated callers exposes capabilities, tool lists and behavioral defaults to anyone who can reach the discovery endpoint. Tiered discovery splits discovery into two levels of detail and uses A2A's own extended-card mechanism to signal it: the public card's capabilities flag says that an authenticated extended card exists. The public card is returned at the unauthenticated endpoint and carries only what is needed for first contact: name, version, supportedInterfaces, securitySchemes, the provider and the extension declaration. It does not include skills, the manifest, or anything else that describes what the agent can do.</w:t>
      </w:r>
    </w:p>
    <w:p>
      <w:pPr>
        <w:spacing w:after="140" w:line="276"/>
      </w:pPr>
      <w:r>
        <w:rPr>
          <w:rFonts w:ascii="Aptos" w:cs="Aptos" w:eastAsia="Aptos" w:hAnsi="Aptos"/>
          <w:sz w:val="21"/>
          <w:szCs w:val="21"/>
        </w:rPr>
        <w:t xml:space="preserve">The full card and the manifest are returned only after the caller completes identity exchange (phase 2 of the trust sequence). Once the channel is authenticated, the target returns the complete card with its manifest, and that is what feeds contract negotiation at phase 4. Both tiers are signed with the same key so a caller can verify continuity when it moves from public to full.</w:t>
      </w:r>
    </w:p>
    <w:p>
      <w:pPr>
        <w:spacing w:after="140" w:line="276"/>
      </w:pPr>
      <w:r>
        <w:rPr>
          <w:rFonts w:ascii="Aptos" w:cs="Aptos" w:eastAsia="Aptos" w:hAnsi="Aptos"/>
          <w:sz w:val="21"/>
          <w:szCs w:val="21"/>
        </w:rPr>
        <w:t xml:space="preserve">Tiered discovery is optional. Agents in a closed mesh where every caller is pre-authenticated can serve a single full card. Agents exposed to federated or external callers should use it.</w:t>
      </w:r>
    </w:p>
    <w:p>
      <w:pPr>
        <w:pStyle w:val="Heading2"/>
        <w:keepNext/>
        <w:spacing w:after="120" w:before="260"/>
      </w:pPr>
      <w:r>
        <w:rPr>
          <w:rFonts w:ascii="Aptos" w:cs="Aptos" w:eastAsia="Aptos" w:hAnsi="Aptos"/>
        </w:rPr>
        <w:t xml:space="preserve">MCP Servers and Tool Metadata</w:t>
      </w:r>
    </w:p>
    <w:p>
      <w:pPr>
        <w:spacing w:after="140" w:line="276"/>
      </w:pPr>
      <w:r>
        <w:rPr>
          <w:rFonts w:ascii="Aptos" w:cs="Aptos" w:eastAsia="Aptos" w:hAnsi="Aptos"/>
          <w:sz w:val="21"/>
          <w:szCs w:val="21"/>
        </w:rPr>
        <w:t xml:space="preserve">An MCP server does not publish an Agent Card. What it publishes is server metadata and a list of tools, resources and prompts, each with a name, a description and an input schema, and that list is the discovery artifact for agent-to-tool calls. The server's identity and version are pinned the same way an Agent Card's issuer and version are: the agent connects to a server it has approved, by identity, not by whatever is listening at a URL.</w:t>
      </w:r>
    </w:p>
    <w:p>
      <w:pPr>
        <w:spacing w:after="140" w:line="276"/>
      </w:pPr>
      <w:r>
        <w:rPr>
          <w:rFonts w:ascii="Aptos" w:cs="Aptos" w:eastAsia="Aptos" w:hAnsi="Aptos"/>
          <w:sz w:val="21"/>
          <w:szCs w:val="21"/>
        </w:rPr>
        <w:t xml:space="preserve">Tool definitions are untrusted input. The description text a server returns is read by the model, which is why ATLAS tracks tool poisoning as a technique and why its case studies include MCP tools whose definition or implementation was poisoned; the agent's own tools allowlist, not the server's advertised list, decides what it may invoke. A change to a server's tool definitions is treated like a change to an Agent Card: it triggers re-validation, and in a mature program it goes through the Agent-BOM check (AI-3) before delegated execution.</w:t>
      </w:r>
    </w:p>
    <w:p>
      <w:pPr>
        <w:spacing w:after="140" w:line="276"/>
      </w:pPr>
      <w:r>
        <w:rPr>
          <w:rFonts w:ascii="Aptos" w:cs="Aptos" w:eastAsia="Aptos" w:hAnsi="Aptos"/>
          <w:sz w:val="21"/>
          <w:szCs w:val="21"/>
        </w:rPr>
        <w:t xml:space="preserve">Where an MCP server cannot offer a signed metadata document, A2A-2's requirement is met by an equivalent trusted discovery control: an approved-server registry with pinned identities and versions, and a hash of the tool list that was reviewed. The hash catches a changed definition; the pinned version and its provenance are what catch a server package that was republished with a different implementation.</w:t>
      </w:r>
    </w:p>
    <w:p>
      <w:pPr>
        <w:pStyle w:val="Heading1"/>
        <w:keepNext/>
        <w:spacing w:after="160" w:before="360"/>
      </w:pPr>
      <w:r>
        <w:rPr>
          <w:rFonts w:ascii="Aptos" w:cs="Aptos" w:eastAsia="Aptos" w:hAnsi="Aptos"/>
        </w:rPr>
        <w:t xml:space="preserve">Behavioral Contract Specification</w:t>
      </w:r>
    </w:p>
    <w:p>
      <w:pPr>
        <w:spacing w:after="140" w:line="276"/>
      </w:pPr>
      <w:r>
        <w:rPr>
          <w:rFonts w:ascii="Aptos" w:cs="Aptos" w:eastAsia="Aptos" w:hAnsi="Aptos"/>
          <w:sz w:val="21"/>
          <w:szCs w:val="21"/>
        </w:rPr>
        <w:t xml:space="preserve">Behavioral contracts are the agreement negotiated at phase 4 of the trust sequence. They define what both sides commit to for a session or a request. Contracts are machine-readable, schema-validated and logged against the trace ID. The target's default_contract, published in its manifest, is the starting point; the caller accepts the defaults, proposes changes, or walks away if the terms are incompatible. For an MCP server, the equivalent of a default contract is the server's documented terms plus the agent's own policy for that server, and the contract is held by the agent's layer 6 rather than negotiated on the wire.</w:t>
      </w:r>
    </w:p>
    <w:p>
      <w:pPr>
        <w:pStyle w:val="Heading2"/>
        <w:keepNext/>
        <w:spacing w:after="120" w:before="260"/>
      </w:pPr>
      <w:r>
        <w:rPr>
          <w:rFonts w:ascii="Aptos" w:cs="Aptos" w:eastAsia="Aptos" w:hAnsi="Aptos"/>
        </w:rPr>
        <w:t xml:space="preserve">Required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100"/>
        <w:gridCol w:w="6060"/>
      </w:tblGrid>
      <w:tr>
        <w:trPr>
          <w:tblHeader/>
        </w:trPr>
        <w:tc>
          <w:tcPr>
            <w:tcW w:type="dxa" w:w="22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Term</w:t>
            </w:r>
          </w:p>
        </w:tc>
        <w:tc>
          <w:tcPr>
            <w:tcW w:type="dxa" w:w="11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Type</w:t>
            </w:r>
          </w:p>
        </w:tc>
        <w:tc>
          <w:tcPr>
            <w:tcW w:type="dxa" w:w="606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Description</w:t>
            </w:r>
          </w:p>
        </w:tc>
      </w:tr>
      <w:tr>
        <w:trPr>
          <w:cantSplit/>
        </w:trPr>
        <w:tc>
          <w:tcPr>
            <w:tcW w:type="dxa" w:w="2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scope</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string</w:t>
            </w:r>
          </w:p>
        </w:tc>
        <w:tc>
          <w:tcPr>
            <w:tcW w:type="dxa" w:w="60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What the requesting agent is asking for, specific enough for the receiver's policy engine to evaluate.</w:t>
            </w:r>
          </w:p>
        </w:tc>
      </w:tr>
      <w:tr>
        <w:trPr>
          <w:cantSplit/>
        </w:trPr>
        <w:tc>
          <w:tcPr>
            <w:tcW w:type="dxa" w:w="22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permitted_actions</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array</w:t>
            </w:r>
          </w:p>
        </w:tc>
        <w:tc>
          <w:tcPr>
            <w:tcW w:type="dxa" w:w="60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Explicit list of actions the receiver is authorized to perform. Anything outside the list is rejected.</w:t>
            </w:r>
          </w:p>
        </w:tc>
      </w:tr>
      <w:tr>
        <w:trPr>
          <w:cantSplit/>
        </w:trPr>
        <w:tc>
          <w:tcPr>
            <w:tcW w:type="dxa" w:w="2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max_latency</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duration</w:t>
            </w:r>
          </w:p>
        </w:tc>
        <w:tc>
          <w:tcPr>
            <w:tcW w:type="dxa" w:w="60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Response time bound (30s, 5m). The receiver responds or reports failure within this window.</w:t>
            </w:r>
          </w:p>
        </w:tc>
      </w:tr>
      <w:tr>
        <w:trPr>
          <w:cantSplit/>
        </w:trPr>
        <w:tc>
          <w:tcPr>
            <w:tcW w:type="dxa" w:w="22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error_handling</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enum</w:t>
            </w:r>
          </w:p>
        </w:tc>
        <w:tc>
          <w:tcPr>
            <w:tcW w:type="dxa" w:w="60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Failure mode: retry (with backoff), fallback (degraded response) or abort (return the error immediately).</w:t>
            </w:r>
          </w:p>
        </w:tc>
      </w:tr>
      <w:tr>
        <w:trPr>
          <w:cantSplit/>
        </w:trPr>
        <w:tc>
          <w:tcPr>
            <w:tcW w:type="dxa" w:w="2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oversight_level</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enum</w:t>
            </w:r>
          </w:p>
        </w:tc>
        <w:tc>
          <w:tcPr>
            <w:tcW w:type="dxa" w:w="60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The agreed oversight level: autonomous, monitored, gated or manual. Selected by the receiver at phase 4 and locked into the contract.</w:t>
            </w:r>
          </w:p>
        </w:tc>
      </w:tr>
      <w:tr>
        <w:trPr>
          <w:cantSplit/>
        </w:trPr>
        <w:tc>
          <w:tcPr>
            <w:tcW w:type="dxa" w:w="22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trace_id</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string</w:t>
            </w:r>
          </w:p>
        </w:tc>
        <w:tc>
          <w:tcPr>
            <w:tcW w:type="dxa" w:w="60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The correlation ID for the audit trail. Created by the first system in the chain and carried through every hop.</w:t>
            </w:r>
          </w:p>
        </w:tc>
      </w:tr>
      <w:tr>
        <w:trPr>
          <w:cantSplit/>
        </w:trPr>
        <w:tc>
          <w:tcPr>
            <w:tcW w:type="dxa" w:w="2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data_classification</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enum</w:t>
            </w:r>
          </w:p>
        </w:tc>
        <w:tc>
          <w:tcPr>
            <w:tcW w:type="dxa" w:w="60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The highest classification of data that may cross the boundary in either direction: public, internal, confidential, restricted. It is a ceiling, not only a label; see Data Classification Enforcement.</w:t>
            </w:r>
          </w:p>
        </w:tc>
      </w:tr>
      <w:tr>
        <w:trPr>
          <w:cantSplit/>
        </w:trPr>
        <w:tc>
          <w:tcPr>
            <w:tcW w:type="dxa" w:w="22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retention_policy</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duration</w:t>
            </w:r>
          </w:p>
        </w:tc>
        <w:tc>
          <w:tcPr>
            <w:tcW w:type="dxa" w:w="60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How long the receiver may keep request and response data, including memory, logs, cached embeddings and any derived artifacts. See Retention Policy Enforcement.</w:t>
            </w:r>
          </w:p>
        </w:tc>
      </w:tr>
    </w:tbl>
    <w:p>
      <w:pPr>
        <w:spacing w:after="160"/>
      </w:pPr>
    </w:p>
    <w:p>
      <w:pPr>
        <w:spacing w:after="140" w:line="276"/>
      </w:pPr>
      <w:r>
        <w:rPr>
          <w:rFonts w:ascii="Aptos" w:cs="Aptos" w:eastAsia="Aptos" w:hAnsi="Aptos"/>
          <w:sz w:val="21"/>
          <w:szCs w:val="21"/>
        </w:rPr>
        <w:t xml:space="preserve">Both data_classification and retention_policy are required terms: an agent that handles any data at all has a classification for it and a retention obligation for it, and a contract that leaves them out has left out the two terms a regulator will ask about first. Where a caller has nothing sensitive to say, "public" and the receiver's default retention are valid values.</w:t>
      </w:r>
    </w:p>
    <w:p>
      <w:pPr>
        <w:pStyle w:val="Heading2"/>
        <w:keepNext/>
        <w:spacing w:after="120" w:before="260"/>
      </w:pPr>
      <w:r>
        <w:rPr>
          <w:rFonts w:ascii="Aptos" w:cs="Aptos" w:eastAsia="Aptos" w:hAnsi="Aptos"/>
        </w:rPr>
        <w:t xml:space="preserve">Optional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100"/>
        <w:gridCol w:w="6060"/>
      </w:tblGrid>
      <w:tr>
        <w:trPr>
          <w:tblHeader/>
        </w:trPr>
        <w:tc>
          <w:tcPr>
            <w:tcW w:type="dxa" w:w="22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Term</w:t>
            </w:r>
          </w:p>
        </w:tc>
        <w:tc>
          <w:tcPr>
            <w:tcW w:type="dxa" w:w="11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Type</w:t>
            </w:r>
          </w:p>
        </w:tc>
        <w:tc>
          <w:tcPr>
            <w:tcW w:type="dxa" w:w="606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Description</w:t>
            </w:r>
          </w:p>
        </w:tc>
      </w:tr>
      <w:tr>
        <w:trPr>
          <w:cantSplit/>
        </w:trPr>
        <w:tc>
          <w:tcPr>
            <w:tcW w:type="dxa" w:w="2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max_tokens</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integer</w:t>
            </w:r>
          </w:p>
        </w:tc>
        <w:tc>
          <w:tcPr>
            <w:tcW w:type="dxa" w:w="60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Token cap for the interaction. Bounds resource consumption (OWASP LLM10).</w:t>
            </w:r>
          </w:p>
        </w:tc>
      </w:tr>
      <w:tr>
        <w:trPr>
          <w:cantSplit/>
        </w:trPr>
        <w:tc>
          <w:tcPr>
            <w:tcW w:type="dxa" w:w="22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callback_url</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URI</w:t>
            </w:r>
          </w:p>
        </w:tc>
        <w:tc>
          <w:tcPr>
            <w:tcW w:type="dxa" w:w="60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Endpoint for asynchronous result delivery. Same authentication requirements as the primary channel.</w:t>
            </w:r>
          </w:p>
        </w:tc>
      </w:tr>
      <w:tr>
        <w:trPr>
          <w:cantSplit/>
        </w:trPr>
        <w:tc>
          <w:tcPr>
            <w:tcW w:type="dxa" w:w="2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escalation_path</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object</w:t>
            </w:r>
          </w:p>
        </w:tc>
        <w:tc>
          <w:tcPr>
            <w:tcW w:type="dxa" w:w="60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Who to notify if the contract is violated: team, channel, alert severity. Drives incident response.</w:t>
            </w:r>
          </w:p>
        </w:tc>
      </w:tr>
      <w:tr>
        <w:trPr>
          <w:cantSplit/>
        </w:trPr>
        <w:tc>
          <w:tcPr>
            <w:tcW w:type="dxa" w:w="22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sub_delegation</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object</w:t>
            </w:r>
          </w:p>
        </w:tc>
        <w:tc>
          <w:tcPr>
            <w:tcW w:type="dxa" w:w="60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Whether the receiver may call other agents or MCP servers. If permitted: allowed targets, maximum additional chain depth, scope constraints, and whether the same contract terms have to propagate.</w:t>
            </w:r>
          </w:p>
        </w:tc>
      </w:tr>
      <w:tr>
        <w:trPr>
          <w:cantSplit/>
        </w:trPr>
        <w:tc>
          <w:tcPr>
            <w:tcW w:type="dxa" w:w="2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context_ttl</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enum</w:t>
            </w:r>
          </w:p>
        </w:tc>
        <w:tc>
          <w:tcPr>
            <w:tcW w:type="dxa" w:w="60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How long the receiver may hold context from the interaction. immediate is request-scoped: nothing from the request survives its completion, in memory or in storage, and each turn is isolated. session is session-scoped: context may persist across turns within the session and is purged at session close. retain is persistent: context may be kept subject to retention_policy. Defaults to retain. Use immediate for sensitive interactions where cross-client leakage is a concern.</w:t>
            </w:r>
          </w:p>
        </w:tc>
      </w:tr>
      <w:tr>
        <w:trPr>
          <w:cantSplit/>
        </w:trPr>
        <w:tc>
          <w:tcPr>
            <w:tcW w:type="dxa" w:w="22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budget_limit</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object</w:t>
            </w:r>
          </w:p>
        </w:tc>
        <w:tc>
          <w:tcPr>
            <w:tcW w:type="dxa" w:w="60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Maximum cost the caller will incur: currency (ISO 4217), max_amount, scope (per_request or per_session), and enforcement (hard or soft). Under hard enforcement the receiver reserves cost before executing and never exceeds max_amount; under soft enforcement it may overrun by a stated allowance where a cost cannot be bounded in advance. Downstream costs count against the originating budget. If omitted, no budget constraint applies.</w:t>
            </w:r>
          </w:p>
        </w:tc>
      </w:tr>
      <w:tr>
        <w:trPr>
          <w:cantSplit/>
        </w:trPr>
        <w:tc>
          <w:tcPr>
            <w:tcW w:type="dxa" w:w="2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cost_reporting</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boolean</w:t>
            </w:r>
          </w:p>
        </w:tc>
        <w:tc>
          <w:tcPr>
            <w:tcW w:type="dxa" w:w="60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When true, every response carries a cost_incurred field with the actual cost of that request or the cumulative session cost to date, in the budget_limit currency. Defaults to false. Agents with variable costs (priced tool calls, paid sub-delegation) should support it.</w:t>
            </w:r>
          </w:p>
        </w:tc>
      </w:tr>
    </w:tbl>
    <w:p>
      <w:pPr>
        <w:spacing w:after="160"/>
      </w:pPr>
    </w:p>
    <w:p>
      <w:pPr>
        <w:pStyle w:val="Heading2"/>
        <w:keepNext/>
        <w:spacing w:after="120" w:before="260"/>
      </w:pPr>
      <w:r>
        <w:rPr>
          <w:rFonts w:ascii="Aptos" w:cs="Aptos" w:eastAsia="Aptos" w:hAnsi="Aptos"/>
        </w:rPr>
        <w:t xml:space="preserve">Enforcement and Violation Handling</w:t>
      </w:r>
    </w:p>
    <w:p>
      <w:pPr>
        <w:spacing w:after="140" w:line="276"/>
      </w:pPr>
      <w:r>
        <w:rPr>
          <w:rFonts w:ascii="Aptos" w:cs="Aptos" w:eastAsia="Aptos" w:hAnsi="Aptos"/>
          <w:sz w:val="21"/>
          <w:szCs w:val="21"/>
        </w:rPr>
        <w:t xml:space="preserve">Contract compliance is verified at layer 6 on the receiving side before the response goes back to the caller, and checked again at the caller's layer 6 when the response arrives with the receiver's compliance evidence (phase 6). Violations include exceeding the permitted_actions scope, missing the max_latency window, unauthorized sub-delegation, and returning data above the agreed classification.</w:t>
      </w:r>
    </w:p>
    <w:p>
      <w:pPr>
        <w:pStyle w:val="ListParagraph"/>
        <w:numPr>
          <w:ilvl w:val="0"/>
          <w:numId w:val="2"/>
        </w:numPr>
        <w:spacing w:after="90" w:line="264"/>
      </w:pPr>
      <w:r>
        <w:rPr>
          <w:rFonts w:ascii="Aptos" w:cs="Aptos" w:eastAsia="Aptos" w:hAnsi="Aptos"/>
          <w:sz w:val="21"/>
          <w:szCs w:val="21"/>
        </w:rPr>
        <w:t xml:space="preserve">Every violation is logged against the trace ID with the term violated, the actual value and the contracted value.</w:t>
      </w:r>
    </w:p>
    <w:p>
      <w:pPr>
        <w:pStyle w:val="ListParagraph"/>
        <w:numPr>
          <w:ilvl w:val="0"/>
          <w:numId w:val="2"/>
        </w:numPr>
        <w:spacing w:after="90" w:line="264"/>
      </w:pPr>
      <w:r>
        <w:rPr>
          <w:rFonts w:ascii="Aptos" w:cs="Aptos" w:eastAsia="Aptos" w:hAnsi="Aptos"/>
          <w:sz w:val="21"/>
          <w:szCs w:val="21"/>
        </w:rPr>
        <w:t xml:space="preserve">Violations may trip circuit breakers at layer 6 (A2A-7).</w:t>
      </w:r>
    </w:p>
    <w:p>
      <w:pPr>
        <w:pStyle w:val="ListParagraph"/>
        <w:numPr>
          <w:ilvl w:val="0"/>
          <w:numId w:val="2"/>
        </w:numPr>
        <w:spacing w:after="90" w:line="264"/>
      </w:pPr>
      <w:r>
        <w:rPr>
          <w:rFonts w:ascii="Aptos" w:cs="Aptos" w:eastAsia="Aptos" w:hAnsi="Aptos"/>
          <w:sz w:val="21"/>
          <w:szCs w:val="21"/>
        </w:rPr>
        <w:t xml:space="preserve">Repeated violations from the same agent trigger trust re-evaluation and may result in automatic de-trust.</w:t>
      </w:r>
    </w:p>
    <w:p>
      <w:pPr>
        <w:pStyle w:val="ListParagraph"/>
        <w:numPr>
          <w:ilvl w:val="0"/>
          <w:numId w:val="2"/>
        </w:numPr>
        <w:spacing w:after="90" w:line="264"/>
      </w:pPr>
      <w:r>
        <w:rPr>
          <w:rFonts w:ascii="Aptos" w:cs="Aptos" w:eastAsia="Aptos" w:hAnsi="Aptos"/>
          <w:sz w:val="21"/>
          <w:szCs w:val="21"/>
        </w:rPr>
        <w:t xml:space="preserve">A2A-10 defines contract compliance verification as a control; A2A-11 covers the record it produces.</w:t>
      </w:r>
    </w:p>
    <w:p>
      <w:pPr>
        <w:pStyle w:val="Heading2"/>
        <w:keepNext/>
        <w:spacing w:after="120" w:before="260"/>
      </w:pPr>
      <w:r>
        <w:rPr>
          <w:rFonts w:ascii="Aptos" w:cs="Aptos" w:eastAsia="Aptos" w:hAnsi="Aptos"/>
        </w:rPr>
        <w:t xml:space="preserve">Session Scope and Contract Reuse</w:t>
      </w:r>
    </w:p>
    <w:p>
      <w:pPr>
        <w:spacing w:after="140" w:line="276"/>
      </w:pPr>
      <w:r>
        <w:rPr>
          <w:rFonts w:ascii="Aptos" w:cs="Aptos" w:eastAsia="Aptos" w:hAnsi="Aptos"/>
          <w:sz w:val="21"/>
          <w:szCs w:val="21"/>
        </w:rPr>
        <w:t xml:space="preserve">The trust sequence does not have to run in full on every request. For high-frequency interactions where the same two parties exchange many requests under stable conditions, a full handshake per request adds latency for nothing. A compliant implementation may negotiate the contract once and establish a session that later requests reuse. The session is bound to the original contract terms, the authenticated identities of both parties and the oversight level selected during negotiation. Requests within the session skip contract negotiation and oversight selection, still carry the trace ID, and are still subject to contract compliance verification at layer 6.</w:t>
      </w:r>
    </w:p>
    <w:p>
      <w:pPr>
        <w:spacing w:after="140" w:line="276"/>
      </w:pPr>
      <w:r>
        <w:rPr>
          <w:rFonts w:ascii="Aptos" w:cs="Aptos" w:eastAsia="Aptos" w:hAnsi="Aptos"/>
          <w:sz w:val="21"/>
          <w:szCs w:val="21"/>
        </w:rPr>
        <w:t xml:space="preserve">Sessions are re-negotiated when the data classification of a request changes from what was contracted, the caller's scope expands beyond the original permitted_actions, the session token expires (sessions have a maximum lifetime, typically the time to live (TTL) of the workload's SVID, its SPIFFE Verifiable Identity Document), either party's credentials are rotated or revoked, or the receiver's layer 6 detects behavioral drift that changes the risk profile.</w:t>
      </w:r>
    </w:p>
    <w:p>
      <w:pPr>
        <w:spacing w:after="140" w:line="276"/>
      </w:pPr>
      <w:r>
        <w:rPr>
          <w:rFonts w:ascii="Aptos" w:cs="Aptos" w:eastAsia="Aptos" w:hAnsi="Aptos"/>
          <w:sz w:val="21"/>
          <w:szCs w:val="21"/>
        </w:rPr>
        <w:t xml:space="preserve">The session token is a short-lived JSON Web Token (JWT) or equivalent, sender-constrained (bound to the caller's mutual TLS (mTLS) certificate per RFC 8705 or to a key pair per Demonstrating Proof of Possession, DPoP, RFC 9449). It encodes the contract ID, the agreed oversight level, the permitted scope and the session expiry. The receiver's layer 6 validates it on each request and rejects it when conditions have changed. Policy decisions can be cached for the session, but the cache entry is bound to the inputs that produced it (identities, contract terms, oversight level, policy version), it is evicted on any re-negotiation condition, and every request is still checked against the things that change between requests: the operation and its arguments against scope and any standing approval, the current revocation state, and the remaining budget.</w:t>
      </w:r>
    </w:p>
    <w:p>
      <w:pPr>
        <w:spacing w:after="140" w:line="276"/>
      </w:pPr>
      <w:r>
        <w:rPr>
          <w:rFonts w:ascii="Aptos" w:cs="Aptos" w:eastAsia="Aptos" w:hAnsi="Aptos"/>
          <w:sz w:val="21"/>
          <w:szCs w:val="21"/>
        </w:rPr>
        <w:t xml:space="preserve">MCP has no protocol-level session: every MCP request stands on its own and the protocol gives the server nothing to remember between calls (what application state a server keeps for its own purposes is its business). The session pattern here is unaffected, because the session lives in the token and in the agent's layer 6 policy cache rather than in the transport. It also means a server only notices a revoked token when it checks, so how fast revocation reaches an MCP server is a property of token lifetime and introspection, and A2A-12 asks you to measure that interval rather than assume it.</w:t>
      </w:r>
    </w:p>
    <w:p>
      <w:pPr>
        <w:spacing w:after="140" w:line="276"/>
      </w:pPr>
      <w:r>
        <w:rPr>
          <w:rFonts w:ascii="Aptos" w:cs="Aptos" w:eastAsia="Aptos" w:hAnsi="Aptos"/>
          <w:sz w:val="21"/>
          <w:szCs w:val="21"/>
        </w:rPr>
        <w:t xml:space="preserve">Session-based negotiation is optional. Per-request negotiation is fully compliant. The session pattern is a performance optimization, not a relaxation; every request in a session is still logged, traced and checked for violations.</w:t>
      </w:r>
    </w:p>
    <w:p>
      <w:pPr>
        <w:pStyle w:val="Heading2"/>
        <w:keepNext/>
        <w:spacing w:after="120" w:before="260"/>
      </w:pPr>
      <w:r>
        <w:rPr>
          <w:rFonts w:ascii="Aptos" w:cs="Aptos" w:eastAsia="Aptos" w:hAnsi="Aptos"/>
        </w:rPr>
        <w:t xml:space="preserve">Data Classification Enforcement</w:t>
      </w:r>
    </w:p>
    <w:p>
      <w:pPr>
        <w:spacing w:after="140" w:line="276"/>
      </w:pPr>
      <w:r>
        <w:rPr>
          <w:rFonts w:ascii="Aptos" w:cs="Aptos" w:eastAsia="Aptos" w:hAnsi="Aptos"/>
          <w:sz w:val="21"/>
          <w:szCs w:val="21"/>
        </w:rPr>
        <w:t xml:space="preserve">The data_classification term carries two meanings that enforcement has to keep apart. As a label, it describes the sensitivity of what the caller is sending. As a ceiling, it is the highest classification the receiver may return or pass downstream. The monotonic rule (classification only narrows through delegation) is about the ceiling. The term is only useful if every layer in the receiver's stack enforces it: setting a contract to internal does nothing if the agent's retrieval pipeline can pull restricted documents and return them. Enforcement is layered:</w:t>
      </w:r>
    </w:p>
    <w:p>
      <w:pPr>
        <w:pStyle w:val="ListParagraph"/>
        <w:numPr>
          <w:ilvl w:val="0"/>
          <w:numId w:val="2"/>
        </w:numPr>
        <w:spacing w:after="90" w:line="264"/>
      </w:pPr>
      <w:r>
        <w:rPr>
          <w:rFonts w:ascii="Aptos" w:cs="Aptos" w:eastAsia="Aptos" w:hAnsi="Aptos"/>
          <w:sz w:val="21"/>
          <w:szCs w:val="21"/>
        </w:rPr>
        <w:t xml:space="preserve">Layer 7 (Interface): scan outbound responses against the contracted ceiling before returning to the caller. A response carrying data above it is blocked and logged as a contract violation. This is the last enforcement point before data leaves the system, and a backstop rather than the primary control: a content scanner catches the patterns it was built for and not every disclosure.</w:t>
      </w:r>
    </w:p>
    <w:p>
      <w:pPr>
        <w:pStyle w:val="ListParagraph"/>
        <w:numPr>
          <w:ilvl w:val="0"/>
          <w:numId w:val="2"/>
        </w:numPr>
        <w:spacing w:after="90" w:line="264"/>
      </w:pPr>
      <w:r>
        <w:rPr>
          <w:rFonts w:ascii="Aptos" w:cs="Aptos" w:eastAsia="Aptos" w:hAnsi="Aptos"/>
          <w:sz w:val="21"/>
          <w:szCs w:val="21"/>
        </w:rPr>
        <w:t xml:space="preserve">Layer 6 (Orchestration and Control): when the orchestration layer delegates downstream, it propagates the ceiling. A downstream agent or MCP server never receives a less restrictive classification than the original contract carries. Same monotonic rule as scope.</w:t>
      </w:r>
    </w:p>
    <w:p>
      <w:pPr>
        <w:pStyle w:val="ListParagraph"/>
        <w:numPr>
          <w:ilvl w:val="0"/>
          <w:numId w:val="2"/>
        </w:numPr>
        <w:spacing w:after="90" w:line="264"/>
      </w:pPr>
      <w:r>
        <w:rPr>
          <w:rFonts w:ascii="Aptos" w:cs="Aptos" w:eastAsia="Aptos" w:hAnsi="Aptos"/>
          <w:sz w:val="21"/>
          <w:szCs w:val="21"/>
        </w:rPr>
        <w:t xml:space="preserve">Layer 5 (Agent Logic): if the agent runs detection or redaction of personally identifiable information (PII) as part of its reasoning, it runs before the model generates the final response. Redaction after generation risks sensitive tokens surviving in the reasoning trace even when the output is scrubbed. Personal data is governed by the ceiling and by the data protection rules that apply to it, not barred from every public contract; the policy outcome is what the contract states, and the detector is one means to it.</w:t>
      </w:r>
    </w:p>
    <w:p>
      <w:pPr>
        <w:pStyle w:val="ListParagraph"/>
        <w:numPr>
          <w:ilvl w:val="0"/>
          <w:numId w:val="2"/>
        </w:numPr>
        <w:spacing w:after="90" w:line="264"/>
      </w:pPr>
      <w:r>
        <w:rPr>
          <w:rFonts w:ascii="Aptos" w:cs="Aptos" w:eastAsia="Aptos" w:hAnsi="Aptos"/>
          <w:sz w:val="21"/>
          <w:szCs w:val="21"/>
        </w:rPr>
        <w:t xml:space="preserve">Layer 4 (Data): tag vector store documents and index entries with their classification at ingest. When the agent retrieves context for a request under contract, filter results to exclude anything above the contracted ceiling, so the model never sees data it should not reason over for this interaction (AI-6). This is where the ceiling is enforced most reliably.</w:t>
      </w:r>
    </w:p>
    <w:p>
      <w:pPr>
        <w:spacing w:after="140" w:line="276"/>
      </w:pPr>
      <w:r>
        <w:rPr>
          <w:rFonts w:ascii="Aptos" w:cs="Aptos" w:eastAsia="Aptos" w:hAnsi="Aptos"/>
          <w:sz w:val="21"/>
          <w:szCs w:val="21"/>
        </w:rPr>
        <w:t xml:space="preserve">Traditional data loss prevention (DLP) tooling inspects HTTP traffic for patterns. Agent payloads are structured JSON with model-generated content nested inside, and the content that matters most may arrive in a tool result rather than a response body. Check whether your DLP tooling can parse agent payloads and detect sensitive content in nested fields, or whether classification applied at layers 4 and 5, before the data reaches the wire, is the better enforcement point (SEC-7).</w:t>
      </w:r>
    </w:p>
    <w:p>
      <w:pPr>
        <w:pStyle w:val="Heading2"/>
        <w:keepNext/>
        <w:spacing w:after="120" w:before="260"/>
      </w:pPr>
      <w:r>
        <w:rPr>
          <w:rFonts w:ascii="Aptos" w:cs="Aptos" w:eastAsia="Aptos" w:hAnsi="Aptos"/>
        </w:rPr>
        <w:t xml:space="preserve">Budget Enforcement</w:t>
      </w:r>
    </w:p>
    <w:p>
      <w:pPr>
        <w:spacing w:after="140" w:line="276"/>
      </w:pPr>
      <w:r>
        <w:rPr>
          <w:rFonts w:ascii="Aptos" w:cs="Aptos" w:eastAsia="Aptos" w:hAnsi="Aptos"/>
          <w:sz w:val="21"/>
          <w:szCs w:val="21"/>
        </w:rPr>
        <w:t xml:space="preserve">When a contract includes a budget_limit, the receiver tracks cumulative cost and enforces the ceiling. Cost tracking is the receiver's job because only the receiver knows what its operations cost: model inference, tool call fees and any downstream delegation charges. A hard ceiling cannot be enforced by checking after the fact, because the cost has already been incurred by then. It takes four things: a bound on each operation's cost before it runs (an output token limit multiplied by the rate, a fixed tool price, the reservation handed to a child), a reservation of that bound against the remaining balance before executing, settlement of the actual charge when it lands with the unused part released, and a single ledger per budget so that two operations or two children running in parallel cannot each be handed the same balance. For per_request budgets the ledger lives for the request; for per_session budgets it lives for the session and beyond it, because delayed charges and asynchronous work can land after the authorization session cache has expired, and the ledger, not the cache, is the record of spend.</w:t>
      </w:r>
    </w:p>
    <w:p>
      <w:pPr>
        <w:spacing w:after="140" w:line="276"/>
      </w:pPr>
      <w:r>
        <w:rPr>
          <w:rFonts w:ascii="Aptos" w:cs="Aptos" w:eastAsia="Aptos" w:hAnsi="Aptos"/>
          <w:sz w:val="21"/>
          <w:szCs w:val="21"/>
        </w:rPr>
        <w:t xml:space="preserve">Where an operation's cost cannot be bounded in advance, the contract says so: enforcement is soft, max_amount is a spending limit with a stated overrun allowance, and the receiver still reserves what it can estimate and reports what it actually spent. Sub-delegation uses the same ledger: when the receiver delegates downstream, the downstream cost counts against the originating budget, and a downstream budget_limit is a reservation of no more than the remaining balance minus a reserve for the receiver's own completion. Cost authority only narrows through delegation. When cost_reporting is on, every response carries cost_incurred so the caller can watch spend without relying on the receiver alone (A2A-13).</w:t>
      </w:r>
    </w:p>
    <w:p>
      <w:pPr>
        <w:spacing w:after="140" w:line="276"/>
      </w:pPr>
      <w:r>
        <w:rPr>
          <w:rFonts w:ascii="Aptos" w:cs="Aptos" w:eastAsia="Aptos" w:hAnsi="Aptos"/>
          <w:sz w:val="21"/>
          <w:szCs w:val="21"/>
        </w:rPr>
        <w:t xml:space="preserve">Budget enforcement moves up to before production for any agent that can call or delegate without a limit. Agents inside one organization where cost is handled through infrastructure billing may not need contract-level budgets; the case for them is cross-team and cross-organization meshes where the caller has to cap spend per interaction. The Operations and Lifecycle Reference covers cost monitoring and alerting.</w:t>
      </w:r>
    </w:p>
    <w:p>
      <w:pPr>
        <w:pStyle w:val="Heading2"/>
        <w:keepNext/>
        <w:spacing w:after="120" w:before="260"/>
      </w:pPr>
      <w:r>
        <w:rPr>
          <w:rFonts w:ascii="Aptos" w:cs="Aptos" w:eastAsia="Aptos" w:hAnsi="Aptos"/>
        </w:rPr>
        <w:t xml:space="preserve">Retention Policy Enforcement</w:t>
      </w:r>
    </w:p>
    <w:p>
      <w:pPr>
        <w:spacing w:after="140" w:line="276"/>
      </w:pPr>
      <w:r>
        <w:rPr>
          <w:rFonts w:ascii="Aptos" w:cs="Aptos" w:eastAsia="Aptos" w:hAnsi="Aptos"/>
          <w:sz w:val="21"/>
          <w:szCs w:val="21"/>
        </w:rPr>
        <w:t xml:space="preserve">The retention_policy term says how long the receiver may keep data from the interaction. Enforcing it is harder than a TTL because an agent stores data in several places across the stack, and a compliant implementation enforces retention across all of them:</w:t>
      </w:r>
    </w:p>
    <w:p>
      <w:pPr>
        <w:pStyle w:val="ListParagraph"/>
        <w:numPr>
          <w:ilvl w:val="0"/>
          <w:numId w:val="2"/>
        </w:numPr>
        <w:spacing w:after="90" w:line="264"/>
      </w:pPr>
      <w:r>
        <w:rPr>
          <w:rFonts w:ascii="Aptos" w:cs="Aptos" w:eastAsia="Aptos" w:hAnsi="Aptos"/>
          <w:sz w:val="21"/>
          <w:szCs w:val="21"/>
        </w:rPr>
        <w:t xml:space="preserve">Request and response logs: the raw payloads logged at layer 7. Set a TTL on the log store and automate deletion. After the window, keep only the trace metadata (trace ID, timestamps, compliance result).</w:t>
      </w:r>
    </w:p>
    <w:p>
      <w:pPr>
        <w:pStyle w:val="ListParagraph"/>
        <w:numPr>
          <w:ilvl w:val="0"/>
          <w:numId w:val="2"/>
        </w:numPr>
        <w:spacing w:after="90" w:line="264"/>
      </w:pPr>
      <w:r>
        <w:rPr>
          <w:rFonts w:ascii="Aptos" w:cs="Aptos" w:eastAsia="Aptos" w:hAnsi="Aptos"/>
          <w:sz w:val="21"/>
          <w:szCs w:val="21"/>
        </w:rPr>
        <w:t xml:space="preserve">Agent memory: if the agent keeps interaction context in a memory system for later requests, that memory is subject to the retention_policy. When the window expires, the agent purges or anonymizes the stored context: conversation history, extracted facts and any user-specific state derived from the interaction.</w:t>
      </w:r>
    </w:p>
    <w:p>
      <w:pPr>
        <w:pStyle w:val="ListParagraph"/>
        <w:numPr>
          <w:ilvl w:val="0"/>
          <w:numId w:val="2"/>
        </w:numPr>
        <w:spacing w:after="90" w:line="264"/>
      </w:pPr>
      <w:r>
        <w:rPr>
          <w:rFonts w:ascii="Aptos" w:cs="Aptos" w:eastAsia="Aptos" w:hAnsi="Aptos"/>
          <w:sz w:val="21"/>
          <w:szCs w:val="21"/>
        </w:rPr>
        <w:t xml:space="preserve">Cached embeddings and derived data: if the agent indexes request data into a vector store or knowledge graph for retrieval, those embeddings are derived artifacts subject to retention. Deleting the source record and leaving its embeddings in the index is not compliant, because embeddings can be used to reconstruct or approximate the original content.</w:t>
      </w:r>
    </w:p>
    <w:p>
      <w:pPr>
        <w:pStyle w:val="ListParagraph"/>
        <w:numPr>
          <w:ilvl w:val="0"/>
          <w:numId w:val="2"/>
        </w:numPr>
        <w:spacing w:after="90" w:line="264"/>
      </w:pPr>
      <w:r>
        <w:rPr>
          <w:rFonts w:ascii="Aptos" w:cs="Aptos" w:eastAsia="Aptos" w:hAnsi="Aptos"/>
          <w:sz w:val="21"/>
          <w:szCs w:val="21"/>
        </w:rPr>
        <w:t xml:space="preserve">Audit trail preservation: retention governs the data payload, not the audit record. Trace metadata, compliance results and oversight decisions are kept independently of the data retention window to support investigation and compliance evidence (SEC-10). The purge deletes the content and preserves the trail skeleton, which has a retention and access policy of its own because it still carries identities, targets and decisions.</w:t>
      </w:r>
    </w:p>
    <w:p>
      <w:pPr>
        <w:spacing w:after="140" w:line="276"/>
      </w:pPr>
      <w:r>
        <w:rPr>
          <w:rFonts w:ascii="Aptos" w:cs="Aptos" w:eastAsia="Aptos" w:hAnsi="Aptos"/>
          <w:sz w:val="21"/>
          <w:szCs w:val="21"/>
        </w:rPr>
        <w:t xml:space="preserve">Retention compliance should be demonstrable: the receiver can show, on request, that data from a specific interaction (by trace ID) has been purged from every storage location after the window expired. Regulation may set a floor that overrides a shorter contracted value. Under the EU AI Act, Article 12 requires high-risk systems to be capable of automatic logging, Article 19 requires providers of high-risk systems to keep the automatically generated logs under their control for at least six months, and Article 26(6) requires the same of deployers for the logs under their control, in each case unless Union or national law provides otherwise, which includes data protection law and can shorten the period as well as lengthen it. Which article applies depends on whether you are the provider or the deployer. The Operations and Lifecycle Reference covers contract-aware purge, conflicting retention policies, PII scrubbing and audit trail preservation in operation.</w:t>
      </w:r>
    </w:p>
    <w:p>
      <w:pPr>
        <w:pStyle w:val="Heading1"/>
        <w:keepNext/>
        <w:spacing w:after="160" w:before="360"/>
      </w:pPr>
      <w:r>
        <w:rPr>
          <w:rFonts w:ascii="Aptos" w:cs="Aptos" w:eastAsia="Aptos" w:hAnsi="Aptos"/>
        </w:rPr>
        <w:t xml:space="preserve">Authentication and Authorization</w:t>
      </w:r>
    </w:p>
    <w:p>
      <w:pPr>
        <w:spacing w:after="140" w:line="276"/>
      </w:pPr>
      <w:r>
        <w:rPr>
          <w:rFonts w:ascii="Aptos" w:cs="Aptos" w:eastAsia="Aptos" w:hAnsi="Aptos"/>
          <w:sz w:val="21"/>
          <w:szCs w:val="21"/>
        </w:rPr>
        <w:t xml:space="preserve">The model puts authentication at layer 7 (credentials presented during the handshake) and authorization at layer 6 (permission enforcement and scope management). The separation means identity is established before any policy evaluation starts, and authorization decisions are made by the orchestration layer independently of what the requesting agent claims. A valid identity is never approval for an action.</w:t>
      </w:r>
    </w:p>
    <w:p>
      <w:pPr>
        <w:pStyle w:val="Heading2"/>
        <w:keepNext/>
        <w:spacing w:after="120" w:before="260"/>
      </w:pPr>
      <w:r>
        <w:rPr>
          <w:rFonts w:ascii="Aptos" w:cs="Aptos" w:eastAsia="Aptos" w:hAnsi="Aptos"/>
        </w:rPr>
        <w:t xml:space="preserve">Authentication (Layer 7)</w:t>
      </w:r>
    </w:p>
    <w:p>
      <w:pPr>
        <w:spacing w:after="140" w:line="276"/>
      </w:pPr>
      <w:r>
        <w:rPr>
          <w:rFonts w:ascii="Aptos" w:cs="Aptos" w:eastAsia="Aptos" w:hAnsi="Aptos"/>
          <w:sz w:val="21"/>
          <w:szCs w:val="21"/>
        </w:rPr>
        <w:t xml:space="preserve">Every agent presents a cryptographically verifiable identity before any request is processed. The mechanism has to satisfy three requirements: bound to the agent's runtime environment, independently verifiable by the receiver, and able to support chain-of-custody verification across hops. The rule is the strongest mechanism the endpoint supports, and where you can, both transport and token binding together.</w:t>
      </w:r>
    </w:p>
    <w:p>
      <w:pPr>
        <w:pStyle w:val="Heading3"/>
        <w:keepNext/>
        <w:spacing w:after="80" w:before="200"/>
      </w:pPr>
      <w:r>
        <w:rPr>
          <w:rFonts w:ascii="Aptos" w:cs="Aptos" w:eastAsia="Aptos" w:hAnsi="Aptos"/>
        </w:rPr>
        <w:t xml:space="preserve">Reference: SPIFFE/SPIRE Workload Identity</w:t>
      </w:r>
    </w:p>
    <w:p>
      <w:pPr>
        <w:spacing w:after="140" w:line="276"/>
      </w:pPr>
      <w:r>
        <w:rPr>
          <w:rFonts w:ascii="Aptos" w:cs="Aptos" w:eastAsia="Aptos" w:hAnsi="Aptos"/>
          <w:sz w:val="21"/>
          <w:szCs w:val="21"/>
        </w:rPr>
        <w:t xml:space="preserve">The reference mechanism is workload identity through SPIFFE and its runtime environment, SPIRE. Each running agent instance gets a SPIFFE ID (spiffe://org.example/ns/agents/sa/research) issued and attested by a SPIRE server. SPIRE performs node and workload attestation to bind the identity to the specific process, container and host, rather than to a credential that could be copied elsewhere. Attestation constrains who can obtain the identity; it does not stop someone who has already stolen the credential and its private key from using them until they expire, which is what the short lifetime and the revocation interval below are for.</w:t>
      </w:r>
    </w:p>
    <w:p>
      <w:pPr>
        <w:pStyle w:val="Heading3"/>
        <w:keepNext/>
        <w:spacing w:after="80" w:before="200"/>
      </w:pPr>
      <w:r>
        <w:rPr>
          <w:rFonts w:ascii="Aptos" w:cs="Aptos" w:eastAsia="Aptos" w:hAnsi="Aptos"/>
        </w:rPr>
        <w:t xml:space="preserve">Transport: mTLS</w:t>
      </w:r>
    </w:p>
    <w:p>
      <w:pPr>
        <w:spacing w:after="140" w:line="276"/>
      </w:pPr>
      <w:r>
        <w:rPr>
          <w:rFonts w:ascii="Aptos" w:cs="Aptos" w:eastAsia="Aptos" w:hAnsi="Aptos"/>
          <w:sz w:val="21"/>
          <w:szCs w:val="21"/>
        </w:rPr>
        <w:t xml:space="preserve">Agent-to-agent channels use mTLS so both sides are verified, not only the initiator, with the short-lived SVIDs issued by SPIRE as the certificates. SVIDs can be X.509 certificates for transport authentication or JWTs for application-layer claims. Short lifetimes (minutes to an hour) suit ephemeral agents that exist for a single task. A2A supports mTLS natively.</w:t>
      </w:r>
    </w:p>
    <w:p>
      <w:pPr>
        <w:pStyle w:val="Heading3"/>
        <w:keepNext/>
        <w:spacing w:after="80" w:before="200"/>
      </w:pPr>
      <w:r>
        <w:rPr>
          <w:rFonts w:ascii="Aptos" w:cs="Aptos" w:eastAsia="Aptos" w:hAnsi="Aptos"/>
        </w:rPr>
        <w:t xml:space="preserve">OAuth 2.1 and MCP</w:t>
      </w:r>
    </w:p>
    <w:p>
      <w:pPr>
        <w:spacing w:after="140" w:line="276"/>
      </w:pPr>
      <w:r>
        <w:rPr>
          <w:rFonts w:ascii="Aptos" w:cs="Aptos" w:eastAsia="Aptos" w:hAnsi="Aptos"/>
          <w:sz w:val="21"/>
          <w:szCs w:val="21"/>
        </w:rPr>
        <w:t xml:space="preserve">Most stacks also need OAuth, because MCP's authorization framework for HTTP transports is OAuth 2.1 and does not define mTLS, and a lot of SaaS agents offer nothing else. Where mTLS is not available, the floor is OAuth 2.1 with the strongest binding the endpoint supports: an access token bound to the client's certificate (RFC 8705) or key (DPoP, RFC 9449), which is also what RFC 9700, the OAuth 2.0 security best current practice, recommends. A plain bearer token that anyone could replay is the bottom of the ladder, and when an otherwise acceptable endpoint cannot do better, A2A-1 asks for a documented compensating control and a written exception.</w:t>
      </w:r>
    </w:p>
    <w:p>
      <w:pPr>
        <w:spacing w:after="140" w:line="276"/>
      </w:pPr>
      <w:r>
        <w:rPr>
          <w:rFonts w:ascii="Aptos" w:cs="Aptos" w:eastAsia="Aptos" w:hAnsi="Aptos"/>
          <w:sz w:val="21"/>
          <w:szCs w:val="21"/>
        </w:rPr>
        <w:t xml:space="preserve">Three things are specific to MCP channels. First, a client identifies itself to your authorization server through a Client ID Metadata Document or a pre-registered client ID; dynamic client registration is deprecated, so where a server you run still accepts it, gate it with an initial access token or similar and plan the move with testing. Second, every request carries a token, since the protocol has no session to lean on. Third, Enterprise-Managed Authorization, an MCP extension, lets an MCP server insist that a request be authorized through your identity provider rather than on a token the agent obtained on its own; the identity provider takes part in the token exchange without sitting in the tool traffic path, and the client, the identity provider and the MCP authorization server all have to support it before it does anything for you.</w:t>
      </w:r>
    </w:p>
    <w:p>
      <w:pPr>
        <w:spacing w:after="140" w:line="276"/>
      </w:pPr>
      <w:r>
        <w:rPr>
          <w:rFonts w:ascii="Aptos" w:cs="Aptos" w:eastAsia="Aptos" w:hAnsi="Aptos"/>
          <w:sz w:val="21"/>
          <w:szCs w:val="21"/>
        </w:rPr>
        <w:t xml:space="preserve">The MCP statements in this document set describe the protocol as revised on July 28, 2026, which removed protocol-level sessions and the initialization handshake and deprecated dynamic client registration. Clients and servers on earlier revisions still carry all three. Treat them as compatibility cases rather than exceptions: bind any protocol session identifier to the token so a captured identifier is useless on its own, keep the token on every request anyway, and gate dynamic registration as above until both sides are on the current revision.</w:t>
      </w:r>
    </w:p>
    <w:p>
      <w:pPr>
        <w:pStyle w:val="Heading3"/>
        <w:keepNext/>
        <w:spacing w:after="80" w:before="200"/>
      </w:pPr>
      <w:r>
        <w:rPr>
          <w:rFonts w:ascii="Aptos" w:cs="Aptos" w:eastAsia="Aptos" w:hAnsi="Aptos"/>
        </w:rPr>
        <w:t xml:space="preserve">Identity Chain Verification</w:t>
      </w:r>
    </w:p>
    <w:p>
      <w:pPr>
        <w:spacing w:after="140" w:line="276"/>
      </w:pPr>
      <w:r>
        <w:rPr>
          <w:rFonts w:ascii="Aptos" w:cs="Aptos" w:eastAsia="Aptos" w:hAnsi="Aptos"/>
          <w:sz w:val="21"/>
          <w:szCs w:val="21"/>
        </w:rPr>
        <w:t xml:space="preserve">At every hop, layer 6 validates the full identity chain back to the originating agent and to the human or accountable non-human principal that authorized the initial request. Workload identity establishes which process is calling; it is not evidence of delegated authority. The originating principal and the permissions handed down at each hop need their own verifiable evidence, carried as a signed delegation assertion or as a token obtained through exchange that names the chain (OAuth 2.0 token exchange, RFC 8693, with its actor claim is one form), and layer 6 verifies that evidence separately from the peer's identity. The receiver verifies the entire delegation path, not only the party calling it directly. If any link has been revoked or cannot be verified, the request is rejected (A2A-4).</w:t>
      </w:r>
    </w:p>
    <w:p>
      <w:pPr>
        <w:pStyle w:val="Heading2"/>
        <w:keepNext/>
        <w:spacing w:after="120" w:before="260"/>
      </w:pPr>
      <w:r>
        <w:rPr>
          <w:rFonts w:ascii="Aptos" w:cs="Aptos" w:eastAsia="Aptos" w:hAnsi="Aptos"/>
        </w:rPr>
        <w:t xml:space="preserve">Authorization (Layer 6)</w:t>
      </w:r>
    </w:p>
    <w:p>
      <w:pPr>
        <w:pStyle w:val="Heading3"/>
        <w:keepNext/>
        <w:spacing w:after="80" w:before="200"/>
      </w:pPr>
      <w:r>
        <w:rPr>
          <w:rFonts w:ascii="Aptos" w:cs="Aptos" w:eastAsia="Aptos" w:hAnsi="Aptos"/>
        </w:rPr>
        <w:t xml:space="preserve">Sender-Constrained Tokens</w:t>
      </w:r>
    </w:p>
    <w:p>
      <w:pPr>
        <w:spacing w:after="140" w:line="276"/>
      </w:pPr>
      <w:r>
        <w:rPr>
          <w:rFonts w:ascii="Aptos" w:cs="Aptos" w:eastAsia="Aptos" w:hAnsi="Aptos"/>
          <w:sz w:val="21"/>
          <w:szCs w:val="21"/>
        </w:rPr>
        <w:t xml:space="preserve">Tokens are sender-constrained by one of two mechanisms: mTLS certificate binding (RFC 8705), which ties the token to the client's TLS certificate, or DPoP (RFC 9449), which ties it to a key pair the client holds. Bearer tokens alone are insufficient for agent channels because a stolen token can be replayed by anyone. Sender constraint means an intercepted token cannot be used from a different agent. The two are verified differently and a receiver has to implement the path that matches the token: certificate binding compares the thumbprint in the token's confirmation claim with the certificate on the TLS connection; DPoP requires a proof on every request, verified against the key the token is bound to, with the method, the URI, the token hash, the issue time and the proof identifier checked and a reused proof rejected.</w:t>
      </w:r>
    </w:p>
    <w:p>
      <w:pPr>
        <w:pStyle w:val="Heading3"/>
        <w:keepNext/>
        <w:spacing w:after="80" w:before="200"/>
      </w:pPr>
      <w:r>
        <w:rPr>
          <w:rFonts w:ascii="Aptos" w:cs="Aptos" w:eastAsia="Aptos" w:hAnsi="Aptos"/>
        </w:rPr>
        <w:t xml:space="preserve">Scope Enforcement</w:t>
      </w:r>
    </w:p>
    <w:p>
      <w:pPr>
        <w:spacing w:after="140" w:line="276"/>
      </w:pPr>
      <w:r>
        <w:rPr>
          <w:rFonts w:ascii="Aptos" w:cs="Aptos" w:eastAsia="Aptos" w:hAnsi="Aptos"/>
          <w:sz w:val="21"/>
          <w:szCs w:val="21"/>
        </w:rPr>
        <w:t xml:space="preserve">Authorization scopes are passed explicitly and constrained at each hop. The principle is monotonically decreasing authority: an agent cannot grant more than it was given. Layer 6 evaluates permissions per request against the behavioral contract and the originating context. A request for permissions broader than the caller's own authorization is rejected (A2A-5).</w:t>
      </w:r>
    </w:p>
    <w:p>
      <w:pPr>
        <w:pStyle w:val="Heading3"/>
        <w:keepNext/>
        <w:spacing w:after="80" w:before="200"/>
      </w:pPr>
      <w:r>
        <w:rPr>
          <w:rFonts w:ascii="Aptos" w:cs="Aptos" w:eastAsia="Aptos" w:hAnsi="Aptos"/>
        </w:rPr>
        <w:t xml:space="preserve">Replay Protection</w:t>
      </w:r>
    </w:p>
    <w:p>
      <w:pPr>
        <w:spacing w:after="140" w:line="276"/>
      </w:pPr>
      <w:r>
        <w:rPr>
          <w:rFonts w:ascii="Aptos" w:cs="Aptos" w:eastAsia="Aptos" w:hAnsi="Aptos"/>
          <w:sz w:val="21"/>
          <w:szCs w:val="21"/>
        </w:rPr>
        <w:t xml:space="preserve">Every request carries a nonce and a unique request identifier (jti). The receiver's layer 6 rejects any identifier it has already seen, which stops a captured valid request from being resubmitted (A2A-9).</w:t>
      </w:r>
    </w:p>
    <w:p>
      <w:pPr>
        <w:pStyle w:val="Heading3"/>
        <w:keepNext/>
        <w:spacing w:after="80" w:before="200"/>
      </w:pPr>
      <w:r>
        <w:rPr>
          <w:rFonts w:ascii="Aptos" w:cs="Aptos" w:eastAsia="Aptos" w:hAnsi="Aptos"/>
        </w:rPr>
        <w:t xml:space="preserve">Credential Lifecycle</w:t>
      </w:r>
    </w:p>
    <w:p>
      <w:pPr>
        <w:spacing w:after="140" w:line="276"/>
      </w:pPr>
      <w:r>
        <w:rPr>
          <w:rFonts w:ascii="Aptos" w:cs="Aptos" w:eastAsia="Aptos" w:hAnsi="Aptos"/>
          <w:sz w:val="21"/>
          <w:szCs w:val="21"/>
        </w:rPr>
        <w:t xml:space="preserve">Credentials are short-lived: minutes to an hour, never days. Revocation is propagated and paired with cancellation of the work in flight, so a chain can be halted when trust is pulled mid-execution, with a containment interval you have tested rather than assumed. Layer 6 checks revocation at each governance checkpoint, not only at the initial handshake. Actions that already completed or cannot be undone get a compensating step, because the revocation never reached them (A2A-12).</w:t>
      </w:r>
    </w:p>
    <w:p>
      <w:pPr>
        <w:pStyle w:val="Heading3"/>
        <w:keepNext/>
        <w:spacing w:after="80" w:before="200"/>
      </w:pPr>
      <w:r>
        <w:rPr>
          <w:rFonts w:ascii="Aptos" w:cs="Aptos" w:eastAsia="Aptos" w:hAnsi="Aptos"/>
        </w:rPr>
        <w:t xml:space="preserve">Agent Card Identity Binding</w:t>
      </w:r>
    </w:p>
    <w:p>
      <w:pPr>
        <w:spacing w:after="140" w:line="276"/>
      </w:pPr>
      <w:r>
        <w:rPr>
          <w:rFonts w:ascii="Aptos" w:cs="Aptos" w:eastAsia="Aptos" w:hAnsi="Aptos"/>
          <w:sz w:val="21"/>
          <w:szCs w:val="21"/>
        </w:rPr>
        <w:t xml:space="preserve">Agent Cards are signed and bound to the agent's runtime identity with a short issuance window, so a valid card cannot be detached from its legitimate agent and attached to an impersonator. The signatures cover the canonical card and the canonical manifest, the manifest's digest ties it to the card, and the runtime identity in the manifest is verified against the presenting agent's identity on the channel, not against any valid key (A2A-2).</w:t>
      </w:r>
    </w:p>
    <w:p>
      <w:pPr>
        <w:pStyle w:val="Heading1"/>
        <w:keepNext/>
        <w:spacing w:after="160" w:before="360"/>
      </w:pPr>
      <w:r>
        <w:rPr>
          <w:rFonts w:ascii="Aptos" w:cs="Aptos" w:eastAsia="Aptos" w:hAnsi="Aptos"/>
        </w:rPr>
        <w:t xml:space="preserve">Graduated Oversight</w:t>
      </w:r>
    </w:p>
    <w:p>
      <w:pPr>
        <w:spacing w:after="140" w:line="276"/>
      </w:pPr>
      <w:r>
        <w:rPr>
          <w:rFonts w:ascii="Aptos" w:cs="Aptos" w:eastAsia="Aptos" w:hAnsi="Aptos"/>
          <w:sz w:val="21"/>
          <w:szCs w:val="21"/>
        </w:rPr>
        <w:t xml:space="preserve">Not every interaction needs the same level of human involvement, and at scale a human in every loop is not possible. Layer 6 selects one of four oversight levels per request based on its risk profile. The selection happens at phase 4 of the trust sequence, alongside contract negotiation, after trust verification. The receiver's policy engine makes the selection, subject to whatever minimum the caller required; the agent never picks its own level.</w:t>
      </w:r>
    </w:p>
    <w:p>
      <w:pPr>
        <w:pStyle w:val="Heading2"/>
        <w:keepNext/>
        <w:spacing w:after="120" w:before="260"/>
      </w:pPr>
      <w:r>
        <w:rPr>
          <w:rFonts w:ascii="Aptos" w:cs="Aptos" w:eastAsia="Aptos" w:hAnsi="Aptos"/>
        </w:rPr>
        <w:t xml:space="preserve">Oversight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900"/>
        <w:gridCol w:w="3700"/>
        <w:gridCol w:w="3360"/>
      </w:tblGrid>
      <w:tr>
        <w:trPr>
          <w:tblHeader/>
        </w:trPr>
        <w:tc>
          <w:tcPr>
            <w:tcW w:type="dxa" w:w="14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Level</w:t>
            </w:r>
          </w:p>
        </w:tc>
        <w:tc>
          <w:tcPr>
            <w:tcW w:type="dxa" w:w="9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Risk</w:t>
            </w:r>
          </w:p>
        </w:tc>
        <w:tc>
          <w:tcPr>
            <w:tcW w:type="dxa" w:w="37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Behavior</w:t>
            </w:r>
          </w:p>
        </w:tc>
        <w:tc>
          <w:tcPr>
            <w:tcW w:type="dxa" w:w="336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When to use</w:t>
            </w:r>
          </w:p>
        </w:tc>
      </w:tr>
      <w:tr>
        <w:trPr>
          <w:cantSplit/>
        </w:trPr>
        <w:tc>
          <w:tcPr>
            <w:tcW w:type="dxa" w:w="14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Autonomous</w:t>
            </w:r>
          </w:p>
        </w:tc>
        <w:tc>
          <w:tcPr>
            <w:tcW w:type="dxa" w:w="9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Low</w:t>
            </w:r>
          </w:p>
        </w:tc>
        <w:tc>
          <w:tcPr>
            <w:tcW w:type="dxa" w:w="37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The agent executes without waiting for approval. Layer 6 logs the action and moves on.</w:t>
            </w:r>
          </w:p>
        </w:tc>
        <w:tc>
          <w:tcPr>
            <w:tcW w:type="dxa" w:w="33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Pre-approved action classes, read-only queries, routine lookups.</w:t>
            </w:r>
          </w:p>
        </w:tc>
      </w:tr>
      <w:tr>
        <w:trPr>
          <w:cantSplit/>
        </w:trPr>
        <w:tc>
          <w:tcPr>
            <w:tcW w:type="dxa" w:w="14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Monitored</w:t>
            </w:r>
          </w:p>
        </w:tc>
        <w:tc>
          <w:tcPr>
            <w:tcW w:type="dxa" w:w="9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Medium</w:t>
            </w:r>
          </w:p>
        </w:tc>
        <w:tc>
          <w:tcPr>
            <w:tcW w:type="dxa" w:w="37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The agent executes, and layer 6 alerts a human monitor in real time who can intervene.</w:t>
            </w:r>
          </w:p>
        </w:tc>
        <w:tc>
          <w:tcPr>
            <w:tcW w:type="dxa" w:w="33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Data retrieval with filtering, standard API calls, moderate-cost operations.</w:t>
            </w:r>
          </w:p>
        </w:tc>
      </w:tr>
      <w:tr>
        <w:trPr>
          <w:cantSplit/>
        </w:trPr>
        <w:tc>
          <w:tcPr>
            <w:tcW w:type="dxa" w:w="14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Gated</w:t>
            </w:r>
          </w:p>
        </w:tc>
        <w:tc>
          <w:tcPr>
            <w:tcW w:type="dxa" w:w="9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High</w:t>
            </w:r>
          </w:p>
        </w:tc>
        <w:tc>
          <w:tcPr>
            <w:tcW w:type="dxa" w:w="37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The agent prepares the action and layer 6 holds it for explicit human approval before execution.</w:t>
            </w:r>
          </w:p>
        </w:tc>
        <w:tc>
          <w:tcPr>
            <w:tcW w:type="dxa" w:w="33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Data modifications, financial transactions, actions with compliance implications.</w:t>
            </w:r>
          </w:p>
        </w:tc>
      </w:tr>
      <w:tr>
        <w:trPr>
          <w:cantSplit/>
        </w:trPr>
        <w:tc>
          <w:tcPr>
            <w:tcW w:type="dxa" w:w="14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Manual</w:t>
            </w:r>
          </w:p>
        </w:tc>
        <w:tc>
          <w:tcPr>
            <w:tcW w:type="dxa" w:w="9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Critical</w:t>
            </w:r>
          </w:p>
        </w:tc>
        <w:tc>
          <w:tcPr>
            <w:tcW w:type="dxa" w:w="37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 human takes over. The agent provides recommendations and does not act.</w:t>
            </w:r>
          </w:p>
        </w:tc>
        <w:tc>
          <w:tcPr>
            <w:tcW w:type="dxa" w:w="33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Novel action types, cross-domain escalations, actions with legal or safety implications.</w:t>
            </w:r>
          </w:p>
        </w:tc>
      </w:tr>
    </w:tbl>
    <w:p>
      <w:pPr>
        <w:spacing w:after="160"/>
      </w:pPr>
    </w:p>
    <w:p>
      <w:pPr>
        <w:pStyle w:val="Heading2"/>
        <w:keepNext/>
        <w:spacing w:after="120" w:before="260"/>
      </w:pPr>
      <w:r>
        <w:rPr>
          <w:rFonts w:ascii="Aptos" w:cs="Aptos" w:eastAsia="Aptos" w:hAnsi="Aptos"/>
        </w:rPr>
        <w:t xml:space="preserve">Selection Criteria</w:t>
      </w:r>
    </w:p>
    <w:p>
      <w:pPr>
        <w:spacing w:after="140" w:line="276"/>
      </w:pPr>
      <w:r>
        <w:rPr>
          <w:rFonts w:ascii="Aptos" w:cs="Aptos" w:eastAsia="Aptos" w:hAnsi="Aptos"/>
          <w:sz w:val="21"/>
          <w:szCs w:val="21"/>
        </w:rPr>
        <w:t xml:space="preserve">The oversight level is not static. The same agent may run autonomously for routine queries and need gated approval for actions that modify data or commit resources. Layer 6 decides per request based on:</w:t>
      </w:r>
    </w:p>
    <w:p>
      <w:pPr>
        <w:pStyle w:val="ListParagraph"/>
        <w:numPr>
          <w:ilvl w:val="0"/>
          <w:numId w:val="2"/>
        </w:numPr>
        <w:spacing w:after="90" w:line="264"/>
      </w:pPr>
      <w:r>
        <w:rPr>
          <w:rFonts w:ascii="Aptos" w:cs="Aptos" w:eastAsia="Aptos" w:hAnsi="Aptos"/>
          <w:sz w:val="21"/>
          <w:szCs w:val="21"/>
        </w:rPr>
        <w:t xml:space="preserve">The operation itself: what it does (reads, writes, sends, pays, deletes), the target, the arguments, the financial impact and whether it can be undone. A request that touches only public data can still need approval because of what it commits.</w:t>
      </w:r>
    </w:p>
    <w:p>
      <w:pPr>
        <w:pStyle w:val="ListParagraph"/>
        <w:numPr>
          <w:ilvl w:val="0"/>
          <w:numId w:val="2"/>
        </w:numPr>
        <w:spacing w:after="90" w:line="264"/>
      </w:pPr>
      <w:r>
        <w:rPr>
          <w:rFonts w:ascii="Aptos" w:cs="Aptos" w:eastAsia="Aptos" w:hAnsi="Aptos"/>
          <w:sz w:val="21"/>
          <w:szCs w:val="21"/>
        </w:rPr>
        <w:t xml:space="preserve">The data classification in the behavioral contract.</w:t>
      </w:r>
    </w:p>
    <w:p>
      <w:pPr>
        <w:pStyle w:val="ListParagraph"/>
        <w:numPr>
          <w:ilvl w:val="0"/>
          <w:numId w:val="2"/>
        </w:numPr>
        <w:spacing w:after="90" w:line="264"/>
      </w:pPr>
      <w:r>
        <w:rPr>
          <w:rFonts w:ascii="Aptos" w:cs="Aptos" w:eastAsia="Aptos" w:hAnsi="Aptos"/>
          <w:sz w:val="21"/>
          <w:szCs w:val="21"/>
        </w:rPr>
        <w:t xml:space="preserve">The identity and trust level of the requesting agent.</w:t>
      </w:r>
    </w:p>
    <w:p>
      <w:pPr>
        <w:pStyle w:val="ListParagraph"/>
        <w:numPr>
          <w:ilvl w:val="0"/>
          <w:numId w:val="2"/>
        </w:numPr>
        <w:spacing w:after="90" w:line="264"/>
      </w:pPr>
      <w:r>
        <w:rPr>
          <w:rFonts w:ascii="Aptos" w:cs="Aptos" w:eastAsia="Aptos" w:hAnsi="Aptos"/>
          <w:sz w:val="21"/>
          <w:szCs w:val="21"/>
        </w:rPr>
        <w:t xml:space="preserve">Chain depth: requests that have crossed many hops may warrant more oversight.</w:t>
      </w:r>
    </w:p>
    <w:p>
      <w:pPr>
        <w:pStyle w:val="ListParagraph"/>
        <w:numPr>
          <w:ilvl w:val="0"/>
          <w:numId w:val="2"/>
        </w:numPr>
        <w:spacing w:after="90" w:line="264"/>
      </w:pPr>
      <w:r>
        <w:rPr>
          <w:rFonts w:ascii="Aptos" w:cs="Aptos" w:eastAsia="Aptos" w:hAnsi="Aptos"/>
          <w:sz w:val="21"/>
          <w:szCs w:val="21"/>
        </w:rPr>
        <w:t xml:space="preserve">The caller's oversight_minimum (from the manifest or the contract) and the receiver's own declared minimum, each applied on its own and neither downgradeable; a missing minimum constrains nothing, and an unrecognized value fails closed.</w:t>
      </w:r>
    </w:p>
    <w:p>
      <w:pPr>
        <w:pStyle w:val="ListParagraph"/>
        <w:numPr>
          <w:ilvl w:val="0"/>
          <w:numId w:val="2"/>
        </w:numPr>
        <w:spacing w:after="90" w:line="264"/>
      </w:pPr>
      <w:r>
        <w:rPr>
          <w:rFonts w:ascii="Aptos" w:cs="Aptos" w:eastAsia="Aptos" w:hAnsi="Aptos"/>
          <w:sz w:val="21"/>
          <w:szCs w:val="21"/>
        </w:rPr>
        <w:t xml:space="preserve">Anomaly signals: unusual request patterns, velocity changes, behavioral drift.</w:t>
      </w:r>
    </w:p>
    <w:p>
      <w:pPr>
        <w:pStyle w:val="Heading2"/>
        <w:keepNext/>
        <w:spacing w:after="120" w:before="260"/>
      </w:pPr>
      <w:r>
        <w:rPr>
          <w:rFonts w:ascii="Aptos" w:cs="Aptos" w:eastAsia="Aptos" w:hAnsi="Aptos"/>
        </w:rPr>
        <w:t xml:space="preserve">Implementation Requirements</w:t>
      </w:r>
    </w:p>
    <w:p>
      <w:pPr>
        <w:pStyle w:val="ListParagraph"/>
        <w:numPr>
          <w:ilvl w:val="0"/>
          <w:numId w:val="2"/>
        </w:numPr>
        <w:spacing w:after="90" w:line="264"/>
      </w:pPr>
      <w:r>
        <w:rPr>
          <w:rFonts w:ascii="Aptos" w:cs="Aptos" w:eastAsia="Aptos" w:hAnsi="Aptos"/>
          <w:sz w:val="21"/>
          <w:szCs w:val="21"/>
        </w:rPr>
        <w:t xml:space="preserve">Agents cannot select their own oversight level. The decision is made by layer 6 on the receiving side, independently of the requester's preference.</w:t>
      </w:r>
    </w:p>
    <w:p>
      <w:pPr>
        <w:pStyle w:val="ListParagraph"/>
        <w:numPr>
          <w:ilvl w:val="0"/>
          <w:numId w:val="2"/>
        </w:numPr>
        <w:spacing w:after="90" w:line="264"/>
      </w:pPr>
      <w:r>
        <w:rPr>
          <w:rFonts w:ascii="Aptos" w:cs="Aptos" w:eastAsia="Aptos" w:hAnsi="Aptos"/>
          <w:sz w:val="21"/>
          <w:szCs w:val="21"/>
        </w:rPr>
        <w:t xml:space="preserve">Callers may set a non-downgradeable minimum through the manifest's oversight_minimum or within the contract.</w:t>
      </w:r>
    </w:p>
    <w:p>
      <w:pPr>
        <w:pStyle w:val="ListParagraph"/>
        <w:numPr>
          <w:ilvl w:val="0"/>
          <w:numId w:val="2"/>
        </w:numPr>
        <w:spacing w:after="90" w:line="264"/>
      </w:pPr>
      <w:r>
        <w:rPr>
          <w:rFonts w:ascii="Aptos" w:cs="Aptos" w:eastAsia="Aptos" w:hAnsi="Aptos"/>
          <w:sz w:val="21"/>
          <w:szCs w:val="21"/>
        </w:rPr>
        <w:t xml:space="preserve">Every oversight decision is logged against the trace ID: the level selected, the criteria that drove it, and whether any override occurred.</w:t>
      </w:r>
    </w:p>
    <w:p>
      <w:pPr>
        <w:pStyle w:val="ListParagraph"/>
        <w:numPr>
          <w:ilvl w:val="0"/>
          <w:numId w:val="2"/>
        </w:numPr>
        <w:spacing w:after="90" w:line="264"/>
      </w:pPr>
      <w:r>
        <w:rPr>
          <w:rFonts w:ascii="Aptos" w:cs="Aptos" w:eastAsia="Aptos" w:hAnsi="Aptos"/>
          <w:sz w:val="21"/>
          <w:szCs w:val="21"/>
        </w:rPr>
        <w:t xml:space="preserve">Gated and manual levels have defined timeout behavior for the case where the human does not respond within the max_latency window.</w:t>
      </w:r>
    </w:p>
    <w:p>
      <w:pPr>
        <w:pStyle w:val="ListParagraph"/>
        <w:numPr>
          <w:ilvl w:val="0"/>
          <w:numId w:val="2"/>
        </w:numPr>
        <w:spacing w:after="90" w:line="264"/>
      </w:pPr>
      <w:r>
        <w:rPr>
          <w:rFonts w:ascii="Aptos" w:cs="Aptos" w:eastAsia="Aptos" w:hAnsi="Aptos"/>
          <w:sz w:val="21"/>
          <w:szCs w:val="21"/>
        </w:rPr>
        <w:t xml:space="preserve">Oversight changes within a session (escalation from autonomous to gated on an anomaly) are logged and never silently downgraded.</w:t>
      </w:r>
    </w:p>
    <w:p>
      <w:pPr>
        <w:pStyle w:val="ListParagraph"/>
        <w:numPr>
          <w:ilvl w:val="0"/>
          <w:numId w:val="2"/>
        </w:numPr>
        <w:spacing w:after="90" w:line="264"/>
      </w:pPr>
      <w:r>
        <w:rPr>
          <w:rFonts w:ascii="Aptos" w:cs="Aptos" w:eastAsia="Aptos" w:hAnsi="Aptos"/>
          <w:sz w:val="21"/>
          <w:szCs w:val="21"/>
        </w:rPr>
        <w:t xml:space="preserve">Approvals bind to the operation, the target and the arguments that matter. A change to any of those after approval, a retry, or a run through a child agent requires a fresh approval; one approval does not cover a materially different action.</w:t>
      </w:r>
    </w:p>
    <w:p>
      <w:pPr>
        <w:pStyle w:val="ListParagraph"/>
        <w:numPr>
          <w:ilvl w:val="0"/>
          <w:numId w:val="2"/>
        </w:numPr>
        <w:spacing w:after="90" w:line="264"/>
      </w:pPr>
      <w:r>
        <w:rPr>
          <w:rFonts w:ascii="Aptos" w:cs="Aptos" w:eastAsia="Aptos" w:hAnsi="Aptos"/>
          <w:sz w:val="21"/>
          <w:szCs w:val="21"/>
        </w:rPr>
        <w:t xml:space="preserve">A2A-6 defines the control.</w:t>
      </w:r>
    </w:p>
    <w:p>
      <w:pPr>
        <w:pStyle w:val="Heading2"/>
        <w:keepNext/>
        <w:spacing w:after="120" w:before="260"/>
      </w:pPr>
      <w:r>
        <w:rPr>
          <w:rFonts w:ascii="Aptos" w:cs="Aptos" w:eastAsia="Aptos" w:hAnsi="Aptos"/>
        </w:rPr>
        <w:t xml:space="preserve">Oversight Hold Response</w:t>
      </w:r>
    </w:p>
    <w:p>
      <w:pPr>
        <w:spacing w:after="140" w:line="276"/>
      </w:pPr>
      <w:r>
        <w:rPr>
          <w:rFonts w:ascii="Aptos" w:cs="Aptos" w:eastAsia="Aptos" w:hAnsi="Aptos"/>
          <w:sz w:val="21"/>
          <w:szCs w:val="21"/>
        </w:rPr>
        <w:t xml:space="preserve">When an agent under gated or manual oversight reaches a decision that needs human approval, it pauses and returns a structured hold response. Without a defined schema, callers cannot tell "waiting for a human" from "processing slowly" or "failed silently". The hold response carries a status of pending_approval, the trace_id, the oversight_level that triggered the hold, a reason string describing what is awaiting approval, an estimated_wait set from the contract's max_latency window, and, where the agent can offer a callback or polling endpoint, a resume_url.</w:t>
      </w:r>
    </w:p>
    <w:p>
      <w:pPr>
        <w:spacing w:after="140" w:line="276"/>
      </w:pPr>
      <w:r>
        <w:rPr>
          <w:rFonts w:ascii="Aptos" w:cs="Aptos" w:eastAsia="Aptos" w:hAnsi="Aptos"/>
          <w:sz w:val="21"/>
          <w:szCs w:val="21"/>
        </w:rPr>
        <w:t xml:space="preserve">A caller receiving a hold response does not retry. Retrying creates duplicate approval queues and can trigger duplicate execution if the original is approved. The caller polls the resume_url, waits for a callback, or times out after estimated_wait and treats the request as failed. If the reviewer approves, the agent resumes and returns the normal response. If the reviewer rejects, the agent returns a status of rejected with the reviewer's reason. If max_latency expires with no decision, the agent follows the timeout behavior in the contract: fail closed (reject by default) or escalate to the next tier. Every hold, approval, rejection and timeout is logged against the trace ID.</w:t>
      </w:r>
    </w:p>
    <w:p>
      <w:pPr>
        <w:pStyle w:val="Heading1"/>
        <w:keepNext/>
        <w:spacing w:after="160" w:before="360"/>
      </w:pPr>
      <w:r>
        <w:rPr>
          <w:rFonts w:ascii="Aptos" w:cs="Aptos" w:eastAsia="Aptos" w:hAnsi="Aptos"/>
        </w:rPr>
        <w:t xml:space="preserve">Implementation Checklist</w:t>
      </w:r>
    </w:p>
    <w:p>
      <w:pPr>
        <w:spacing w:after="140" w:line="276"/>
      </w:pPr>
      <w:r>
        <w:rPr>
          <w:rFonts w:ascii="Aptos" w:cs="Aptos" w:eastAsia="Aptos" w:hAnsi="Aptos"/>
          <w:sz w:val="21"/>
          <w:szCs w:val="21"/>
        </w:rPr>
        <w:t xml:space="preserve">What a compliant implementation supports, in one place. This is a summary and not a substitute for the Baseline Controls, which carry the priorities and the conditions that move a control up.</w:t>
      </w:r>
    </w:p>
    <w:p>
      <w:pPr>
        <w:pStyle w:val="ListParagraph"/>
        <w:numPr>
          <w:ilvl w:val="0"/>
          <w:numId w:val="2"/>
        </w:numPr>
        <w:spacing w:after="90" w:line="264"/>
      </w:pPr>
      <w:r>
        <w:rPr>
          <w:rFonts w:ascii="Aptos" w:cs="Aptos" w:eastAsia="Aptos" w:hAnsi="Aptos"/>
          <w:sz w:val="21"/>
          <w:szCs w:val="21"/>
        </w:rPr>
        <w:t xml:space="preserve">Every agent publishes a signed A2A Agent Card and a signed AISI manifest bound to it, with a tools allowlist; every MCP server the agent uses is approved by identity with a reviewed tool list.</w:t>
      </w:r>
    </w:p>
    <w:p>
      <w:pPr>
        <w:pStyle w:val="ListParagraph"/>
        <w:numPr>
          <w:ilvl w:val="0"/>
          <w:numId w:val="2"/>
        </w:numPr>
        <w:spacing w:after="90" w:line="264"/>
      </w:pPr>
      <w:r>
        <w:rPr>
          <w:rFonts w:ascii="Aptos" w:cs="Aptos" w:eastAsia="Aptos" w:hAnsi="Aptos"/>
          <w:sz w:val="21"/>
          <w:szCs w:val="21"/>
        </w:rPr>
        <w:t xml:space="preserve">Manifests are bound to runtime identity (a SPIFFE ID or equivalent), short-lived and renewed automatically.</w:t>
      </w:r>
    </w:p>
    <w:p>
      <w:pPr>
        <w:pStyle w:val="ListParagraph"/>
        <w:numPr>
          <w:ilvl w:val="0"/>
          <w:numId w:val="2"/>
        </w:numPr>
        <w:spacing w:after="90" w:line="264"/>
      </w:pPr>
      <w:r>
        <w:rPr>
          <w:rFonts w:ascii="Aptos" w:cs="Aptos" w:eastAsia="Aptos" w:hAnsi="Aptos"/>
          <w:sz w:val="21"/>
          <w:szCs w:val="21"/>
        </w:rPr>
        <w:t xml:space="preserve">Every channel authenticates with the strongest mechanism the endpoint supports: mTLS with workload identity, OAuth 2.1 with bound tokens, or both; exceptions are written down with a compensating control.</w:t>
      </w:r>
    </w:p>
    <w:p>
      <w:pPr>
        <w:pStyle w:val="ListParagraph"/>
        <w:numPr>
          <w:ilvl w:val="0"/>
          <w:numId w:val="2"/>
        </w:numPr>
        <w:spacing w:after="90" w:line="264"/>
      </w:pPr>
      <w:r>
        <w:rPr>
          <w:rFonts w:ascii="Aptos" w:cs="Aptos" w:eastAsia="Aptos" w:hAnsi="Aptos"/>
          <w:sz w:val="21"/>
          <w:szCs w:val="21"/>
        </w:rPr>
        <w:t xml:space="preserve">Tokens are sender-constrained (RFC 8705 or RFC 9449), each verified by the path that matches it.</w:t>
      </w:r>
    </w:p>
    <w:p>
      <w:pPr>
        <w:pStyle w:val="ListParagraph"/>
        <w:numPr>
          <w:ilvl w:val="0"/>
          <w:numId w:val="2"/>
        </w:numPr>
        <w:spacing w:after="90" w:line="264"/>
      </w:pPr>
      <w:r>
        <w:rPr>
          <w:rFonts w:ascii="Aptos" w:cs="Aptos" w:eastAsia="Aptos" w:hAnsi="Aptos"/>
          <w:sz w:val="21"/>
          <w:szCs w:val="21"/>
        </w:rPr>
        <w:t xml:space="preserve">Identity chain verification traces delegation back to the originating principal on evidence separate from workload identity.</w:t>
      </w:r>
    </w:p>
    <w:p>
      <w:pPr>
        <w:pStyle w:val="ListParagraph"/>
        <w:numPr>
          <w:ilvl w:val="0"/>
          <w:numId w:val="2"/>
        </w:numPr>
        <w:spacing w:after="90" w:line="264"/>
      </w:pPr>
      <w:r>
        <w:rPr>
          <w:rFonts w:ascii="Aptos" w:cs="Aptos" w:eastAsia="Aptos" w:hAnsi="Aptos"/>
          <w:sz w:val="21"/>
          <w:szCs w:val="21"/>
        </w:rPr>
        <w:t xml:space="preserve">Behavioral contracts, with classification and retention terms, are negotiated and logged for every interaction.</w:t>
      </w:r>
    </w:p>
    <w:p>
      <w:pPr>
        <w:pStyle w:val="ListParagraph"/>
        <w:numPr>
          <w:ilvl w:val="0"/>
          <w:numId w:val="2"/>
        </w:numPr>
        <w:spacing w:after="90" w:line="264"/>
      </w:pPr>
      <w:r>
        <w:rPr>
          <w:rFonts w:ascii="Aptos" w:cs="Aptos" w:eastAsia="Aptos" w:hAnsi="Aptos"/>
          <w:sz w:val="21"/>
          <w:szCs w:val="21"/>
        </w:rPr>
        <w:t xml:space="preserve">Scope, the classification ceiling and budget only narrow through delegation.</w:t>
      </w:r>
    </w:p>
    <w:p>
      <w:pPr>
        <w:pStyle w:val="ListParagraph"/>
        <w:numPr>
          <w:ilvl w:val="0"/>
          <w:numId w:val="2"/>
        </w:numPr>
        <w:spacing w:after="90" w:line="264"/>
      </w:pPr>
      <w:r>
        <w:rPr>
          <w:rFonts w:ascii="Aptos" w:cs="Aptos" w:eastAsia="Aptos" w:hAnsi="Aptos"/>
          <w:sz w:val="21"/>
          <w:szCs w:val="21"/>
        </w:rPr>
        <w:t xml:space="preserve">Oversight levels are selected by the receiver's layer 6, subject to the caller's minimum, never by the requester.</w:t>
      </w:r>
    </w:p>
    <w:p>
      <w:pPr>
        <w:pStyle w:val="ListParagraph"/>
        <w:numPr>
          <w:ilvl w:val="0"/>
          <w:numId w:val="2"/>
        </w:numPr>
        <w:spacing w:after="90" w:line="264"/>
      </w:pPr>
      <w:r>
        <w:rPr>
          <w:rFonts w:ascii="Aptos" w:cs="Aptos" w:eastAsia="Aptos" w:hAnsi="Aptos"/>
          <w:sz w:val="21"/>
          <w:szCs w:val="21"/>
        </w:rPr>
        <w:t xml:space="preserve">Trace IDs propagate through every hop, and audit trail segments are signed and hash-chained.</w:t>
      </w:r>
    </w:p>
    <w:p>
      <w:pPr>
        <w:pStyle w:val="ListParagraph"/>
        <w:numPr>
          <w:ilvl w:val="0"/>
          <w:numId w:val="2"/>
        </w:numPr>
        <w:spacing w:after="90" w:line="264"/>
      </w:pPr>
      <w:r>
        <w:rPr>
          <w:rFonts w:ascii="Aptos" w:cs="Aptos" w:eastAsia="Aptos" w:hAnsi="Aptos"/>
          <w:sz w:val="21"/>
          <w:szCs w:val="21"/>
        </w:rPr>
        <w:t xml:space="preserve">Credentials are short-lived, with revocation that reaches work in flight and a measured containment interval.</w:t>
      </w:r>
    </w:p>
    <w:p>
      <w:pPr>
        <w:pStyle w:val="ListParagraph"/>
        <w:numPr>
          <w:ilvl w:val="0"/>
          <w:numId w:val="2"/>
        </w:numPr>
        <w:spacing w:after="90" w:line="264"/>
      </w:pPr>
      <w:r>
        <w:rPr>
          <w:rFonts w:ascii="Aptos" w:cs="Aptos" w:eastAsia="Aptos" w:hAnsi="Aptos"/>
          <w:sz w:val="21"/>
          <w:szCs w:val="21"/>
        </w:rPr>
        <w:t xml:space="preserve">Contract violations are logged and may trip circuit breakers.</w:t>
      </w:r>
    </w:p>
    <w:p>
      <w:pPr>
        <w:pStyle w:val="ListParagraph"/>
        <w:numPr>
          <w:ilvl w:val="0"/>
          <w:numId w:val="2"/>
        </w:numPr>
        <w:spacing w:after="90" w:line="264"/>
      </w:pPr>
      <w:r>
        <w:rPr>
          <w:rFonts w:ascii="Aptos" w:cs="Aptos" w:eastAsia="Aptos" w:hAnsi="Aptos"/>
          <w:sz w:val="21"/>
          <w:szCs w:val="21"/>
        </w:rPr>
        <w:t xml:space="preserve">When budget_limit is present, cost is reserved before execution against one ledger per budget, settled after it, and never exceeds the ceiling under hard enforcement; sub-delegation costs count against the originating budget.</w:t>
      </w:r>
    </w:p>
    <w:p>
      <w:pPr>
        <w:pStyle w:val="Heading1"/>
        <w:keepNext/>
        <w:spacing w:after="160" w:before="360"/>
      </w:pPr>
      <w:r>
        <w:rPr>
          <w:rFonts w:ascii="Aptos" w:cs="Aptos" w:eastAsia="Aptos" w:hAnsi="Aptos"/>
        </w:rPr>
        <w:t xml:space="preserve">Companion Documents</w:t>
      </w:r>
    </w:p>
    <w:p>
      <w:pPr>
        <w:spacing w:after="140" w:line="276"/>
      </w:pPr>
      <w:r>
        <w:rPr>
          <w:rFonts w:ascii="Aptos" w:cs="Aptos" w:eastAsia="Aptos" w:hAnsi="Aptos"/>
          <w:sz w:val="21"/>
          <w:szCs w:val="21"/>
        </w:rPr>
        <w:t xml:space="preserve">This document is part of the AISI Model document set.</w:t>
      </w:r>
    </w:p>
    <w:p>
      <w:pPr>
        <w:pStyle w:val="ListParagraph"/>
        <w:numPr>
          <w:ilvl w:val="0"/>
          <w:numId w:val="2"/>
        </w:numPr>
        <w:spacing w:after="90" w:line="264"/>
      </w:pPr>
      <w:r>
        <w:rPr>
          <w:rFonts w:ascii="Aptos" w:cs="Aptos" w:eastAsia="Aptos" w:hAnsi="Aptos"/>
          <w:sz w:val="21"/>
          <w:szCs w:val="21"/>
        </w:rPr>
        <w:t xml:space="preserve">AISI Model: the seven-layer reference architecture, the two boundaries and the six-phase trust sequence.</w:t>
      </w:r>
    </w:p>
    <w:p>
      <w:pPr>
        <w:pStyle w:val="ListParagraph"/>
        <w:numPr>
          <w:ilvl w:val="0"/>
          <w:numId w:val="2"/>
        </w:numPr>
        <w:spacing w:after="90" w:line="264"/>
      </w:pPr>
      <w:r>
        <w:rPr>
          <w:rFonts w:ascii="Aptos" w:cs="Aptos" w:eastAsia="Aptos" w:hAnsi="Aptos"/>
          <w:sz w:val="21"/>
          <w:szCs w:val="21"/>
        </w:rPr>
        <w:t xml:space="preserve">Quick Start Guide: the core model and the Baseline Controls condensed into one starting point.</w:t>
      </w:r>
    </w:p>
    <w:p>
      <w:pPr>
        <w:pStyle w:val="ListParagraph"/>
        <w:numPr>
          <w:ilvl w:val="0"/>
          <w:numId w:val="2"/>
        </w:numPr>
        <w:spacing w:after="90" w:line="264"/>
      </w:pPr>
      <w:r>
        <w:rPr>
          <w:rFonts w:ascii="Aptos" w:cs="Aptos" w:eastAsia="Aptos" w:hAnsi="Aptos"/>
          <w:sz w:val="21"/>
          <w:szCs w:val="21"/>
        </w:rPr>
        <w:t xml:space="preserve">Baseline Controls: the 45 controls, grouped by the team that builds them, with priorities and the conditions that move a control up.</w:t>
      </w:r>
    </w:p>
    <w:p>
      <w:pPr>
        <w:pStyle w:val="ListParagraph"/>
        <w:numPr>
          <w:ilvl w:val="0"/>
          <w:numId w:val="2"/>
        </w:numPr>
        <w:spacing w:after="90" w:line="264"/>
      </w:pPr>
      <w:r>
        <w:rPr>
          <w:rFonts w:ascii="Aptos" w:cs="Aptos" w:eastAsia="Aptos" w:hAnsi="Aptos"/>
          <w:sz w:val="21"/>
          <w:szCs w:val="21"/>
        </w:rPr>
        <w:t xml:space="preserve">Security Reference: OWASP LLM and Agentic Top 10 and MITRE ATLAS mappings, threat vectors against the trust sequence, the audit trail, the agent supply chain and governance framework mapping.</w:t>
      </w:r>
    </w:p>
    <w:p>
      <w:pPr>
        <w:pStyle w:val="ListParagraph"/>
        <w:numPr>
          <w:ilvl w:val="0"/>
          <w:numId w:val="2"/>
        </w:numPr>
        <w:spacing w:after="90" w:line="264"/>
      </w:pPr>
      <w:r>
        <w:rPr>
          <w:rFonts w:ascii="Aptos" w:cs="Aptos" w:eastAsia="Aptos" w:hAnsi="Aptos"/>
          <w:sz w:val="21"/>
          <w:szCs w:val="21"/>
        </w:rPr>
        <w:t xml:space="preserve">Implementation Guide: how to deploy on production infrastructure: namespaces, workload identity (SPIFFE and SPIRE), mTLS, network policy, Open Policy Agent, OpenTelemetry, Vault and the container supply chain.</w:t>
      </w:r>
    </w:p>
    <w:p>
      <w:pPr>
        <w:pStyle w:val="ListParagraph"/>
        <w:numPr>
          <w:ilvl w:val="0"/>
          <w:numId w:val="2"/>
        </w:numPr>
        <w:spacing w:after="90" w:line="264"/>
      </w:pPr>
      <w:r>
        <w:rPr>
          <w:rFonts w:ascii="Aptos" w:cs="Aptos" w:eastAsia="Aptos" w:hAnsi="Aptos"/>
          <w:sz w:val="21"/>
          <w:szCs w:val="21"/>
        </w:rPr>
        <w:t xml:space="preserve">Operations and Lifecycle Reference: how to run it after deployment: behavioral drift detection, shadow AI discovery, retrieval-augmented generation (RAG) index freshness, prompt versioning, agent memory hygiene, change control and decommission.</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B6475"/>
        <w:sz w:val="17"/>
        <w:szCs w:val="17"/>
      </w:rPr>
      <w:t xml:space="preserve">AISI Model v2.0  |  Apache 2.0  |  github.com/jasonmichaelrobbins-arch/AISI_Model  |  page </w:t>
    </w:r>
    <w:r>
      <w:rPr>
        <w:rFonts w:ascii="Aptos" w:cs="Aptos" w:eastAsia="Aptos" w:hAnsi="Aptos"/>
        <w:color w:val="5B647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color w:val="5B6475"/>
        <w:sz w:val="17"/>
        <w:szCs w:val="17"/>
      </w:rPr>
      <w:t xml:space="preserve">AISI Model v2.0 A2A Protocol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outlineLvl w:val="0"/>
    </w:pPr>
    <w:rPr>
      <w:rFonts w:ascii="Aptos" w:cs="Aptos" w:eastAsia="Aptos" w:hAnsi="Aptos"/>
      <w:b/>
      <w:bCs/>
      <w:color w:val="1F2A44"/>
      <w:sz w:val="30"/>
      <w:szCs w:val="30"/>
    </w:rPr>
  </w:style>
  <w:style w:type="paragraph" w:styleId="Heading2">
    <w:name w:val="Heading 2"/>
    <w:basedOn w:val="Normal"/>
    <w:next w:val="Normal"/>
    <w:qFormat/>
    <w:pPr>
      <w:spacing w:after="120" w:before="260"/>
      <w:outlineLvl w:val="1"/>
    </w:pPr>
    <w:rPr>
      <w:rFonts w:ascii="Aptos" w:cs="Aptos" w:eastAsia="Aptos" w:hAnsi="Aptos"/>
      <w:b/>
      <w:bCs/>
      <w:color w:val="1F2A44"/>
      <w:sz w:val="24"/>
      <w:szCs w:val="24"/>
    </w:rPr>
  </w:style>
  <w:style w:type="paragraph" w:styleId="Heading3">
    <w:name w:val="Heading 3"/>
    <w:basedOn w:val="Normal"/>
    <w:next w:val="Normal"/>
    <w:qFormat/>
    <w:pPr>
      <w:spacing w:after="80" w:before="200"/>
      <w:outlineLvl w:val="2"/>
    </w:pPr>
    <w:rPr>
      <w:rFonts w:ascii="Aptos" w:cs="Aptos" w:eastAsia="Aptos" w:hAnsi="Aptos"/>
      <w:b/>
      <w:bCs/>
      <w:color w:val="1F2A44"/>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AISI Model v2.0 A2A Protocol Specification</dc:title>
  <dc:creator>Jason Robbins</dc:creator>
  <cp:lastModifiedBy>Un-named</cp:lastModifiedBy>
  <cp:revision>1</cp:revision>
  <dcterms:created xsi:type="dcterms:W3CDTF">2026-10-15T00:33:13.512Z</dcterms:created>
  <dcterms:modified xsi:type="dcterms:W3CDTF">2026-10-15T00:33:13.512Z</dcterms:modified>
</cp:coreProperties>
</file>

<file path=docProps/custom.xml><?xml version="1.0" encoding="utf-8"?>
<Properties xmlns="http://schemas.openxmlformats.org/officeDocument/2006/custom-properties" xmlns:vt="http://schemas.openxmlformats.org/officeDocument/2006/docPropsVTypes"/>
</file>