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Baseline Controls</w:t>
      </w:r>
    </w:p>
    <w:p>
      <w:pPr>
        <w:spacing w:after="120"/>
      </w:pPr>
      <w:r>
        <w:rPr>
          <w:rFonts w:ascii="Aptos" w:cs="Aptos" w:eastAsia="Aptos" w:hAnsi="Aptos"/>
          <w:color w:val="5B6475"/>
          <w:sz w:val="21"/>
          <w:szCs w:val="21"/>
        </w:rPr>
        <w:t xml:space="preserve">The 45 controls, who builds them, and when they have to be in place</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240" w:before="60" w:line="276"/>
      </w:pPr>
      <w:r>
        <w:rPr>
          <w:rFonts w:ascii="Aptos" w:cs="Aptos" w:eastAsia="Aptos" w:hAnsi="Aptos"/>
          <w:sz w:val="21"/>
          <w:szCs w:val="21"/>
        </w:rPr>
        <w:t xml:space="preserve">The 45 controls that production agent deployments need, grouped by the team that has to build them. Each control names the layer it enforces at, a published priority, and the condition under which it moves up ahead of that priority.</w:t>
      </w:r>
    </w:p>
    <w:p>
      <w:pPr>
        <w:pStyle w:val="Heading1"/>
        <w:keepNext/>
        <w:spacing w:after="160" w:before="360"/>
      </w:pPr>
      <w:r>
        <w:rPr>
          <w:rFonts w:ascii="Aptos" w:cs="Aptos" w:eastAsia="Aptos" w:hAnsi="Aptos"/>
        </w:rPr>
        <w:t xml:space="preserve">How to Use This Document</w:t>
      </w:r>
    </w:p>
    <w:p>
      <w:pPr>
        <w:spacing w:after="140" w:line="276"/>
      </w:pPr>
      <w:r>
        <w:rPr>
          <w:rFonts w:ascii="Aptos" w:cs="Aptos" w:eastAsia="Aptos" w:hAnsi="Aptos"/>
          <w:sz w:val="21"/>
          <w:szCs w:val="21"/>
        </w:rPr>
        <w:t xml:space="preserve">This is a companion to the AISI Model reference architecture. It defines what has to be in place for a production deployment involving AI agents, organized by the team responsible for building it. For how to implement these on production infrastructure, see the Implementation Guide. For how to operate, monitor and manage them after deployment, see the Operations and Lifecycle Reference.</w:t>
      </w:r>
    </w:p>
    <w:p>
      <w:pPr>
        <w:pStyle w:val="Heading2"/>
        <w:keepNext/>
        <w:spacing w:after="120" w:before="260"/>
      </w:pPr>
      <w:r>
        <w:rPr>
          <w:rFonts w:ascii="Aptos" w:cs="Aptos" w:eastAsia="Aptos" w:hAnsi="Aptos"/>
        </w:rPr>
        <w:t xml:space="preserve">Before You Start</w:t>
      </w:r>
    </w:p>
    <w:p>
      <w:pPr>
        <w:spacing w:after="140" w:line="276"/>
      </w:pPr>
      <w:r>
        <w:rPr>
          <w:rFonts w:ascii="Aptos" w:cs="Aptos" w:eastAsia="Aptos" w:hAnsi="Aptos"/>
          <w:sz w:val="21"/>
          <w:szCs w:val="21"/>
        </w:rPr>
        <w:t xml:space="preserve">The AISI Model is a reference architecture, not a standard, a regulation or a compliance requirement. It carries no force of law and no certification authority. Everything here is a starting point your organization has to adapt to its own infrastructure, threat model, risk posture and regulatory obligations. Where this document references regulatory frameworks, those references are informational mappings; consult qualified legal, security and compliance professionals for decisions specific to your environment.</w:t>
      </w:r>
    </w:p>
    <w:p>
      <w:pPr>
        <w:pStyle w:val="Heading2"/>
        <w:keepNext/>
        <w:spacing w:after="120" w:before="260"/>
      </w:pPr>
      <w:r>
        <w:rPr>
          <w:rFonts w:ascii="Aptos" w:cs="Aptos" w:eastAsia="Aptos" w:hAnsi="Aptos"/>
        </w:rPr>
        <w:t xml:space="preserve">Who Builds, Who Is Accountable</w:t>
      </w:r>
    </w:p>
    <w:p>
      <w:pPr>
        <w:spacing w:after="140" w:line="276"/>
      </w:pPr>
      <w:r>
        <w:rPr>
          <w:rFonts w:ascii="Aptos" w:cs="Aptos" w:eastAsia="Aptos" w:hAnsi="Aptos"/>
          <w:sz w:val="21"/>
          <w:szCs w:val="21"/>
        </w:rPr>
        <w:t xml:space="preserve">Securing agents takes more than the security team. Sometimes security turns the wrench, and just as often the work lands with AI and ML operations, cloud, IT infrastructure, identity or the platform team, working from the policies and standards the CISO's organization set. A security team that tries to take on every control around agents itself will not get through the list and will end up standing between the business and the agents it wants. Set the standard, verify it is met, and let the team that owns the layer do the building.</w:t>
      </w:r>
    </w:p>
    <w:p>
      <w:pPr>
        <w:spacing w:after="140" w:line="276"/>
      </w:pPr>
      <w:r>
        <w:rPr>
          <w:rFonts w:ascii="Aptos" w:cs="Aptos" w:eastAsia="Aptos" w:hAnsi="Aptos"/>
          <w:sz w:val="21"/>
          <w:szCs w:val="21"/>
        </w:rPr>
        <w:t xml:space="preserve">Building a control and being on the hook for it are two different things. For every agent, the business owner who asked for it is accountable for what it does, and the data owner is accountable for what it can reach. The teams named at the top of each family carry out their decisions.</w:t>
      </w:r>
    </w:p>
    <w:p>
      <w:pPr>
        <w:pStyle w:val="ListParagraph"/>
        <w:numPr>
          <w:ilvl w:val="0"/>
          <w:numId w:val="2"/>
        </w:numPr>
        <w:spacing w:after="90" w:line="264"/>
      </w:pPr>
      <w:r>
        <w:rPr>
          <w:rFonts w:ascii="Aptos" w:cs="Aptos" w:eastAsia="Aptos" w:hAnsi="Aptos"/>
          <w:sz w:val="21"/>
          <w:szCs w:val="21"/>
        </w:rPr>
        <w:t xml:space="preserve">Agent-to-agent and agent-to-tool controls (A2A-1 through A2A-13): built by platform engineering and AI infrastructure. These apply whenever an agent calls another agent, a Model Context Protocol (MCP) server or a tool.</w:t>
      </w:r>
    </w:p>
    <w:p>
      <w:pPr>
        <w:pStyle w:val="ListParagraph"/>
        <w:numPr>
          <w:ilvl w:val="0"/>
          <w:numId w:val="2"/>
        </w:numPr>
        <w:spacing w:after="90" w:line="264"/>
      </w:pPr>
      <w:r>
        <w:rPr>
          <w:rFonts w:ascii="Aptos" w:cs="Aptos" w:eastAsia="Aptos" w:hAnsi="Aptos"/>
          <w:sz w:val="21"/>
          <w:szCs w:val="21"/>
        </w:rPr>
        <w:t xml:space="preserve">AI and ML controls (AI-1 through AI-12): built by AI and ML engineering and data science. These apply to any AI deployment, whether or not agents talk to each other.</w:t>
      </w:r>
    </w:p>
    <w:p>
      <w:pPr>
        <w:pStyle w:val="ListParagraph"/>
        <w:numPr>
          <w:ilvl w:val="0"/>
          <w:numId w:val="2"/>
        </w:numPr>
        <w:spacing w:after="90" w:line="264"/>
      </w:pPr>
      <w:r>
        <w:rPr>
          <w:rFonts w:ascii="Aptos" w:cs="Aptos" w:eastAsia="Aptos" w:hAnsi="Aptos"/>
          <w:sz w:val="21"/>
          <w:szCs w:val="21"/>
        </w:rPr>
        <w:t xml:space="preserve">IT infrastructure controls (IT-1 through IT-10): built by IT operations, DevOps and platform engineering. The foundation the agents run on.</w:t>
      </w:r>
    </w:p>
    <w:p>
      <w:pPr>
        <w:pStyle w:val="ListParagraph"/>
        <w:numPr>
          <w:ilvl w:val="0"/>
          <w:numId w:val="2"/>
        </w:numPr>
        <w:spacing w:after="90" w:line="264"/>
      </w:pPr>
      <w:r>
        <w:rPr>
          <w:rFonts w:ascii="Aptos" w:cs="Aptos" w:eastAsia="Aptos" w:hAnsi="Aptos"/>
          <w:sz w:val="21"/>
          <w:szCs w:val="21"/>
        </w:rPr>
        <w:t xml:space="preserve">Security operations controls (SEC-1 through SEC-10): built by security engineering, the security operations center and the governance, risk and compliance function. Detection, response and evidence.</w:t>
      </w:r>
    </w:p>
    <w:p>
      <w:pPr>
        <w:pStyle w:val="Heading2"/>
        <w:keepNext/>
        <w:spacing w:after="120" w:before="260"/>
      </w:pPr>
      <w:r>
        <w:rPr>
          <w:rFonts w:ascii="Aptos" w:cs="Aptos" w:eastAsia="Aptos" w:hAnsi="Aptos"/>
        </w:rPr>
        <w:t xml:space="preserve">Reading the Tables</w:t>
      </w:r>
    </w:p>
    <w:p>
      <w:pPr>
        <w:spacing w:after="140" w:line="276"/>
      </w:pPr>
      <w:r>
        <w:rPr>
          <w:rFonts w:ascii="Aptos" w:cs="Aptos" w:eastAsia="Aptos" w:hAnsi="Aptos"/>
          <w:sz w:val="21"/>
          <w:szCs w:val="21"/>
        </w:rPr>
        <w:t xml:space="preserve">Each control describes an outcome, not a product. At a hundred people, the outcome might be a script, a cloud setting and a person who checks it; at a hundred thousand it is probably a platform with a team behind it. Both count, as long as the outcome holds and someone can show it does.</w:t>
      </w:r>
    </w:p>
    <w:p>
      <w:pPr>
        <w:spacing w:after="140" w:line="276"/>
      </w:pPr>
      <w:r>
        <w:rPr>
          <w:rFonts w:ascii="Aptos" w:cs="Aptos" w:eastAsia="Aptos" w:hAnsi="Aptos"/>
          <w:sz w:val="21"/>
          <w:szCs w:val="21"/>
        </w:rPr>
        <w:t xml:space="preserve">The priorities are the published baseline: P1 before production, P2 for production where the risk warrants it, P3 planned, P4 for mature programs. Within each family, controls are ordered by priority first and then by ID, so if you are looking up a specific control, scan by its ID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5560"/>
      </w:tblGrid>
      <w:tr>
        <w:trPr>
          <w:tblHeader/>
        </w:trPr>
        <w:tc>
          <w:tcPr>
            <w:tcW w:type="dxa" w:w="1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2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When</w:t>
            </w:r>
          </w:p>
        </w:tc>
        <w:tc>
          <w:tcPr>
            <w:tcW w:type="dxa" w:w="55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means</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9"/>
                <w:szCs w:val="19"/>
              </w:rPr>
              <w:t xml:space="preserve">P1</w:t>
            </w:r>
          </w:p>
        </w:tc>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Before production</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Fundamental controls without which the system cannot be considered safe to run.</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9"/>
                <w:szCs w:val="19"/>
              </w:rPr>
              <w:t xml:space="preserve">P2</w:t>
            </w:r>
          </w:p>
        </w:tc>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For production, where the risk warrants it</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Defense-in-depth controls that cut the attack surface. The agent's authority, data and reach decide whether they go in first.</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9"/>
                <w:szCs w:val="19"/>
              </w:rPr>
              <w:t xml:space="preserve">P3</w:t>
            </w:r>
          </w:p>
        </w:tc>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Planned</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Governance and operating-maturity controls that strengthen posture over time.</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9"/>
                <w:szCs w:val="19"/>
              </w:rPr>
              <w:t xml:space="preserve">P4</w:t>
            </w:r>
          </w:p>
        </w:tc>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Mature programs</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9"/>
                <w:szCs w:val="19"/>
              </w:rPr>
              <w:t xml:space="preserve">Advanced capabilities for mature programs and comprehensive compliance evidence.</w:t>
            </w:r>
          </w:p>
        </w:tc>
      </w:tr>
    </w:tbl>
    <w:p>
      <w:pPr>
        <w:spacing w:after="160"/>
      </w:pPr>
    </w:p>
    <w:p>
      <w:pPr>
        <w:spacing w:after="140" w:line="276"/>
      </w:pPr>
      <w:r>
        <w:rPr>
          <w:rFonts w:ascii="Aptos" w:cs="Aptos" w:eastAsia="Aptos" w:hAnsi="Aptos"/>
          <w:sz w:val="21"/>
          <w:szCs w:val="21"/>
        </w:rPr>
        <w:t xml:space="preserve">The last column says when a control moves up. Several controls have a published priority that sits below where most agent deployments need them, so the last column says when each one belongs before production regardless. The five that matter most are sandboxing and egress (A2A-8), budgets (A2A-13), third-party agent risk (SEC-9), evaluation and red teaming (AI-9), and geographic applicability (IT-9); replay protection (A2A-9) joins them for agents whose actions commit or cannot be undone. Read the priority as the floor and that column as the thing that raises it, scaled to what the agent can actually do in your environment.</w:t>
      </w:r>
    </w:p>
    <w:p>
      <w:pPr>
        <w:spacing w:after="140" w:line="276"/>
      </w:pPr>
      <w:r>
        <w:rPr>
          <w:rFonts w:ascii="Aptos" w:cs="Aptos" w:eastAsia="Aptos" w:hAnsi="Aptos"/>
          <w:sz w:val="21"/>
          <w:szCs w:val="21"/>
        </w:rPr>
        <w:t xml:space="preserve">The layer column names where the control enforces, so you can see which product or team is supposed to cover it. "Audit trail", "Lifecycle" and "Governance" mark controls that span layers rather than sit in one.</w:t>
      </w:r>
    </w:p>
    <w:p>
      <w:pPr>
        <w:pStyle w:val="Heading1"/>
        <w:keepNext/>
        <w:spacing w:after="160" w:before="360"/>
      </w:pPr>
      <w:r>
        <w:rPr>
          <w:rFonts w:ascii="Aptos" w:cs="Aptos" w:eastAsia="Aptos" w:hAnsi="Aptos"/>
        </w:rPr>
        <w:t xml:space="preserve">Agent-to-Agent and Agent-to-Tool Controls</w:t>
      </w:r>
    </w:p>
    <w:p>
      <w:pPr>
        <w:spacing w:after="140" w:line="276"/>
      </w:pPr>
      <w:r>
        <w:rPr>
          <w:rFonts w:ascii="Aptos" w:cs="Aptos" w:eastAsia="Aptos" w:hAnsi="Aptos"/>
          <w:sz w:val="21"/>
          <w:szCs w:val="21"/>
        </w:rPr>
        <w:t xml:space="preserve">Platform engineering and AI infrastructure build these. The business owner of the calling agent is accountable. These govern how agents establish identity, negotiate trust, communicate with other agents and MCP servers, and stay accountable across system boundaries. They map directly to the six-phase trust sequence in the core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1100"/>
        <w:gridCol w:w="1300"/>
        <w:gridCol w:w="1160"/>
        <w:gridCol w:w="3260"/>
        <w:gridCol w:w="1700"/>
      </w:tblGrid>
      <w:tr>
        <w:trPr>
          <w:tblHeader/>
        </w:trPr>
        <w:tc>
          <w:tcPr>
            <w:tcW w:type="dxa" w:w="8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2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requires</w:t>
            </w:r>
          </w:p>
        </w:tc>
        <w:tc>
          <w:tcPr>
            <w:tcW w:type="dxa" w:w="1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mTLS + workload identity</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L7</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Both workloads on every agent-to-agent and agent-to-tool channel authenticate to each other, and how strongly depends on the risk. The reference way to do it is mutual TLS (mTLS) with SPIFFE/SPIRE workload identities (the Secure Production Identity Framework for Everyone and its runtime environment) and tokens bound to the client's certificate (RFC 8705) or key (Demonstrating Proof of Possession, DPoP, RFC 9449). Where an otherwise acceptable endpoint cannot do mTLS or bound tokens, use OAuth 2.1 with the strongest binding it supports, put a documented compensating control in place, and write down the exception.</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A2A-2</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Signed Agent Cards</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Agent Cards are signed and tied to the runtime identity (a SPIFFE ID, for example), expire quickly and are renewed automatically, and carry an explicit tool allowlist. The Agent2Agent (A2A) protocol schema makes signatures optional; the binding, the expiry and the allowlist are this model's requirements on top of the protocol, carried in an AISI manifest bound to the native card.</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Wherever Agent Cards are used; elsewhere, an equivalent trusted discovery control</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A2A-5</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Delegation scope monotonicity</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Downstream agents receive equal or narrower authority only. Scope, the classification ceiling and budget can never widen through delegation, and the receiver's layer 6 enforces that independently of what the caller claims.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before any delegation is enabled</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A2A-6</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Oversight policy engine</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Every request is classified into autonomous, monitored, gated or manual oversight. Callers set minimums that cannot be downgraded. Agents cannot select their own oversight level.</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A2A-7</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Kill switch + circuit breakers</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 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Wired to the policy engine and to anomaly triggers. Halt agent chains when error rates, latency or behavioral drift exceed thresholds. A kill switch is not only a security control: an agent that blows through its cost quota, loops on a tool or floods a downstream system with retries has to be stopped just as fast as one that was compromised, and the same switch should cover both.</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A2A-3</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Strict schema validation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L7, L5</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All requests, tool calls, responses and contracts are validated against published schemas. Malformed payloads are rejected, not coerced.</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A2A-4</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Per-hop trust verification</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Every hop in a multi-agent chain re-verifies identity and trust. A configurable maximum chain depth prevents unbounded delegation.</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A2A-10</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Contract compliance verification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 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Every response is checked against the negotiated behavioral contract at the receiver's layer 6 before it returns to the caller, and again at the caller's layer 6 when it arrives with the receiver's compliance evidence. Non-compliance is logged and may be blocked or trip a circuit breaker. Independent verification of the receiver's evidence comes as the program matures.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in its basic form, the receiver's own check; independent verification as the program matures</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A2A-11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Tamper-evident trace logging</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Audit trail</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Audit trail segments are cryptographically signed and hash-chained. Gaps, modifications or replays trigger security events.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A2A-12</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Revocation propagation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 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Short-lived credentials: minutes to an hour, never days. Revocation is propagated and paired with cancellation of the work in flight, with a containment interval you have tested rather than assumed. Actions that already completed or cannot be undone get handled by a compensating step, because the revocation never reached them. Layer 6 checks at each governance checkpoint.</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A2A-8</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Tool sandboxing + egress control</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L5, 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Agent tool execution runs in a sandbox. Network egress is limited to declared endpoints. Tool calls that were not declared get blocked.</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for any agent that runs code or reaches sensitive systems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A2A-9</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Replay protection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Each request carries a nonce and a unique request identifier (jti). The receiver rejects duplicates.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Before production for agents whose actions commit or cannot be undone</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A2A-13</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Budget enforcement</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L6, L5</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The receiving agent keeps a running total against budget_limit and stops before it hits the ceiling. Work handed off to other agents counts against the original budget.</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before turning on calls or delegation that could run without limit</w:t>
            </w:r>
          </w:p>
        </w:tc>
      </w:tr>
    </w:tbl>
    <w:p>
      <w:pPr>
        <w:spacing w:after="200"/>
      </w:pPr>
    </w:p>
    <w:p>
      <w:pPr>
        <w:pStyle w:val="Heading1"/>
        <w:keepNext/>
        <w:spacing w:after="160" w:before="360"/>
      </w:pPr>
      <w:r>
        <w:rPr>
          <w:rFonts w:ascii="Aptos" w:cs="Aptos" w:eastAsia="Aptos" w:hAnsi="Aptos"/>
        </w:rPr>
        <w:t xml:space="preserve">AI and ML Controls</w:t>
      </w:r>
    </w:p>
    <w:p>
      <w:pPr>
        <w:spacing w:after="140" w:line="276"/>
      </w:pPr>
      <w:r>
        <w:rPr>
          <w:rFonts w:ascii="Aptos" w:cs="Aptos" w:eastAsia="Aptos" w:hAnsi="Aptos"/>
          <w:sz w:val="21"/>
          <w:szCs w:val="21"/>
        </w:rPr>
        <w:t xml:space="preserve">AI and ML engineering and data science build these. The business owner of the agent and the data owner of what it retrieves are accountable. These cover model governance, prompts and policies, runtime data integrity, agent behavior and the lifecycle that produces them, whether or not agents talk to each other. Several map to EU AI Act Article 10 (data governance) and Annex XI (general-purpose AI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1100"/>
        <w:gridCol w:w="1300"/>
        <w:gridCol w:w="1160"/>
        <w:gridCol w:w="3260"/>
        <w:gridCol w:w="1700"/>
      </w:tblGrid>
      <w:tr>
        <w:trPr>
          <w:tblHeader/>
        </w:trPr>
        <w:tc>
          <w:tcPr>
            <w:tcW w:type="dxa" w:w="8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2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requires</w:t>
            </w:r>
          </w:p>
        </w:tc>
        <w:tc>
          <w:tcPr>
            <w:tcW w:type="dxa" w:w="1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Model registry + versioning</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L3</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Every deployed model is in a registry with its version, where it came from, its training run ID and its evaluation results. No unregistered models in production. For models a provider runs for you, record the provider's model version and its evaluation evidence instead; you will not get training-run IDs.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AI-2</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Model provenance attestation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L3</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Model artifacts you host yourself are signed with provenance attestations (Supply-chain Levels for Software Artifacts, SLSA, or equivalent), and the deployment pipeline rejects anything unsigned or unverified. For provider-run models, require the provider's published attestations and pin the model version.</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AI-4</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Prompt / system policy versioning</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L5</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System prompts, policies and instructions are version-controlled and deployed as release artifacts alongside the agent. No unversioned prompt changes in production.</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AI-3</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Agent-BOM</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L3, L5</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Every agent publishes a bill of materials: model(s), tools, data sources, dependencies and behavioral contract defaults. Verified at onboarding and again before delegated execution, using whatever verification mechanism you have built, because the protocols leave this to you.</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AI-5</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Hallucination + grounding controls</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L5, L4</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Retrieval-augmented generation (RAG) with source attribution. Confidence scores are checked against evaluation results, with rules for when the agent should decline or escalate; a confidence number the model reports about itself needs that check before anyone relies on it. Citation verification where it applies.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AI-6</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RAG data access governance</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L4, L6</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Vector store and knowledge graph access is governed by the delegated authority chain. Every retrieval is logged against the trace ID. Per-query access evaluation.</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Whenever retrieval reaches access-controlled data</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AI-12</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Output content filtering</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L7</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Content safety filters on all outputs crossing system boundaries. Detection and redaction of personally identifiable information (PII). Harmful content blocking. Schema enforcement on structured outputs.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AI-7</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Embedding integrity</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L4</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Embedding stores are protected against injection and corruption. Index updates are audit-logged. Rollback capability for corrupted indexes.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AI-8</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Training pipeline governance</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Lifecycle</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Training runs are reproducible via manifest. Pipeline access controls match production strictness. See the Security Reference, Annex A.</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AI-9</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Evaluation + red-teaming</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Lifecycle</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Test, evaluation, verification and validation (TEVV) metrics and adversarial test suites are defined before training. Every evaluation artifact is versioned. Regression and safety are tracked across releases.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adversarial testing scaled to the risk</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AI-11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Behavioral drift detection</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L5, L6</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Continuous monitoring of agent behavior against declared contracts. Statistical drift detection on output distributions. Alert on unexpected capability changes.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AI-10</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Synthetic data controls</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Lifecycle</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Synthetic data is labeled and tracked. Limits on the synthetic-to-human ratio reduce the risk of model collapse without removing it. Generator provenance is verified.</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Mature programs</w:t>
            </w:r>
          </w:p>
        </w:tc>
      </w:tr>
    </w:tbl>
    <w:p>
      <w:pPr>
        <w:spacing w:after="200"/>
      </w:pPr>
    </w:p>
    <w:p>
      <w:pPr>
        <w:pStyle w:val="Heading1"/>
        <w:keepNext/>
        <w:spacing w:after="160" w:before="360"/>
      </w:pPr>
      <w:r>
        <w:rPr>
          <w:rFonts w:ascii="Aptos" w:cs="Aptos" w:eastAsia="Aptos" w:hAnsi="Aptos"/>
        </w:rPr>
        <w:t xml:space="preserve">IT Infrastructure Controls</w:t>
      </w:r>
    </w:p>
    <w:p>
      <w:pPr>
        <w:spacing w:after="140" w:line="276"/>
      </w:pPr>
      <w:r>
        <w:rPr>
          <w:rFonts w:ascii="Aptos" w:cs="Aptos" w:eastAsia="Aptos" w:hAnsi="Aptos"/>
          <w:sz w:val="21"/>
          <w:szCs w:val="21"/>
        </w:rPr>
        <w:t xml:space="preserve">IT operations, DevOps and platform engineering build these. Whoever owns the hosting platform is accountable. Agents run on infrastructure someone already manages. These extend standard IT controls with agent-specific isolation, secrets, quotas, observability and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1100"/>
        <w:gridCol w:w="1300"/>
        <w:gridCol w:w="1160"/>
        <w:gridCol w:w="3260"/>
        <w:gridCol w:w="1700"/>
      </w:tblGrid>
      <w:tr>
        <w:trPr>
          <w:tblHeader/>
        </w:trPr>
        <w:tc>
          <w:tcPr>
            <w:tcW w:type="dxa" w:w="8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2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requires</w:t>
            </w:r>
          </w:p>
        </w:tc>
        <w:tc>
          <w:tcPr>
            <w:tcW w:type="dxa" w:w="1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IT-1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Container + runtime isolation</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Agent workloads run in isolated containers with restricted syscall profiles (seccomp/AppArmor). Containers still share a kernel. Where agents from different trust domains must not share one, use virtual machines, microVMs or another design with separate kernels, and put code the agent generated behind one of those.</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IT-3</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Secrets management</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L2, 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All long-lived credentials, API keys and tokens live in a secrets manager (Vault, AWS Secrets Manager or equivalent). Nothing stored in code, config files or Agent Cards. Prefer workload identity or short-lived credentials where the platform supports them, so there is less to store in the first place; a transient access token does not need to be persisted. Where a secret has to reach a running process through an environment variable, the secrets manager injects it at start and the runtime controls exposure: no logging of the environment, no inheritance by child processes or agent-executed code, no core dumps or debug endpoints that expose it. Rotation automated.</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IT-4</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Resource quotas + autoscaling limits</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Per-agent CPU, memory, GPU and network quotas. Autoscaling bounded. Prevents a single agent chain from consuming unbounded resources (OWASP LLM10).</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IT-2</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Network segmentation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L2</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Agent traffic is segmented from internal system traffic. Layer 7 endpoints are exposed through an API gateway with rate limiting. East-west agent traffic is explicitly allowed per policy, and a policy on one gateway does not cover a connection that goes around it.</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IT-5</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Infrastructure-as-Code</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L1, 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All infrastructure provisioned as code (IaC) with version control and change approval. No manual infrastructure changes in production. Drift detection enforced.</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IT-6</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Observability stack</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L2, L6</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Centralized logging, metrics and distributed tracing. Agent-level telemetry (latency, token usage, tool calls, error rates) collected and dashboarded.</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IT-7</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Backup + recovery</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L1, L2, L4</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Automated backups of vector stores, knowledge graphs, model registry metadata and configuration. Tested recovery procedures with defined recovery point and recovery time objectives (RPO and RTO).</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IT-10</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Change management</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L2, L3, L5</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All production changes (model deployments, agent updates, infrastructure changes) go through change management with approval gates, rollback plans and post-deployment verification.</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IT-8</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Sustainability metrics</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L2</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Track energy consumption, water usage and carbon per agent workload. For general-purpose AI models, document training-phase energy per EU AI Act Annex XI.</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Mature programs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IT-9</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Geographic compliance</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L1</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Map where the infrastructure physically sits, where the system is offered and where its output is used to the regulations that apply. Check what applies before production. Where an obligation that applies requires residency or processing-location controls, those go in before the processing starts; only improvements beyond that can wait.</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for the applicability check and any control an applicable obligation requires</w:t>
            </w:r>
          </w:p>
        </w:tc>
      </w:tr>
    </w:tbl>
    <w:p>
      <w:pPr>
        <w:spacing w:after="200"/>
      </w:pPr>
    </w:p>
    <w:p>
      <w:pPr>
        <w:pStyle w:val="Heading1"/>
        <w:keepNext/>
        <w:spacing w:after="160" w:before="360"/>
      </w:pPr>
      <w:r>
        <w:rPr>
          <w:rFonts w:ascii="Aptos" w:cs="Aptos" w:eastAsia="Aptos" w:hAnsi="Aptos"/>
        </w:rPr>
        <w:t xml:space="preserve">Security Operations Controls</w:t>
      </w:r>
    </w:p>
    <w:p>
      <w:pPr>
        <w:spacing w:after="140" w:line="276"/>
      </w:pPr>
      <w:r>
        <w:rPr>
          <w:rFonts w:ascii="Aptos" w:cs="Aptos" w:eastAsia="Aptos" w:hAnsi="Aptos"/>
          <w:sz w:val="21"/>
          <w:szCs w:val="21"/>
        </w:rPr>
        <w:t xml:space="preserve">Security engineering, the security operations center (SOC) and governance, risk and compliance (GRC) build these. The CISO is accountable, and the business owner makes the incident calls about their own agent. Agent impersonation, contract violations and chain hijacking do not show up in the signals a SOC already collects. These controls add them and produce the evidence auditors will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1100"/>
        <w:gridCol w:w="1300"/>
        <w:gridCol w:w="1160"/>
        <w:gridCol w:w="3260"/>
        <w:gridCol w:w="1700"/>
      </w:tblGrid>
      <w:tr>
        <w:trPr>
          <w:tblHeader/>
        </w:trPr>
        <w:tc>
          <w:tcPr>
            <w:tcW w:type="dxa" w:w="8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2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requires</w:t>
            </w:r>
          </w:p>
        </w:tc>
        <w:tc>
          <w:tcPr>
            <w:tcW w:type="dxa" w:w="1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SEC-1</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Agent threat modeling</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All</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Threat model every agent before production. Map the attack surface to the seven layers. Review the threat vectors (AT-1 through AT-8) in the Security Reference for each integration.</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SEC-5</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7"/>
                <w:szCs w:val="17"/>
              </w:rPr>
              <w:t xml:space="preserve">P1</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Incident response playbooks</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All</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Playbooks for AI and agent incidents: model compromise, agent impersonation, data poisoning, chain hijacking, oversight bypass. Defined escalation paths.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sized to the deployment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SEC-2</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Adversarial testing in CI/CD</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Build + runtime</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Automated adversarial prompt tests, tool-execution path tests and injection resistance tests in CI/CD. Regression and safety tests gate deployment.</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SEC-4</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SIEM integration</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 L2</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Agent security events (auth failures, contract violations, oversight overrides, anomalous tool usage) forwarded to the security information and event management (SIEM) platform. Correlation rules for multi-agent attack patterns.</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SEC-7</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7"/>
                <w:szCs w:val="17"/>
              </w:rPr>
              <w:t xml:space="preserve">P2</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Data loss prevention</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L4, L7</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Data loss prevention (DLP) on all data crossing agent boundaries. Classify data before it enters agent context. Block exfiltration through agent responses or tool calls.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When the agent's risk warrants it</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SEC-3</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Penetration testing</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L7, L6, L5</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Regular testing of agent interfaces: Agent Card spoofing, contract manipulation, delegation escalation, oversight bypass, audit trail tampering.</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SEC-6</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Vulnerability management</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L2, L3, L5</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Track CVEs for agent frameworks, model serving infrastructure and MCP and A2A protocol implementations. Patch SLAs enforced.</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Dependency assessment and patch ownership before production; automate as the program matures</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SEC-8</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7"/>
                <w:szCs w:val="17"/>
              </w:rPr>
              <w:t xml:space="preserve">P3</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Access reviews</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L6, L7</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Quarterly review of which agents have production access, what scopes they hold, which integrations are active, and whether oversight levels remain appropriate.</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As the program matures</w:t>
            </w:r>
          </w:p>
        </w:tc>
      </w:tr>
      <w:tr>
        <w:trPr>
          <w:cantSplit/>
        </w:trPr>
        <w:tc>
          <w:tcPr>
            <w:tcW w:type="dxa" w:w="8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SEC-9</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Third-party agent risk</w:t>
            </w:r>
          </w:p>
        </w:tc>
        <w:tc>
          <w:tcPr>
            <w:tcW w:type="dxa" w:w="1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L5, L7</w:t>
            </w:r>
          </w:p>
        </w:tc>
        <w:tc>
          <w:tcPr>
            <w:tcW w:type="dxa" w:w="32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Due diligence on third-party agents and MCP servers: review the Agent-BOM, validate the behavioral contracts, require provenance attestation, keep a registry of approved external agents.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7"/>
                <w:szCs w:val="17"/>
              </w:rPr>
              <w:t xml:space="preserve">Always, when a third party is anywhere in the chain</w:t>
            </w:r>
          </w:p>
        </w:tc>
      </w:tr>
      <w:tr>
        <w:trPr>
          <w:cantSplit/>
        </w:trPr>
        <w:tc>
          <w:tcPr>
            <w:tcW w:type="dxa" w:w="8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SEC-10</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7"/>
                <w:szCs w:val="17"/>
              </w:rPr>
              <w:t xml:space="preserve">P4</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Compliance evidence</w:t>
            </w:r>
          </w:p>
        </w:tc>
        <w:tc>
          <w:tcPr>
            <w:tcW w:type="dxa" w:w="1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Governance</w:t>
            </w:r>
          </w:p>
        </w:tc>
        <w:tc>
          <w:tcPr>
            <w:tcW w:type="dxa" w:w="32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Maintain auditable evidence for the NIST AI Risk Management Framework (AI RMF), the EU AI Act and ISO/IEC 42001. Map each control to framework requirements. Automate evidence collection.</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7"/>
                <w:szCs w:val="17"/>
              </w:rPr>
              <w:t xml:space="preserve">Whenever an applicable obligation or contract calls for evidence</w:t>
            </w:r>
          </w:p>
        </w:tc>
      </w:tr>
    </w:tbl>
    <w:p>
      <w:pPr>
        <w:spacing w:after="200"/>
      </w:pPr>
    </w:p>
    <w:p>
      <w:pPr>
        <w:pStyle w:val="Heading1"/>
        <w:keepNext/>
        <w:spacing w:after="160" w:before="360"/>
      </w:pPr>
      <w:r>
        <w:rPr>
          <w:rFonts w:ascii="Aptos" w:cs="Aptos" w:eastAsia="Aptos" w:hAnsi="Aptos"/>
        </w:rPr>
        <w:t xml:space="preserve">Framework Mapping</w:t>
      </w:r>
    </w:p>
    <w:p>
      <w:pPr>
        <w:spacing w:after="140" w:line="276"/>
      </w:pPr>
      <w:r>
        <w:rPr>
          <w:rFonts w:ascii="Aptos" w:cs="Aptos" w:eastAsia="Aptos" w:hAnsi="Aptos"/>
          <w:sz w:val="21"/>
          <w:szCs w:val="21"/>
        </w:rPr>
        <w:t xml:space="preserve">Each control maps to one or more external frameworks. The Security Reference holds the full governance mapping, with NIST AI RMF, the EU AI Act, ISO/IEC 42001, the Cloud Security Alliance (CSA) AI Controls Matrix, OWASP and MITRE ATLAS requirements mapped to specific layers. The tables below are the summary; consult the Security Reference for the complete mapping and the threat context.</w:t>
      </w:r>
    </w:p>
    <w:p>
      <w:pPr>
        <w:pStyle w:val="Heading2"/>
        <w:keepNext/>
        <w:spacing w:after="120" w:before="260"/>
      </w:pPr>
      <w:r>
        <w:rPr>
          <w:rFonts w:ascii="Aptos" w:cs="Aptos" w:eastAsia="Aptos" w:hAnsi="Aptos"/>
        </w:rPr>
        <w:t xml:space="preserve">NIST AI RMF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760"/>
        <w:gridCol w:w="3000"/>
      </w:tblGrid>
      <w:tr>
        <w:trPr>
          <w:tblHeader/>
        </w:trPr>
        <w:tc>
          <w:tcPr>
            <w:tcW w:type="dxa" w:w="1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Function</w:t>
            </w:r>
          </w:p>
        </w:tc>
        <w:tc>
          <w:tcPr>
            <w:tcW w:type="dxa" w:w="47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covers</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GOVERN</w:t>
            </w:r>
          </w:p>
        </w:tc>
        <w:tc>
          <w:tcPr>
            <w:tcW w:type="dxa" w:w="4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Policies, accountability, roles, process governance</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SEC-10, IT-10</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MAP</w:t>
            </w:r>
          </w:p>
        </w:tc>
        <w:tc>
          <w:tcPr>
            <w:tcW w:type="dxa" w:w="4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Context and risk identification</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SEC-1</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MEASURE</w:t>
            </w:r>
          </w:p>
        </w:tc>
        <w:tc>
          <w:tcPr>
            <w:tcW w:type="dxa" w:w="4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Test, evaluation, verification and validation (TEVV), monitoring</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AI-9, AI-11, IT-6</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MANAGE</w:t>
            </w:r>
          </w:p>
        </w:tc>
        <w:tc>
          <w:tcPr>
            <w:tcW w:type="dxa" w:w="4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Risk treatment and response</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 A2A-7, SEC-5</w:t>
            </w:r>
          </w:p>
        </w:tc>
      </w:tr>
    </w:tbl>
    <w:p>
      <w:pPr>
        <w:spacing w:after="160"/>
      </w:pPr>
    </w:p>
    <w:p>
      <w:pPr>
        <w:pStyle w:val="Heading2"/>
        <w:keepNext/>
        <w:spacing w:after="120" w:before="260"/>
      </w:pPr>
      <w:r>
        <w:rPr>
          <w:rFonts w:ascii="Aptos" w:cs="Aptos" w:eastAsia="Aptos" w:hAnsi="Aptos"/>
        </w:rPr>
        <w:t xml:space="preserve">EU AI Act (High-Risk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60"/>
        <w:gridCol w:w="3600"/>
      </w:tblGrid>
      <w:tr>
        <w:trPr>
          <w:tblHeader/>
        </w:trPr>
        <w:tc>
          <w:tcPr>
            <w:tcW w:type="dxa" w:w="2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Article</w:t>
            </w:r>
          </w:p>
        </w:tc>
        <w:tc>
          <w:tcPr>
            <w:tcW w:type="dxa" w:w="37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Subject</w:t>
            </w:r>
          </w:p>
        </w:tc>
        <w:tc>
          <w:tcPr>
            <w:tcW w:type="dxa" w:w="3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9</w:t>
            </w:r>
          </w:p>
        </w:tc>
        <w:tc>
          <w:tcPr>
            <w:tcW w:type="dxa" w:w="3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Risk management system</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A2A-6</w:t>
            </w:r>
          </w:p>
        </w:tc>
      </w:tr>
      <w:tr>
        <w:trPr>
          <w:cantSplit/>
        </w:trPr>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10</w:t>
            </w:r>
          </w:p>
        </w:tc>
        <w:tc>
          <w:tcPr>
            <w:tcW w:type="dxa" w:w="3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Data and data governance</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AI-7, AI-8, AI-10</w:t>
            </w:r>
          </w:p>
        </w:tc>
      </w:tr>
      <w:tr>
        <w:trPr>
          <w:cantSplit/>
        </w:trPr>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12</w:t>
            </w:r>
          </w:p>
        </w:tc>
        <w:tc>
          <w:tcPr>
            <w:tcW w:type="dxa" w:w="3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Record-keeping (automatic logging)</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A2A-11, IT-6</w:t>
            </w:r>
          </w:p>
        </w:tc>
      </w:tr>
      <w:tr>
        <w:trPr>
          <w:cantSplit/>
        </w:trPr>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14</w:t>
            </w:r>
          </w:p>
        </w:tc>
        <w:tc>
          <w:tcPr>
            <w:tcW w:type="dxa" w:w="3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Human oversight</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w:t>
            </w:r>
          </w:p>
        </w:tc>
      </w:tr>
      <w:tr>
        <w:trPr>
          <w:cantSplit/>
        </w:trPr>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15</w:t>
            </w:r>
          </w:p>
        </w:tc>
        <w:tc>
          <w:tcPr>
            <w:tcW w:type="dxa" w:w="3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Accuracy, robustness and cybersecurity</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AI-5, AI-11, SEC-2</w:t>
            </w:r>
          </w:p>
        </w:tc>
      </w:tr>
      <w:tr>
        <w:trPr>
          <w:cantSplit/>
        </w:trPr>
        <w:tc>
          <w:tcPr>
            <w:tcW w:type="dxa" w:w="2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Articles 19 and 26(6)</w:t>
            </w:r>
          </w:p>
        </w:tc>
        <w:tc>
          <w:tcPr>
            <w:tcW w:type="dxa" w:w="3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Log retention by providers and deployers</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A2A-11, IT-6, IT-7 and the retention_policy contract term</w:t>
            </w:r>
          </w:p>
        </w:tc>
      </w:tr>
      <w:tr>
        <w:trPr>
          <w:cantSplit/>
        </w:trPr>
        <w:tc>
          <w:tcPr>
            <w:tcW w:type="dxa" w:w="2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Article 53 and Annex XI</w:t>
            </w:r>
          </w:p>
        </w:tc>
        <w:tc>
          <w:tcPr>
            <w:tcW w:type="dxa" w:w="3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General-purpose AI model documentation</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 AI-2, AI-8, IT-8</w:t>
            </w:r>
          </w:p>
        </w:tc>
      </w:tr>
    </w:tbl>
    <w:p>
      <w:pPr>
        <w:spacing w:after="160"/>
      </w:pPr>
    </w:p>
    <w:p>
      <w:pPr>
        <w:pStyle w:val="Heading2"/>
        <w:keepNext/>
        <w:spacing w:after="120" w:before="260"/>
      </w:pPr>
      <w:r>
        <w:rPr>
          <w:rFonts w:ascii="Aptos" w:cs="Aptos" w:eastAsia="Aptos" w:hAnsi="Aptos"/>
        </w:rPr>
        <w:t xml:space="preserve">ISO/IEC 42001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760"/>
        <w:gridCol w:w="3000"/>
      </w:tblGrid>
      <w:tr>
        <w:trPr>
          <w:tblHeader/>
        </w:trPr>
        <w:tc>
          <w:tcPr>
            <w:tcW w:type="dxa" w:w="1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Phase</w:t>
            </w:r>
          </w:p>
        </w:tc>
        <w:tc>
          <w:tcPr>
            <w:tcW w:type="dxa" w:w="47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covers</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Plan</w:t>
            </w:r>
          </w:p>
        </w:tc>
        <w:tc>
          <w:tcPr>
            <w:tcW w:type="dxa" w:w="4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 policy, objectives, risk assessment</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SEC-10</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Do</w:t>
            </w:r>
          </w:p>
        </w:tc>
        <w:tc>
          <w:tcPr>
            <w:tcW w:type="dxa" w:w="4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Operational planning and control</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All A2A, AI and IT controls</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Check</w:t>
            </w:r>
          </w:p>
        </w:tc>
        <w:tc>
          <w:tcPr>
            <w:tcW w:type="dxa" w:w="4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Monitoring, evaluation, internal audit</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AI-9, AI-11, SEC-8</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Act</w:t>
            </w:r>
          </w:p>
        </w:tc>
        <w:tc>
          <w:tcPr>
            <w:tcW w:type="dxa" w:w="4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Improvement and corrective action</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SEC-5, AI-8</w:t>
            </w:r>
          </w:p>
        </w:tc>
      </w:tr>
    </w:tbl>
    <w:p>
      <w:pPr>
        <w:spacing w:after="160"/>
      </w:pPr>
    </w:p>
    <w:p>
      <w:pPr>
        <w:pStyle w:val="Heading2"/>
        <w:keepNext/>
        <w:spacing w:after="120" w:before="260"/>
      </w:pPr>
      <w:r>
        <w:rPr>
          <w:rFonts w:ascii="Aptos" w:cs="Aptos" w:eastAsia="Aptos" w:hAnsi="Aptos"/>
        </w:rPr>
        <w:t xml:space="preserve">OWASP Top 10 for LLM Applications (2025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560"/>
        <w:gridCol w:w="3600"/>
      </w:tblGrid>
      <w:tr>
        <w:trPr>
          <w:tblHeader/>
        </w:trPr>
        <w:tc>
          <w:tcPr>
            <w:tcW w:type="dxa" w:w="1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Entry</w:t>
            </w:r>
          </w:p>
        </w:tc>
        <w:tc>
          <w:tcPr>
            <w:tcW w:type="dxa" w:w="45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Risk</w:t>
            </w:r>
          </w:p>
        </w:tc>
        <w:tc>
          <w:tcPr>
            <w:tcW w:type="dxa" w:w="3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LLM01</w:t>
            </w:r>
          </w:p>
        </w:tc>
        <w:tc>
          <w:tcPr>
            <w:tcW w:type="dxa" w:w="4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injection</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A2A-6, A2A-8, SEC-2; A2A-3 for malformed payloads</w:t>
            </w:r>
          </w:p>
        </w:tc>
      </w:tr>
      <w:tr>
        <w:trPr>
          <w:cantSplit/>
        </w:trPr>
        <w:tc>
          <w:tcPr>
            <w:tcW w:type="dxa" w:w="1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LLM02</w:t>
            </w:r>
          </w:p>
        </w:tc>
        <w:tc>
          <w:tcPr>
            <w:tcW w:type="dxa" w:w="4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Sensitive information disclosure</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SEC-7, AI-6</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LLM03</w:t>
            </w:r>
          </w:p>
        </w:tc>
        <w:tc>
          <w:tcPr>
            <w:tcW w:type="dxa" w:w="4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Supply chain</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AI-2, AI-3, SEC-9</w:t>
            </w:r>
          </w:p>
        </w:tc>
      </w:tr>
      <w:tr>
        <w:trPr>
          <w:cantSplit/>
        </w:trPr>
        <w:tc>
          <w:tcPr>
            <w:tcW w:type="dxa" w:w="1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LLM05</w:t>
            </w:r>
          </w:p>
        </w:tc>
        <w:tc>
          <w:tcPr>
            <w:tcW w:type="dxa" w:w="4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Improper output handling</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AI-12, A2A-3</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LLM06</w:t>
            </w:r>
          </w:p>
        </w:tc>
        <w:tc>
          <w:tcPr>
            <w:tcW w:type="dxa" w:w="4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Excessive agency</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A2A-5, A2A-6, A2A-8</w:t>
            </w:r>
          </w:p>
        </w:tc>
      </w:tr>
      <w:tr>
        <w:trPr>
          <w:cantSplit/>
        </w:trPr>
        <w:tc>
          <w:tcPr>
            <w:tcW w:type="dxa" w:w="1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LLM07</w:t>
            </w:r>
          </w:p>
        </w:tc>
        <w:tc>
          <w:tcPr>
            <w:tcW w:type="dxa" w:w="4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System prompt leakage</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AI-12, SEC-2, AI-4</w:t>
            </w:r>
          </w:p>
        </w:tc>
      </w:tr>
      <w:tr>
        <w:trPr>
          <w:cantSplit/>
        </w:trPr>
        <w:tc>
          <w:tcPr>
            <w:tcW w:type="dxa" w:w="1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LLM08</w:t>
            </w:r>
          </w:p>
        </w:tc>
        <w:tc>
          <w:tcPr>
            <w:tcW w:type="dxa" w:w="4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Vector and embedding weaknesses</w:t>
            </w:r>
          </w:p>
        </w:tc>
        <w:tc>
          <w:tcPr>
            <w:tcW w:type="dxa" w:w="3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AI-6, AI-7</w:t>
            </w:r>
          </w:p>
        </w:tc>
      </w:tr>
      <w:tr>
        <w:trPr>
          <w:cantSplit/>
        </w:trPr>
        <w:tc>
          <w:tcPr>
            <w:tcW w:type="dxa" w:w="1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LLM10</w:t>
            </w:r>
          </w:p>
        </w:tc>
        <w:tc>
          <w:tcPr>
            <w:tcW w:type="dxa" w:w="4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Unbounded consumption</w:t>
            </w:r>
          </w:p>
        </w:tc>
        <w:tc>
          <w:tcPr>
            <w:tcW w:type="dxa" w:w="3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IT-4, A2A-13</w:t>
            </w:r>
          </w:p>
        </w:tc>
      </w:tr>
    </w:tbl>
    <w:p>
      <w:pPr>
        <w:spacing w:after="160"/>
      </w:pPr>
    </w:p>
    <w:p>
      <w:pPr>
        <w:pStyle w:val="Heading2"/>
        <w:keepNext/>
        <w:spacing w:after="120" w:before="260"/>
      </w:pPr>
      <w:r>
        <w:rPr>
          <w:rFonts w:ascii="Aptos" w:cs="Aptos" w:eastAsia="Aptos" w:hAnsi="Aptos"/>
        </w:rPr>
        <w:t xml:space="preserve">MITRE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60"/>
        <w:gridCol w:w="300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Tactic</w:t>
            </w:r>
          </w:p>
        </w:tc>
        <w:tc>
          <w:tcPr>
            <w:tcW w:type="dxa" w:w="41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covers</w:t>
            </w:r>
          </w:p>
        </w:tc>
        <w:tc>
          <w:tcPr>
            <w:tcW w:type="dxa" w:w="30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Reconnaissance</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Learning what the agent is and exposes</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A2A-2</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Initial Access</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Getting a first foothold through the interface</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 A2A-3</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 Attack Adaptation</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Crafting inputs and prompts against the system</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SEC-2, SEC-3</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Persistence</w:t>
            </w:r>
          </w:p>
        </w:tc>
        <w:tc>
          <w:tcPr>
            <w:tcW w:type="dxa" w:w="41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Staying in through memory, indexes or trust</w:t>
            </w:r>
          </w:p>
        </w:tc>
        <w:tc>
          <w:tcPr>
            <w:tcW w:type="dxa" w:w="30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AI-11, A2A-11</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Exfiltration</w:t>
            </w:r>
          </w:p>
        </w:tc>
        <w:tc>
          <w:tcPr>
            <w:tcW w:type="dxa" w:w="41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Moving data out through responses or tool calls</w:t>
            </w:r>
          </w:p>
        </w:tc>
        <w:tc>
          <w:tcPr>
            <w:tcW w:type="dxa" w:w="30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SEC-7, A2A-8</w:t>
            </w:r>
          </w:p>
        </w:tc>
      </w:tr>
    </w:tbl>
    <w:p>
      <w:pPr>
        <w:spacing w:after="160"/>
      </w:pP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sz w:val="21"/>
          <w:szCs w:val="21"/>
        </w:rPr>
        <w:t xml:space="preserve">This document is part of the AISI Model document set.</w:t>
      </w:r>
    </w:p>
    <w:p>
      <w:pPr>
        <w:pStyle w:val="ListParagraph"/>
        <w:numPr>
          <w:ilvl w:val="0"/>
          <w:numId w:val="2"/>
        </w:numPr>
        <w:spacing w:after="90" w:line="264"/>
      </w:pPr>
      <w:r>
        <w:rPr>
          <w:rFonts w:ascii="Aptos" w:cs="Aptos" w:eastAsia="Aptos" w:hAnsi="Aptos"/>
          <w:sz w:val="21"/>
          <w:szCs w:val="21"/>
        </w:rPr>
        <w:t xml:space="preserve">AISI Model: the seven-layer reference architecture, the two boundaries and the six-phase trust sequence.</w:t>
      </w:r>
    </w:p>
    <w:p>
      <w:pPr>
        <w:pStyle w:val="ListParagraph"/>
        <w:numPr>
          <w:ilvl w:val="0"/>
          <w:numId w:val="2"/>
        </w:numPr>
        <w:spacing w:after="90" w:line="264"/>
      </w:pPr>
      <w:r>
        <w:rPr>
          <w:rFonts w:ascii="Aptos" w:cs="Aptos" w:eastAsia="Aptos" w:hAnsi="Aptos"/>
          <w:sz w:val="21"/>
          <w:szCs w:val="21"/>
        </w:rPr>
        <w:t xml:space="preserve">Quick Start Guide: the core model and these controls condensed into one starting point.</w:t>
      </w:r>
    </w:p>
    <w:p>
      <w:pPr>
        <w:pStyle w:val="ListParagraph"/>
        <w:numPr>
          <w:ilvl w:val="0"/>
          <w:numId w:val="2"/>
        </w:numPr>
        <w:spacing w:after="90" w:line="264"/>
      </w:pPr>
      <w:r>
        <w:rPr>
          <w:rFonts w:ascii="Aptos" w:cs="Aptos" w:eastAsia="Aptos" w:hAnsi="Aptos"/>
          <w:sz w:val="21"/>
          <w:szCs w:val="21"/>
        </w:rPr>
        <w:t xml:space="preserve">A2A Protocol Specification: Agent Cards, behavioral contracts (including data classification and retention enforcement), authentication and the four oversight levels.</w:t>
      </w:r>
    </w:p>
    <w:p>
      <w:pPr>
        <w:pStyle w:val="ListParagraph"/>
        <w:numPr>
          <w:ilvl w:val="0"/>
          <w:numId w:val="2"/>
        </w:numPr>
        <w:spacing w:after="90" w:line="264"/>
      </w:pPr>
      <w:r>
        <w:rPr>
          <w:rFonts w:ascii="Aptos" w:cs="Aptos" w:eastAsia="Aptos" w:hAnsi="Aptos"/>
          <w:sz w:val="21"/>
          <w:szCs w:val="21"/>
        </w:rPr>
        <w:t xml:space="preserve">Security Reference: OWASP and MITRE ATLAS mappings, agent-specific threat vectors, the agent supply chain, the audit trail and governance framework mapping.</w:t>
      </w:r>
    </w:p>
    <w:p>
      <w:pPr>
        <w:pStyle w:val="ListParagraph"/>
        <w:numPr>
          <w:ilvl w:val="0"/>
          <w:numId w:val="2"/>
        </w:numPr>
        <w:spacing w:after="90" w:line="264"/>
      </w:pPr>
      <w:r>
        <w:rPr>
          <w:rFonts w:ascii="Aptos" w:cs="Aptos" w:eastAsia="Aptos" w:hAnsi="Aptos"/>
          <w:sz w:val="21"/>
          <w:szCs w:val="21"/>
        </w:rPr>
        <w:t xml:space="preserve">Implementation Guide: how to deploy on production infrastructure: namespaces, workload identity (SPIFFE and SPIRE), mTLS, network policy, Open Policy Agent, OpenTelemetry, Vault and the container supply chain.</w:t>
      </w:r>
    </w:p>
    <w:p>
      <w:pPr>
        <w:pStyle w:val="ListParagraph"/>
        <w:numPr>
          <w:ilvl w:val="0"/>
          <w:numId w:val="2"/>
        </w:numPr>
        <w:spacing w:after="90" w:line="264"/>
      </w:pPr>
      <w:r>
        <w:rPr>
          <w:rFonts w:ascii="Aptos" w:cs="Aptos" w:eastAsia="Aptos" w:hAnsi="Aptos"/>
          <w:sz w:val="21"/>
          <w:szCs w:val="21"/>
        </w:rPr>
        <w:t xml:space="preserve">Operations and Lifecycle Reference: how to run it after deployment: behavioral drift detection, shadow AI discovery, RAG index freshness, prompt versioning, agent memory hygiene, change control and decommission.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Baseline Controls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Baseline Controls</dc:title>
  <dc:creator>Jason Robbins</dc:creator>
  <cp:lastModifiedBy>Un-named</cp:lastModifiedBy>
  <cp:revision>1</cp:revision>
  <dcterms:created xsi:type="dcterms:W3CDTF">2026-10-15T00:33:13.141Z</dcterms:created>
  <dcterms:modified xsi:type="dcterms:W3CDTF">2026-10-15T00:33:13.141Z</dcterms:modified>
</cp:coreProperties>
</file>

<file path=docProps/custom.xml><?xml version="1.0" encoding="utf-8"?>
<Properties xmlns="http://schemas.openxmlformats.org/officeDocument/2006/custom-properties" xmlns:vt="http://schemas.openxmlformats.org/officeDocument/2006/docPropsVTypes"/>
</file>