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ptos" w:cs="Aptos" w:eastAsia="Aptos" w:hAnsi="Aptos"/>
          <w:b/>
          <w:bCs/>
          <w:color w:val="1F2A44"/>
          <w:sz w:val="52"/>
          <w:szCs w:val="52"/>
        </w:rPr>
        <w:t xml:space="preserve">AISI Model v2.0</w:t>
      </w:r>
    </w:p>
    <w:p>
      <w:pPr>
        <w:spacing w:after="100"/>
      </w:pPr>
      <w:r>
        <w:rPr>
          <w:rFonts w:ascii="Aptos" w:cs="Aptos" w:eastAsia="Aptos" w:hAnsi="Aptos"/>
          <w:b/>
          <w:bCs/>
          <w:color w:val="1F2A44"/>
          <w:sz w:val="26"/>
          <w:szCs w:val="26"/>
        </w:rPr>
        <w:t xml:space="preserve">Operations and Lifecycle Reference</w:t>
      </w:r>
    </w:p>
    <w:p>
      <w:pPr>
        <w:spacing w:after="120"/>
      </w:pPr>
      <w:r>
        <w:rPr>
          <w:rFonts w:ascii="Aptos" w:cs="Aptos" w:eastAsia="Aptos" w:hAnsi="Aptos"/>
          <w:color w:val="5B6475"/>
          <w:sz w:val="21"/>
          <w:szCs w:val="21"/>
        </w:rPr>
        <w:t xml:space="preserve">How to operate, monitor and manage agents and the systems they call after deployment</w:t>
      </w:r>
    </w:p>
    <w:p>
      <w:pPr>
        <w:spacing w:after="360"/>
      </w:pPr>
      <w:r>
        <w:rPr>
          <w:rFonts w:ascii="Aptos" w:cs="Aptos" w:eastAsia="Aptos" w:hAnsi="Aptos"/>
          <w:color w:val="5B6475"/>
          <w:sz w:val="17"/>
          <w:szCs w:val="17"/>
        </w:rPr>
        <w:t xml:space="preserve">Copyright 2026 Jason Robbins. Licensed under the Apache License, Version 2.0; see the LICENSE and NOTICE files in the repository. Adaptations and forks must not imply the author's endorsement.</w:t>
      </w:r>
    </w:p>
    <w:p>
      <w:pPr>
        <w:spacing w:after="240" w:before="60" w:line="276"/>
      </w:pPr>
      <w:r>
        <w:rPr>
          <w:rFonts w:ascii="Aptos" w:cs="Aptos" w:eastAsia="Aptos" w:hAnsi="Aptos"/>
          <w:sz w:val="21"/>
          <w:szCs w:val="21"/>
        </w:rPr>
        <w:t xml:space="preserve">How to run agents after deployment: behavioral drift detection, shadow agent and shadow Model Context Protocol (MCP) server discovery, retrieval-augmented generation (RAG) index freshness, prompt versioning and deprecation, agent memory and retention hygiene, cost enforcement, change control across a mesh, and decommission. It assumes the Implementation Guide's foundation is in place and layers the operating procedures on top of it.</w:t>
      </w:r>
    </w:p>
    <w:p>
      <w:pPr>
        <w:pStyle w:val="Heading1"/>
        <w:keepNext/>
        <w:spacing w:after="160" w:before="360"/>
      </w:pPr>
      <w:r>
        <w:rPr>
          <w:rFonts w:ascii="Aptos" w:cs="Aptos" w:eastAsia="Aptos" w:hAnsi="Aptos"/>
        </w:rPr>
        <w:t xml:space="preserve">How to Use This Document</w:t>
      </w:r>
    </w:p>
    <w:p>
      <w:pPr>
        <w:spacing w:after="140" w:line="276"/>
      </w:pPr>
      <w:r>
        <w:rPr>
          <w:rFonts w:ascii="Aptos" w:cs="Aptos" w:eastAsia="Aptos" w:hAnsi="Aptos"/>
        </w:rPr>
        <w:t xml:space="preserve">This is the operations companion to the AISI Model. The Implementation Guide covers how to deploy agents and the controls around them to production infrastructure. This document covers what happens after deployment: monitoring for drift, finding agents and MCP servers nobody registered, managing the data lifecycle, coordinating changes across a mesh, and decommissioning agents cleanly.</w:t>
      </w:r>
    </w:p>
    <w:p>
      <w:pPr>
        <w:spacing w:after="140" w:line="276"/>
      </w:pPr>
      <w:r>
        <w:rPr>
          <w:rFonts w:ascii="Aptos" w:cs="Aptos" w:eastAsia="Aptos" w:hAnsi="Aptos"/>
        </w:rPr>
        <w:t xml:space="preserve">Each section follows the same pattern as the Implementation Guide: the problem it solves, the controls it satisfies, what to build, operating patterns, and what done looks like. The numbers in this document (burn-in periods, thresholds, notice periods) are starting points that have worked in practice; size them to your traffic and your risk, and write down what you chose.</w:t>
      </w:r>
    </w:p>
    <w:p>
      <w:pPr>
        <w:spacing w:after="140" w:line="276"/>
      </w:pPr>
      <w:r>
        <w:rPr>
          <w:rFonts w:ascii="Aptos" w:cs="Aptos" w:eastAsia="Aptos" w:hAnsi="Aptos"/>
        </w:rPr>
        <w:t xml:space="preserve">This document assumes the infrastructure in the Implementation Guide is already in place: namespaces, workload identity issued by SPIRE (the runtime environment for SPIFFE, the Secure Production Identity Framework for Everyone), mutual TLS (mTLS), network policy, Open Policy Agent (OPA), OpenTelemetry, Vault, and an approved-server registry for MCP. The operations here layer on top of that foundation.</w:t>
      </w:r>
    </w:p>
    <w:p>
      <w:pPr>
        <w:pStyle w:val="Heading2"/>
        <w:keepNext/>
        <w:spacing w:after="120" w:before="260"/>
      </w:pPr>
      <w:r>
        <w:rPr>
          <w:rFonts w:ascii="Aptos" w:cs="Aptos" w:eastAsia="Aptos" w:hAnsi="Aptos"/>
        </w:rPr>
        <w:t xml:space="preserve">Before You Start</w:t>
      </w:r>
    </w:p>
    <w:p>
      <w:pPr>
        <w:spacing w:after="140" w:line="276"/>
      </w:pPr>
      <w:r>
        <w:rPr>
          <w:rFonts w:ascii="Aptos" w:cs="Aptos" w:eastAsia="Aptos" w:hAnsi="Aptos"/>
        </w:rPr>
        <w:t xml:space="preserve">The AISI Model is a reference architecture, not a standard, a regulation or a compliance requirement. It carries no force of law and no certification authority. Everything here is a starting point your organization has to adapt to its own infrastructure, threat model, risk posture and regulatory obligations. The procedures and code are reference material: test in a non-production environment, adjust for your context and validate before you promote anything. Where this document references regulatory frameworks, those references are informational mappings; consult qualified legal, security and compliance professionals for decisions specific to your environment.</w:t>
      </w:r>
    </w:p>
    <w:p>
      <w:pPr>
        <w:pStyle w:val="Heading1"/>
        <w:keepNext/>
        <w:spacing w:after="160" w:before="360"/>
      </w:pPr>
      <w:r>
        <w:rPr>
          <w:rFonts w:ascii="Aptos" w:cs="Aptos" w:eastAsia="Aptos" w:hAnsi="Aptos"/>
        </w:rPr>
        <w:t xml:space="preserve">1. Behavioral Drift Detection</w:t>
      </w:r>
    </w:p>
    <w:p>
      <w:pPr>
        <w:keepNext/>
        <w:spacing w:after="20" w:line="250"/>
        <w:ind w:left="360"/>
      </w:pPr>
      <w:r>
        <w:rPr>
          <w:rFonts w:ascii="Aptos" w:cs="Aptos" w:eastAsia="Aptos" w:hAnsi="Aptos"/>
          <w:sz w:val="18"/>
          <w:szCs w:val="18"/>
        </w:rPr>
        <w:t xml:space="preserve">AI-11: Behavioral drift detection   |   AISI Layers 5, 6</w:t>
      </w:r>
    </w:p>
    <w:p>
      <w:pPr>
        <w:keepNext/>
        <w:spacing w:after="200" w:line="250"/>
        <w:ind w:left="360"/>
      </w:pPr>
      <w:r>
        <w:rPr>
          <w:rFonts w:ascii="Aptos" w:cs="Aptos" w:eastAsia="Aptos" w:hAnsi="Aptos"/>
          <w:sz w:val="18"/>
          <w:szCs w:val="18"/>
        </w:rPr>
        <w:t xml:space="preserve">IT-6: Observability stack   |   AISI Layers 2, 6</w:t>
      </w:r>
    </w:p>
    <w:p>
      <w:pPr>
        <w:pStyle w:val="Heading2"/>
        <w:keepNext/>
        <w:spacing w:after="120" w:before="260"/>
      </w:pPr>
      <w:r>
        <w:rPr>
          <w:rFonts w:ascii="Aptos" w:cs="Aptos" w:eastAsia="Aptos" w:hAnsi="Aptos"/>
        </w:rPr>
        <w:t xml:space="preserve">The Problem</w:t>
      </w:r>
    </w:p>
    <w:p>
      <w:pPr>
        <w:spacing w:after="140" w:line="276"/>
      </w:pPr>
      <w:r>
        <w:rPr>
          <w:rFonts w:ascii="Aptos" w:cs="Aptos" w:eastAsia="Aptos" w:hAnsi="Aptos"/>
        </w:rPr>
        <w:t xml:space="preserve">A deployed agent can change behavior without anyone changing its code. A model update, a shift in RAG index content, a change in upstream agent responses, or a gradual drift in the distribution of incoming requests can all cause an agent to behave differently than it did when it was last evaluated. In a single-agent system, drift is a quality problem. In a mesh, drift propagates: one agent's changed behavior becomes another agent's changed input, and a tool whose definitions or responses changed under you is drift too, arriving from outside the agent.</w:t>
      </w:r>
    </w:p>
    <w:p>
      <w:pPr>
        <w:spacing w:after="140" w:line="276"/>
      </w:pPr>
      <w:r>
        <w:rPr>
          <w:rFonts w:ascii="Aptos" w:cs="Aptos" w:eastAsia="Aptos" w:hAnsi="Aptos"/>
        </w:rPr>
        <w:t xml:space="preserve">Baseline Controls AI-11 requires "continuous monitoring of agent behavior against declared contracts" and "statistical drift detection on output distributions." The Implementation Guide sets up the telemetry pipeline: OpenTelemetry instrumentation and forwarding to the security information and event management (SIEM) platform. This section covers what to measure, how to set baselines, and what thresholds to act on.</w:t>
      </w:r>
    </w:p>
    <w:p>
      <w:pPr>
        <w:pStyle w:val="Heading2"/>
        <w:keepNext/>
        <w:spacing w:after="120" w:before="260"/>
      </w:pPr>
      <w:r>
        <w:rPr>
          <w:rFonts w:ascii="Aptos" w:cs="Aptos" w:eastAsia="Aptos" w:hAnsi="Aptos"/>
        </w:rPr>
        <w:t xml:space="preserve">What to Measure</w:t>
      </w:r>
    </w:p>
    <w:p>
      <w:pPr>
        <w:spacing w:after="140" w:line="276"/>
      </w:pPr>
      <w:r>
        <w:rPr>
          <w:rFonts w:ascii="Aptos" w:cs="Aptos" w:eastAsia="Aptos" w:hAnsi="Aptos"/>
        </w:rPr>
        <w:t xml:space="preserve">Drift shows up across several signals and no single metric is sufficient. Monitor all of the following and correlate across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4"/>
        <w:gridCol w:w="3623"/>
        <w:gridCol w:w="3623"/>
      </w:tblGrid>
      <w:tr>
        <w:trPr>
          <w:tblHeader/>
        </w:trPr>
        <w:tc>
          <w:tcPr>
            <w:tcW w:type="dxa" w:w="2114"/>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Signal</w:t>
            </w:r>
          </w:p>
        </w:tc>
        <w:tc>
          <w:tcPr>
            <w:tcW w:type="dxa" w:w="3623"/>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Tells You</w:t>
            </w:r>
          </w:p>
        </w:tc>
        <w:tc>
          <w:tcPr>
            <w:tcW w:type="dxa" w:w="3623"/>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Where to Collect It</w:t>
            </w:r>
          </w:p>
        </w:tc>
      </w:tr>
      <w:tr>
        <w:trPr>
          <w:cantSplit/>
        </w:trPr>
        <w:tc>
          <w:tcPr>
            <w:tcW w:type="dxa" w:w="211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Contract violation rate</w:t>
            </w:r>
          </w:p>
        </w:tc>
        <w:tc>
          <w:tcPr>
            <w:tcW w:type="dxa" w:w="362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agent is producing responses that fail contract compliance checks at layer 6. A rising rate means behavior is diverging from what the contract specifies.</w:t>
            </w:r>
          </w:p>
        </w:tc>
        <w:tc>
          <w:tcPr>
            <w:tcW w:type="dxa" w:w="362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6 compliance logs, aggregated per agent pair per hour</w:t>
            </w:r>
          </w:p>
        </w:tc>
      </w:tr>
      <w:tr>
        <w:trPr>
          <w:cantSplit/>
        </w:trPr>
        <w:tc>
          <w:tcPr>
            <w:tcW w:type="dxa" w:w="211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Oversight level distribution</w:t>
            </w:r>
          </w:p>
        </w:tc>
        <w:tc>
          <w:tcPr>
            <w:tcW w:type="dxa" w:w="362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The ratio of autonomous/monitored/gated/manual decisions is shifting. If an agent that was 95% autonomous starts hitting 80%, something changed in the risk profile of its requests or responses.</w:t>
            </w:r>
          </w:p>
        </w:tc>
        <w:tc>
          <w:tcPr>
            <w:tcW w:type="dxa" w:w="362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Layer 6 oversight decision logs</w:t>
            </w:r>
          </w:p>
        </w:tc>
      </w:tr>
      <w:tr>
        <w:trPr>
          <w:cantSplit/>
        </w:trPr>
        <w:tc>
          <w:tcPr>
            <w:tcW w:type="dxa" w:w="211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Output token distribution</w:t>
            </w:r>
          </w:p>
        </w:tc>
        <w:tc>
          <w:tcPr>
            <w:tcW w:type="dxa" w:w="362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statistical shape of the agent's responses is changing: average length, vocabulary diversity, topic distribution. Useful for detecting model-level drift.</w:t>
            </w:r>
          </w:p>
        </w:tc>
        <w:tc>
          <w:tcPr>
            <w:tcW w:type="dxa" w:w="362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5 response logging, sampled at 1-10%</w:t>
            </w:r>
          </w:p>
        </w:tc>
      </w:tr>
      <w:tr>
        <w:trPr>
          <w:cantSplit/>
        </w:trPr>
        <w:tc>
          <w:tcPr>
            <w:tcW w:type="dxa" w:w="211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Latency percentiles (p50, p95, p99)</w:t>
            </w:r>
          </w:p>
        </w:tc>
        <w:tc>
          <w:tcPr>
            <w:tcW w:type="dxa" w:w="362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Latency changes often signal behavioral changes. A model that starts generating longer reasoning chains will show up as latency drift before it shows up as output drift.</w:t>
            </w:r>
          </w:p>
        </w:tc>
        <w:tc>
          <w:tcPr>
            <w:tcW w:type="dxa" w:w="362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OpenTelemetry span durations</w:t>
            </w:r>
          </w:p>
        </w:tc>
      </w:tr>
      <w:tr>
        <w:trPr>
          <w:cantSplit/>
        </w:trPr>
        <w:tc>
          <w:tcPr>
            <w:tcW w:type="dxa" w:w="211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Tool invocation patterns</w:t>
            </w:r>
          </w:p>
        </w:tc>
        <w:tc>
          <w:tcPr>
            <w:tcW w:type="dxa" w:w="362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agent is calling tools in a different order, at different frequencies, with different argument shapes, or calling tools it previously did not use. This is the strongest single signal of behavioral change at layer 5, and the first place a poisoned tool or an injected instruction shows.</w:t>
            </w:r>
          </w:p>
        </w:tc>
        <w:tc>
          <w:tcPr>
            <w:tcW w:type="dxa" w:w="362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5 tool call logs, policy engine decisions on outbound calls</w:t>
            </w:r>
          </w:p>
        </w:tc>
      </w:tr>
      <w:tr>
        <w:trPr>
          <w:cantSplit/>
        </w:trPr>
        <w:tc>
          <w:tcPr>
            <w:tcW w:type="dxa" w:w="211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Error rate by type</w:t>
            </w:r>
          </w:p>
        </w:tc>
        <w:tc>
          <w:tcPr>
            <w:tcW w:type="dxa" w:w="362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The distribution across error types, not only the total: schema validation failures, timeout errors, authentication failures, tool execution errors. A shift in the error mix tells you where drift is happening.</w:t>
            </w:r>
          </w:p>
        </w:tc>
        <w:tc>
          <w:tcPr>
            <w:tcW w:type="dxa" w:w="362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Layer 7 error response logs</w:t>
            </w:r>
          </w:p>
        </w:tc>
      </w:tr>
      <w:tr>
        <w:trPr>
          <w:cantSplit/>
        </w:trPr>
        <w:tc>
          <w:tcPr>
            <w:tcW w:type="dxa" w:w="211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Delegation depth distribution</w:t>
            </w:r>
          </w:p>
        </w:tc>
        <w:tc>
          <w:tcPr>
            <w:tcW w:type="dxa" w:w="362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agent's downstream call patterns are changing. If an agent that normally delegates 1 hop deep starts regularly hitting 3 hops, the orchestration behavior has shifted.</w:t>
            </w:r>
          </w:p>
        </w:tc>
        <w:tc>
          <w:tcPr>
            <w:tcW w:type="dxa" w:w="362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Audit trail, hop count per trace ID</w:t>
            </w:r>
          </w:p>
        </w:tc>
      </w:tr>
    </w:tbl>
    <w:p>
      <w:pPr>
        <w:spacing w:after="160"/>
      </w:pPr>
    </w:p>
    <w:p>
      <w:pPr>
        <w:pStyle w:val="Heading2"/>
        <w:keepNext/>
        <w:spacing w:after="120" w:before="260"/>
      </w:pPr>
      <w:r>
        <w:rPr>
          <w:rFonts w:ascii="Aptos" w:cs="Aptos" w:eastAsia="Aptos" w:hAnsi="Aptos"/>
        </w:rPr>
        <w:t xml:space="preserve">Setting Baselines</w:t>
      </w:r>
    </w:p>
    <w:p>
      <w:pPr>
        <w:spacing w:after="140" w:line="276"/>
      </w:pPr>
      <w:r>
        <w:rPr>
          <w:rFonts w:ascii="Aptos" w:cs="Aptos" w:eastAsia="Aptos" w:hAnsi="Aptos"/>
        </w:rPr>
        <w:t xml:space="preserve">You cannot detect drift without a baseline. After an agent passes evaluation and enters production, capture baseline distributions for each signal above during a burn-in period (typically 7-14 days of normal traffic). Store the baseline as a statistical snapshot: mean, standard deviation, and percentile distributions (p50, p95, p99) for continuous metrics; frequency distributions for categorical metrics (error types, tool invocations, oversight levels).</w:t>
      </w:r>
    </w:p>
    <w:p>
      <w:pPr>
        <w:spacing w:after="140" w:line="276"/>
      </w:pPr>
      <w:r>
        <w:rPr>
          <w:rFonts w:ascii="Aptos" w:cs="Aptos" w:eastAsia="Aptos" w:hAnsi="Aptos"/>
        </w:rPr>
        <w:t xml:space="preserve">Baselines are versioned and tied to the agent's deployment version. When you deploy a new version, the old baseline is archived and a new burn-in period starts, so intentional changes do not read as drift and you are always comparing current behavior against the expected behavior for that specific version.</w:t>
      </w:r>
    </w:p>
    <w:p>
      <w:pPr>
        <w:spacing w:after="140" w:line="276"/>
      </w:pPr>
      <w:r>
        <w:rPr>
          <w:rFonts w:ascii="Aptos" w:cs="Aptos" w:eastAsia="Aptos" w:hAnsi="Aptos"/>
        </w:rPr>
        <w:t xml:space="preserve">For new integrations where no historical data exists, use the evaluation results from the testing phase as the initial baseline. These will be less precise than production baselines, but they give the drift detection system something to compare against from day one.</w:t>
      </w:r>
    </w:p>
    <w:p>
      <w:pPr>
        <w:pStyle w:val="Heading2"/>
        <w:keepNext/>
        <w:spacing w:after="120" w:before="260"/>
      </w:pPr>
      <w:r>
        <w:rPr>
          <w:rFonts w:ascii="Aptos" w:cs="Aptos" w:eastAsia="Aptos" w:hAnsi="Aptos"/>
        </w:rPr>
        <w:t xml:space="preserve">Detection Approaches</w:t>
      </w:r>
    </w:p>
    <w:p>
      <w:pPr>
        <w:pStyle w:val="Heading3"/>
        <w:keepNext/>
        <w:spacing w:after="80" w:before="200"/>
      </w:pPr>
      <w:r>
        <w:rPr>
          <w:rFonts w:ascii="Aptos" w:cs="Aptos" w:eastAsia="Aptos" w:hAnsi="Aptos"/>
        </w:rPr>
        <w:t xml:space="preserve">Statistical Process Control</w:t>
      </w:r>
    </w:p>
    <w:p>
      <w:pPr>
        <w:spacing w:after="140" w:line="276"/>
      </w:pPr>
      <w:r>
        <w:rPr>
          <w:rFonts w:ascii="Aptos" w:cs="Aptos" w:eastAsia="Aptos" w:hAnsi="Aptos"/>
        </w:rPr>
        <w:t xml:space="preserve">Apply control chart methodology to each metric. Set warning thresholds at 2 standard deviations from baseline and action thresholds at 3 standard deviations. Use a sliding window (a 1-hour rolling aggregation is a reasonable default) to smooth noise. This is the simplest approach and works well for continuous metrics like latency and token distribution. The numbers are tuning values, not standards: they assume a roughly normal metric with enough samples in the window, so for skewed metrics such as latency use percentile bands or the distribution tests below, and calibrate every threshold against your own distributions, sampling rate and false-positive tolerance before you alert on it.</w:t>
      </w:r>
    </w:p>
    <w:p>
      <w:pPr>
        <w:keepNext/>
        <w:pBdr>
          <w:left w:val="single" w:color="C9CED8" w:sz="6" w:space="12"/>
        </w:pBdr>
        <w:spacing w:after="0" w:line="240"/>
        <w:ind w:left="360"/>
      </w:pPr>
      <w:r>
        <w:rPr>
          <w:rFonts w:ascii="Consolas" w:cs="Consolas" w:eastAsia="Consolas" w:hAnsi="Consolas"/>
          <w:color w:val="1F2937"/>
          <w:sz w:val="17"/>
          <w:szCs w:val="17"/>
        </w:rPr>
        <w:t xml:space="preserve"># Pseudocode: drift detection using control charts</w:t>
      </w:r>
    </w:p>
    <w:p>
      <w:pPr>
        <w:keepNext/>
        <w:pBdr>
          <w:left w:val="single" w:color="C9CED8" w:sz="6" w:space="12"/>
        </w:pBdr>
        <w:spacing w:after="0" w:line="240"/>
        <w:ind w:left="360"/>
      </w:pPr>
      <w:r>
        <w:rPr>
          <w:rFonts w:ascii="Consolas" w:cs="Consolas" w:eastAsia="Consolas" w:hAnsi="Consolas"/>
          <w:color w:val="1F2937"/>
          <w:sz w:val="17"/>
          <w:szCs w:val="17"/>
        </w:rPr>
        <w:t xml:space="preserve">baseline = load_baseline(agent_id, agent_version)</w:t>
      </w:r>
    </w:p>
    <w:p>
      <w:pPr>
        <w:keepNext/>
        <w:pBdr>
          <w:left w:val="single" w:color="C9CED8" w:sz="6" w:space="12"/>
        </w:pBdr>
        <w:spacing w:after="0" w:line="240"/>
        <w:ind w:left="360"/>
      </w:pPr>
      <w:r>
        <w:rPr>
          <w:rFonts w:ascii="Consolas" w:cs="Consolas" w:eastAsia="Consolas" w:hAnsi="Consolas"/>
          <w:color w:val="1F2937"/>
          <w:sz w:val="17"/>
          <w:szCs w:val="17"/>
        </w:rPr>
        <w:t xml:space="preserve">current  = aggregate_metrics(agent_id, window="1h")</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pBdr>
          <w:left w:val="single" w:color="C9CED8" w:sz="6" w:space="12"/>
        </w:pBdr>
        <w:spacing w:after="0" w:line="240"/>
        <w:ind w:left="360"/>
      </w:pPr>
      <w:r>
        <w:rPr>
          <w:rFonts w:ascii="Consolas" w:cs="Consolas" w:eastAsia="Consolas" w:hAnsi="Consolas"/>
          <w:color w:val="1F2937"/>
          <w:sz w:val="17"/>
          <w:szCs w:val="17"/>
        </w:rPr>
        <w:t xml:space="preserve">MIN_SAMPLE_SIZE = 30  # Minimum observations before alerting</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for metric in MONITORED_METRICS: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current[metric].count &lt; MIN_SAMPLE_SIZE: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continue  # Not enough data to evaluate; skip this window</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baseline[metric].stddev == 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Zero variance in baseline: any change is meaningful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current[metric].mean != baseline[metric].mean: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alert(severity="high", agent=agent_id, metric=metric,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msg=f"Baseline had zero variance; value changed")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continue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z_score = (current[metric].mean - baseline[metric].mean)</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baseline[metric].stddev</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abs(z_score) &gt; 3.0: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alert(severity="high",</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agent=agent_id,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metric=metric,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z_score=z_score,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msg=f"Action threshold: {metric} at {z_score:.1f} sigma")</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elif abs(z_score) &gt; 2.0: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alert(severity="warning",</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agent=agent_id,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metric=metric,</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z_score=z_score,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msg=f"Warning threshold: {metric} at {z_score:.1f} sigma")</w:t>
      </w:r>
    </w:p>
    <w:p>
      <w:pPr>
        <w:spacing w:after="160"/>
      </w:pPr>
    </w:p>
    <w:p>
      <w:pPr>
        <w:spacing w:after="140" w:line="276"/>
      </w:pPr>
      <w:r>
        <w:rPr>
          <w:rFonts w:ascii="Aptos" w:cs="Aptos" w:eastAsia="Aptos" w:hAnsi="Aptos"/>
        </w:rPr>
        <w:t xml:space="preserve">Adapt the window size and sigma thresholds to your traffic volume. Low-traffic agents need wider windows to avoid false positives.</w:t>
      </w:r>
    </w:p>
    <w:p>
      <w:pPr>
        <w:pStyle w:val="Heading3"/>
        <w:keepNext/>
        <w:spacing w:after="80" w:before="200"/>
      </w:pPr>
      <w:r>
        <w:rPr>
          <w:rFonts w:ascii="Aptos" w:cs="Aptos" w:eastAsia="Aptos" w:hAnsi="Aptos"/>
        </w:rPr>
        <w:t xml:space="preserve">Distribution Comparison</w:t>
      </w:r>
    </w:p>
    <w:p>
      <w:pPr>
        <w:spacing w:after="140" w:line="276"/>
      </w:pPr>
      <w:r>
        <w:rPr>
          <w:rFonts w:ascii="Aptos" w:cs="Aptos" w:eastAsia="Aptos" w:hAnsi="Aptos"/>
        </w:rPr>
        <w:t xml:space="preserve">For categorical signals like tool invocation patterns, error type distributions, and oversight level ratios, use distribution comparison tests. Jensen-Shannon divergence (JSD) is a standard measure that will catch shifts control charts miss. Run the comparison against the baseline distribution on a regular cadence, such as every 6 hours. As starting points, a JSD above 0.1 warrants investigation and above 0.3 is a significant behavioral shift; the right cutoffs depend on how many categories the distribution has and how many samples feed it, so calibrate them the same way as the control chart thresholds.</w:t>
      </w:r>
    </w:p>
    <w:p>
      <w:pPr>
        <w:pStyle w:val="Heading3"/>
        <w:keepNext/>
        <w:spacing w:after="80" w:before="200"/>
      </w:pPr>
      <w:r>
        <w:rPr>
          <w:rFonts w:ascii="Aptos" w:cs="Aptos" w:eastAsia="Aptos" w:hAnsi="Aptos"/>
        </w:rPr>
        <w:t xml:space="preserve">Cross-Agent Correlation</w:t>
      </w:r>
    </w:p>
    <w:p>
      <w:pPr>
        <w:spacing w:after="140" w:line="276"/>
      </w:pPr>
      <w:r>
        <w:rPr>
          <w:rFonts w:ascii="Aptos" w:cs="Aptos" w:eastAsia="Aptos" w:hAnsi="Aptos"/>
        </w:rPr>
        <w:t xml:space="preserve">When multiple agents in a mesh show drift simultaneously, the cause is usually shared: a common upstream agent changed behavior, a shared RAG index was updated, or a model version was rotated. Your alerting system should group drift alerts by time window and identify common upstream dependencies. Investigating drift in isolation per-agent is slow and misses cascading effects.</w:t>
      </w:r>
    </w:p>
    <w:p>
      <w:pPr>
        <w:pStyle w:val="Heading3"/>
        <w:keepNext/>
        <w:spacing w:after="80" w:before="200"/>
      </w:pPr>
      <w:r>
        <w:rPr>
          <w:rFonts w:ascii="Aptos" w:cs="Aptos" w:eastAsia="Aptos" w:hAnsi="Aptos"/>
        </w:rPr>
        <w:t xml:space="preserve">Model-as-a-Service Version Drift</w:t>
      </w:r>
    </w:p>
    <w:p>
      <w:pPr>
        <w:spacing w:after="140" w:line="276"/>
      </w:pPr>
      <w:r>
        <w:rPr>
          <w:rFonts w:ascii="Aptos" w:cs="Aptos" w:eastAsia="Aptos" w:hAnsi="Aptos"/>
        </w:rPr>
        <w:t xml:space="preserve">Agents hosted on Model-as-a-Service (MaaS) providers (OpenAI, Anthropic, Google, and similar) face a drift vector that self-hosted models do not: the provider can rotate the underlying model version behind a stable API alias. When your agent calls a model by its alias and the provider updates what that alias points to, your agent's behavior can change without any deployment on your side.</w:t>
      </w:r>
    </w:p>
    <w:p>
      <w:pPr>
        <w:spacing w:after="140" w:line="276"/>
      </w:pPr>
      <w:r>
        <w:rPr>
          <w:rFonts w:ascii="Aptos" w:cs="Aptos" w:eastAsia="Aptos" w:hAnsi="Aptos"/>
        </w:rPr>
        <w:t xml:space="preserve">If the agent publishes a model_fingerprint field in its AISI manifest (see A2A Protocol Specification, The AISI Manifest), monitor that fingerprint on each inference call. When the provider returns a different model identifier than the fingerprint recorded in the manifest, flag it as a drift event. The response depends on your risk posture: for agents under gated or manual oversight, a fingerprint mismatch may warrant pausing until the new version is validated. For autonomous agents, log the mismatch and run a targeted evaluation suite to confirm behavioral equivalence.</w:t>
      </w:r>
    </w:p>
    <w:p>
      <w:pPr>
        <w:spacing w:after="140" w:line="276"/>
      </w:pPr>
      <w:r>
        <w:rPr>
          <w:rFonts w:ascii="Aptos" w:cs="Aptos" w:eastAsia="Aptos" w:hAnsi="Aptos"/>
        </w:rPr>
        <w:t xml:space="preserve">To reduce exposure, pin model versions to explicit identifiers rather than aliases wherever the provider supports it. Record the pinned version in the model_fingerprint field. When you intentionally upgrade, update the fingerprint, re-sign the manifest and bump the agent release version (minor, since behavior may change). This turns a silent drift risk into a controlled change that flows through the standard change classification process (see Section 6).</w:t>
      </w:r>
    </w:p>
    <w:p>
      <w:pPr>
        <w:pStyle w:val="Heading2"/>
        <w:keepNext/>
        <w:spacing w:after="120" w:before="260"/>
      </w:pPr>
      <w:r>
        <w:rPr>
          <w:rFonts w:ascii="Aptos" w:cs="Aptos" w:eastAsia="Aptos" w:hAnsi="Aptos"/>
        </w:rPr>
        <w:t xml:space="preserve">Response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6"/>
        <w:gridCol w:w="5974"/>
      </w:tblGrid>
      <w:tr>
        <w:trPr>
          <w:tblHeader/>
        </w:trPr>
        <w:tc>
          <w:tcPr>
            <w:tcW w:type="dxa" w:w="3386"/>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Drift Severity</w:t>
            </w:r>
          </w:p>
        </w:tc>
        <w:tc>
          <w:tcPr>
            <w:tcW w:type="dxa" w:w="5974"/>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Response</w:t>
            </w:r>
          </w:p>
        </w:tc>
      </w:tr>
      <w:tr>
        <w:trPr>
          <w:cantSplit/>
        </w:trPr>
        <w:tc>
          <w:tcPr>
            <w:tcW w:type="dxa" w:w="338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Warning (2-sigma)</w:t>
            </w:r>
          </w:p>
        </w:tc>
        <w:tc>
          <w:tcPr>
            <w:tcW w:type="dxa" w:w="597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Log and monitor. No automated action. Review in the next daily ops review.</w:t>
            </w:r>
          </w:p>
        </w:tc>
      </w:tr>
      <w:tr>
        <w:trPr>
          <w:cantSplit/>
        </w:trPr>
        <w:tc>
          <w:tcPr>
            <w:tcW w:type="dxa" w:w="338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Action (3-sigma, single metric)</w:t>
            </w:r>
          </w:p>
        </w:tc>
        <w:tc>
          <w:tcPr>
            <w:tcW w:type="dxa" w:w="597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Trigger a targeted evaluation run: re-run the agent's eval suite against current behavior. If the eval passes and the owner can explain the shift (a known change, a traffic pattern), update the baseline with the explanation recorded; a passed evaluation on its own does not legitimize unexplained drift. If it fails, escalate to the agent owner for investigation.</w:t>
            </w:r>
          </w:p>
        </w:tc>
      </w:tr>
      <w:tr>
        <w:trPr>
          <w:cantSplit/>
        </w:trPr>
        <w:tc>
          <w:tcPr>
            <w:tcW w:type="dxa" w:w="338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Action (3-sigma, multiple metrics)</w:t>
            </w:r>
          </w:p>
        </w:tc>
        <w:tc>
          <w:tcPr>
            <w:tcW w:type="dxa" w:w="597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This is a behavioral change, not noise. Pause new integrations with this agent. Run the full eval suite. Correlate with recent changes: model updates, RAG index changes, upstream agent deployments. Do not update the baseline until root cause is identified.</w:t>
            </w:r>
          </w:p>
        </w:tc>
      </w:tr>
      <w:tr>
        <w:trPr>
          <w:cantSplit/>
        </w:trPr>
        <w:tc>
          <w:tcPr>
            <w:tcW w:type="dxa" w:w="338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Contract violation rate spike</w:t>
            </w:r>
          </w:p>
        </w:tc>
        <w:tc>
          <w:tcPr>
            <w:tcW w:type="dxa" w:w="597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This is the signal to act on first. If contract violations exceed a rate you have set for the agent (5% of interactions over a 1-hour window is a starting point), trigger the circuit breaker at layer 6 (Baseline Controls A2A-7). Investigate before re-enabling.</w:t>
            </w:r>
          </w:p>
        </w:tc>
      </w:tr>
    </w:tbl>
    <w:p>
      <w:pPr>
        <w:spacing w:after="160"/>
      </w:pP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agent in production has a versioned behavioral baseline. Drift detection runs continuously against all monitored signals. Alerts fire at warning and action thresholds with enough context (which metric, how far from baseline, correlated agents) for the on-call team to triage without digging through dashboards. Drift alerts integrate into your existing incident management workflow. Baselines are updated only through an explicit process with a recorded explanation, never silently and never on a passed evaluation alone.</w:t>
      </w:r>
    </w:p>
    <w:p>
      <w:pPr>
        <w:pStyle w:val="Heading1"/>
        <w:keepNext/>
        <w:spacing w:after="160" w:before="360"/>
      </w:pPr>
      <w:r>
        <w:rPr>
          <w:rFonts w:ascii="Aptos" w:cs="Aptos" w:eastAsia="Aptos" w:hAnsi="Aptos"/>
        </w:rPr>
        <w:t xml:space="preserve">2. Shadow AI Discovery</w:t>
      </w:r>
    </w:p>
    <w:p>
      <w:pPr>
        <w:keepNext/>
        <w:spacing w:after="20" w:line="250"/>
        <w:ind w:left="360"/>
      </w:pPr>
      <w:r>
        <w:rPr>
          <w:rFonts w:ascii="Aptos" w:cs="Aptos" w:eastAsia="Aptos" w:hAnsi="Aptos"/>
          <w:sz w:val="18"/>
          <w:szCs w:val="18"/>
        </w:rPr>
        <w:t xml:space="preserve">A2A-2: Signed Agent Cards   |   AISI Layer 7</w:t>
      </w:r>
    </w:p>
    <w:p>
      <w:pPr>
        <w:keepNext/>
        <w:spacing w:after="200" w:line="250"/>
        <w:ind w:left="360"/>
      </w:pPr>
      <w:r>
        <w:rPr>
          <w:rFonts w:ascii="Aptos" w:cs="Aptos" w:eastAsia="Aptos" w:hAnsi="Aptos"/>
          <w:sz w:val="18"/>
          <w:szCs w:val="18"/>
        </w:rPr>
        <w:t xml:space="preserve">SEC-9: Third-party agent risk   |   AISI Layers 5, 7</w:t>
      </w:r>
    </w:p>
    <w:p>
      <w:pPr>
        <w:pStyle w:val="Heading2"/>
        <w:keepNext/>
        <w:spacing w:after="120" w:before="260"/>
      </w:pPr>
      <w:r>
        <w:rPr>
          <w:rFonts w:ascii="Aptos" w:cs="Aptos" w:eastAsia="Aptos" w:hAnsi="Aptos"/>
        </w:rPr>
        <w:t xml:space="preserve">The Problem</w:t>
      </w:r>
    </w:p>
    <w:p>
      <w:pPr>
        <w:spacing w:after="140" w:line="276"/>
      </w:pPr>
      <w:r>
        <w:rPr>
          <w:rFonts w:ascii="Aptos" w:cs="Aptos" w:eastAsia="Aptos" w:hAnsi="Aptos"/>
        </w:rPr>
        <w:t xml:space="preserve">Shadow AI here is not someone using a chatbot at their desk. It is an agent on your systems that nobody registered or approved: a team deployed one outside the registration process, a sanctioned agent started calling downstream agents or MCP servers nobody reviewed, or a business unit switched on agents inside a SaaS platform you run and never told anyone.</w:t>
      </w:r>
    </w:p>
    <w:p>
      <w:pPr>
        <w:spacing w:after="140" w:line="276"/>
      </w:pPr>
      <w:r>
        <w:rPr>
          <w:rFonts w:ascii="Aptos" w:cs="Aptos" w:eastAsia="Aptos" w:hAnsi="Aptos"/>
        </w:rPr>
        <w:t xml:space="preserve">The Agent Card system (A2A-2) and the approved-server registry are the preventive controls: every agent presents a signed card bound to its runtime identity, and every MCP server an agent reaches is one you pinned. You also need a detective control that finds agents bypassing the system entirely, sanctioned agents calling unsanctioned downstream services, and agents that live somewhere your mesh cannot see.</w:t>
      </w:r>
    </w:p>
    <w:p>
      <w:pPr>
        <w:pStyle w:val="Heading2"/>
        <w:keepNext/>
        <w:spacing w:after="120" w:before="260"/>
      </w:pPr>
      <w:r>
        <w:rPr>
          <w:rFonts w:ascii="Aptos" w:cs="Aptos" w:eastAsia="Aptos" w:hAnsi="Aptos"/>
        </w:rPr>
        <w:t xml:space="preserve">Detection Layers</w:t>
      </w:r>
    </w:p>
    <w:p>
      <w:pPr>
        <w:pStyle w:val="Heading3"/>
        <w:keepNext/>
        <w:spacing w:after="80" w:before="200"/>
      </w:pPr>
      <w:r>
        <w:rPr>
          <w:rFonts w:ascii="Aptos" w:cs="Aptos" w:eastAsia="Aptos" w:hAnsi="Aptos"/>
        </w:rPr>
        <w:t xml:space="preserve">Network-Level Detection</w:t>
      </w:r>
    </w:p>
    <w:p>
      <w:pPr>
        <w:spacing w:after="140" w:line="276"/>
      </w:pPr>
      <w:r>
        <w:rPr>
          <w:rFonts w:ascii="Aptos" w:cs="Aptos" w:eastAsia="Aptos" w:hAnsi="Aptos"/>
        </w:rPr>
        <w:t xml:space="preserve">Your service mesh generates connection telemetry for every mTLS session. The detection logic is simple: extract the SPIFFE IDs from mTLS connection logs and compare them against the Agent Card registry. However, mesh telemetry only catches workloads that participate in the mesh identity path. Workloads that bypass the sidecar (hostNetwork pods, containers with sidecar injection disabled, traffic excluded by annotation) will not appear in mesh logs at all.</w:t>
      </w:r>
    </w:p>
    <w:p>
      <w:pPr>
        <w:keepNext/>
        <w:pBdr>
          <w:left w:val="single" w:color="C9CED8" w:sz="6" w:space="12"/>
        </w:pBdr>
        <w:spacing w:after="0" w:line="240"/>
        <w:ind w:left="360"/>
      </w:pPr>
      <w:r>
        <w:rPr>
          <w:rFonts w:ascii="Consolas" w:cs="Consolas" w:eastAsia="Consolas" w:hAnsi="Consolas"/>
          <w:color w:val="1F2937"/>
          <w:sz w:val="17"/>
          <w:szCs w:val="17"/>
        </w:rPr>
        <w:t xml:space="preserve"># Query: find SPIFFE IDs making agent-to-agent calls that are not in the registry</w:t>
      </w:r>
    </w:p>
    <w:p>
      <w:pPr>
        <w:keepNext/>
        <w:pBdr>
          <w:left w:val="single" w:color="C9CED8" w:sz="6" w:space="12"/>
        </w:pBdr>
        <w:spacing w:after="0" w:line="240"/>
        <w:ind w:left="360"/>
      </w:pPr>
      <w:r>
        <w:rPr>
          <w:rFonts w:ascii="Consolas" w:cs="Consolas" w:eastAsia="Consolas" w:hAnsi="Consolas"/>
          <w:color w:val="1F2937"/>
          <w:sz w:val="17"/>
          <w:szCs w:val="17"/>
        </w:rPr>
        <w:t xml:space="preserve">#</w:t>
      </w:r>
    </w:p>
    <w:p>
      <w:pPr>
        <w:keepNext/>
        <w:pBdr>
          <w:left w:val="single" w:color="C9CED8" w:sz="6" w:space="12"/>
        </w:pBdr>
        <w:spacing w:after="0" w:line="240"/>
        <w:ind w:left="360"/>
      </w:pPr>
      <w:r>
        <w:rPr>
          <w:rFonts w:ascii="Consolas" w:cs="Consolas" w:eastAsia="Consolas" w:hAnsi="Consolas"/>
          <w:color w:val="1F2937"/>
          <w:sz w:val="17"/>
          <w:szCs w:val="17"/>
        </w:rPr>
        <w:t xml:space="preserve"># This runs against your service mesh telemetry (Istio access logs,</w:t>
      </w:r>
    </w:p>
    <w:p>
      <w:pPr>
        <w:keepNext/>
        <w:pBdr>
          <w:left w:val="single" w:color="C9CED8" w:sz="6" w:space="12"/>
        </w:pBdr>
        <w:spacing w:after="0" w:line="240"/>
        <w:ind w:left="360"/>
      </w:pPr>
      <w:r>
        <w:rPr>
          <w:rFonts w:ascii="Consolas" w:cs="Consolas" w:eastAsia="Consolas" w:hAnsi="Consolas"/>
          <w:color w:val="1F2937"/>
          <w:sz w:val="17"/>
          <w:szCs w:val="17"/>
        </w:rPr>
        <w:t xml:space="preserve"># Envoy connection metadata, or equivalent). Adapt the query to</w:t>
      </w:r>
    </w:p>
    <w:p>
      <w:pPr>
        <w:keepNext/>
        <w:pBdr>
          <w:left w:val="single" w:color="C9CED8" w:sz="6" w:space="12"/>
        </w:pBdr>
        <w:spacing w:after="0" w:line="240"/>
        <w:ind w:left="360"/>
      </w:pPr>
      <w:r>
        <w:rPr>
          <w:rFonts w:ascii="Consolas" w:cs="Consolas" w:eastAsia="Consolas" w:hAnsi="Consolas"/>
          <w:color w:val="1F2937"/>
          <w:sz w:val="17"/>
          <w:szCs w:val="17"/>
        </w:rPr>
        <w:t xml:space="preserve"># your log aggregation system.</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Step 1: Collect unique source/destination SPIFFE ID pairs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from mTLS connection logs over the past 24 hours.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Step 2: Load the set of registered SPIFFE IDs from the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 Card registry (or SPIRE entry list).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Step 3: Flag any SPIFFE ID appearing in connection logs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that is not in the registered set.</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Step 4: For registered agents, flag any destination SPIFFE ID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that the source agent has not declared in its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Agent Card "dependencies" field.</w:t>
      </w:r>
    </w:p>
    <w:p>
      <w:pPr>
        <w:spacing w:after="160"/>
      </w:pPr>
    </w:p>
    <w:p>
      <w:pPr>
        <w:spacing w:after="140" w:line="276"/>
      </w:pPr>
      <w:r>
        <w:rPr>
          <w:rFonts w:ascii="Aptos" w:cs="Aptos" w:eastAsia="Aptos" w:hAnsi="Aptos"/>
        </w:rPr>
        <w:t xml:space="preserve">Shadow agents fall into three categories that need different detection methods. Undeclared dependencies are agents with valid mesh identities that are calling downstream agents or MCP servers not listed in their Agent Card dependencies field; these are visible in mesh telemetry because they participate in mTLS normally, and an outbound call to an MCP server that is not in the approved registry is the same finding by another route. Unregistered or bypass workloads have no Agent Card, no SPIRE entry or no sidecar, and do not appear in mesh connection logs at all; these are found through the reconciliation, admission controller, workload inventory and egress and DNS methods below. Platform-resident agents run inside SaaS and cloud platforms your mesh never sees, and are found only through the platforms' own admin consoles, connector inventories and audit logs, and through the non-human identity tooling that finds the keys and service accounts they run on.</w:t>
      </w:r>
    </w:p>
    <w:p>
      <w:pPr>
        <w:pStyle w:val="Heading3"/>
        <w:keepNext/>
        <w:spacing w:after="80" w:before="200"/>
      </w:pPr>
      <w:r>
        <w:rPr>
          <w:rFonts w:ascii="Aptos" w:cs="Aptos" w:eastAsia="Aptos" w:hAnsi="Aptos"/>
        </w:rPr>
        <w:t xml:space="preserve">Bypass Detection</w:t>
      </w:r>
    </w:p>
    <w:p>
      <w:pPr>
        <w:spacing w:after="140" w:line="276"/>
      </w:pPr>
      <w:r>
        <w:rPr>
          <w:rFonts w:ascii="Aptos" w:cs="Aptos" w:eastAsia="Aptos" w:hAnsi="Aptos"/>
        </w:rPr>
        <w:t xml:space="preserve">Mesh telemetry is blind to workloads that never enter the mesh identity path. To catch these, layer in additional detection sources:</w:t>
      </w:r>
    </w:p>
    <w:p>
      <w:pPr>
        <w:spacing w:after="140" w:line="276"/>
      </w:pPr>
      <w:r>
        <w:rPr>
          <w:rFonts w:ascii="Aptos" w:cs="Aptos" w:eastAsia="Aptos" w:hAnsi="Aptos"/>
        </w:rPr>
        <w:t xml:space="preserve">Kubernetes workload inventory: compare the set of running pods in agent namespaces against SPIRE registration entries. Any pod with no corresponding SPIRE entry is a gap, whether it is a shadow agent or a misconfiguration.</w:t>
      </w:r>
    </w:p>
    <w:p>
      <w:pPr>
        <w:spacing w:after="140" w:line="276"/>
      </w:pPr>
      <w:r>
        <w:rPr>
          <w:rFonts w:ascii="Aptos" w:cs="Aptos" w:eastAsia="Aptos" w:hAnsi="Aptos"/>
        </w:rPr>
        <w:t xml:space="preserve">Admission controller findings: if you enforce sidecar injection via admission policy, log pods that were exempted or that requested hostNetwork access.</w:t>
      </w:r>
    </w:p>
    <w:p>
      <w:pPr>
        <w:spacing w:after="140" w:line="276"/>
      </w:pPr>
      <w:r>
        <w:rPr>
          <w:rFonts w:ascii="Aptos" w:cs="Aptos" w:eastAsia="Aptos" w:hAnsi="Aptos"/>
        </w:rPr>
        <w:t xml:space="preserve">Egress proxy and DNS telemetry: workloads bypassing the mesh may still make outbound calls through an egress proxy or resolve external hostnames. Monitor these logs for traffic patterns consistent with agent and MCP calls (HTTP/2, gRPC, JSON-RPC, Streamable HTTP) originating from agent namespaces, and for connections to any MCP server hostname that is not in the approved registry.</w:t>
      </w:r>
    </w:p>
    <w:p>
      <w:pPr>
        <w:pStyle w:val="Heading3"/>
        <w:keepNext/>
        <w:spacing w:after="80" w:before="200"/>
      </w:pPr>
      <w:r>
        <w:rPr>
          <w:rFonts w:ascii="Aptos" w:cs="Aptos" w:eastAsia="Aptos" w:hAnsi="Aptos"/>
        </w:rPr>
        <w:t xml:space="preserve">Beyond the Mesh</w:t>
      </w:r>
    </w:p>
    <w:p>
      <w:pPr>
        <w:spacing w:after="140" w:line="276"/>
      </w:pPr>
      <w:r>
        <w:rPr>
          <w:rFonts w:ascii="Aptos" w:cs="Aptos" w:eastAsia="Aptos" w:hAnsi="Aptos"/>
        </w:rPr>
        <w:t xml:space="preserve">The agents that most often turn up unregistered are the ones a business unit enabled inside a SaaS platform, a low-code automation tool or a cloud AI service, where there is no pod, no sidecar and no SPIRE entry. Discovery for those runs through a different set of sources: the platform's admin console and agent inventory, the connector and integration inventory (which tools and data each agent was wired to), the platform's audit log export, and the non-human identity tooling that finds service accounts, API keys and OAuth grants that agents run on. An inventory that lists the agent without its owner, its data, its credentials and its permitted actions is not an inventory anyone can act on; capture all of them in one record and treat discovery as continuous.</w:t>
      </w:r>
    </w:p>
    <w:p>
      <w:pPr>
        <w:pStyle w:val="Heading3"/>
        <w:keepNext/>
        <w:spacing w:after="80" w:before="200"/>
      </w:pPr>
      <w:r>
        <w:rPr>
          <w:rFonts w:ascii="Aptos" w:cs="Aptos" w:eastAsia="Aptos" w:hAnsi="Aptos"/>
        </w:rPr>
        <w:t xml:space="preserve">Registry Reconciliation</w:t>
      </w:r>
    </w:p>
    <w:p>
      <w:pPr>
        <w:spacing w:after="140" w:line="276"/>
      </w:pPr>
      <w:r>
        <w:rPr>
          <w:rFonts w:ascii="Aptos" w:cs="Aptos" w:eastAsia="Aptos" w:hAnsi="Aptos"/>
        </w:rPr>
        <w:t xml:space="preserve">Run a daily reconciliation between three sources: the Agent Card registry, the SPIRE server's registration entries, and the actual workloads running in your cluster. Any discrepancy is a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1"/>
        <w:gridCol w:w="3554"/>
        <w:gridCol w:w="3555"/>
      </w:tblGrid>
      <w:tr>
        <w:trPr>
          <w:tblHeader/>
        </w:trPr>
        <w:tc>
          <w:tcPr>
            <w:tcW w:type="dxa" w:w="2251"/>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Discrepancy</w:t>
            </w:r>
          </w:p>
        </w:tc>
        <w:tc>
          <w:tcPr>
            <w:tcW w:type="dxa" w:w="3554"/>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Means</w:t>
            </w:r>
          </w:p>
        </w:tc>
        <w:tc>
          <w:tcPr>
            <w:tcW w:type="dxa" w:w="3555"/>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Action</w:t>
            </w:r>
          </w:p>
        </w:tc>
      </w:tr>
      <w:tr>
        <w:trPr>
          <w:cantSplit/>
        </w:trPr>
        <w:tc>
          <w:tcPr>
            <w:tcW w:type="dxa" w:w="225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SPIRE entry exists, no Agent Card</w:t>
            </w:r>
          </w:p>
        </w:tc>
        <w:tc>
          <w:tcPr>
            <w:tcW w:type="dxa" w:w="355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 workload has a SPIFFE identity but never published a card. It can establish mTLS connections but cannot complete the trust sequence.</w:t>
            </w:r>
          </w:p>
        </w:tc>
        <w:tc>
          <w:tcPr>
            <w:tcW w:type="dxa" w:w="3555"/>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Investigate the workload. If it is an agent, require card registration. If it is not an agent, verify it should have a SPIRE entry at all.</w:t>
            </w:r>
          </w:p>
        </w:tc>
      </w:tr>
      <w:tr>
        <w:trPr>
          <w:cantSplit/>
        </w:trPr>
        <w:tc>
          <w:tcPr>
            <w:tcW w:type="dxa" w:w="225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 Card exists, no running workload</w:t>
            </w:r>
          </w:p>
        </w:tc>
        <w:tc>
          <w:tcPr>
            <w:tcW w:type="dxa" w:w="355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 card is published for an agent that is not deployed. This could be a stale card from a previous deployment, or a pre-staged card for an upcoming deployment.</w:t>
            </w:r>
          </w:p>
        </w:tc>
        <w:tc>
          <w:tcPr>
            <w:tcW w:type="dxa" w:w="3555"/>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If the card is active (not expired), revoke it. Stale cards are an impersonation risk.</w:t>
            </w:r>
          </w:p>
        </w:tc>
      </w:tr>
      <w:tr>
        <w:trPr>
          <w:cantSplit/>
        </w:trPr>
        <w:tc>
          <w:tcPr>
            <w:tcW w:type="dxa" w:w="225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Running workload, no SPIRE entry</w:t>
            </w:r>
          </w:p>
        </w:tc>
        <w:tc>
          <w:tcPr>
            <w:tcW w:type="dxa" w:w="355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 container is running in an agent namespace without workload identity. It cannot participate in mTLS but may be making unauthenticated calls.</w:t>
            </w:r>
          </w:p>
        </w:tc>
        <w:tc>
          <w:tcPr>
            <w:tcW w:type="dxa" w:w="3555"/>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This is a misconfiguration or a policy violation. The workload should not be in an agent namespace without identity attestation.</w:t>
            </w:r>
          </w:p>
        </w:tc>
      </w:tr>
      <w:tr>
        <w:trPr>
          <w:cantSplit/>
        </w:trPr>
        <w:tc>
          <w:tcPr>
            <w:tcW w:type="dxa" w:w="225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 calling undeclared dependencies</w:t>
            </w:r>
          </w:p>
        </w:tc>
        <w:tc>
          <w:tcPr>
            <w:tcW w:type="dxa" w:w="355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 registered agent is calling agents or MCP servers not listed in its Agent Card dependencies field or the approved-server registry.</w:t>
            </w:r>
          </w:p>
        </w:tc>
        <w:tc>
          <w:tcPr>
            <w:tcW w:type="dxa" w:w="3555"/>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Review whether the dependency is legitimate. If yes, review the server's tool list, update the card and the registry. If no, investigate why the agent is making undeclared calls; a tool result or a retrieved document may have steered it there.</w:t>
            </w:r>
          </w:p>
        </w:tc>
      </w:tr>
    </w:tbl>
    <w:p>
      <w:pPr>
        <w:spacing w:after="160"/>
      </w:pPr>
    </w:p>
    <w:p>
      <w:pPr>
        <w:pStyle w:val="Heading3"/>
        <w:keepNext/>
        <w:spacing w:after="80" w:before="200"/>
      </w:pPr>
      <w:r>
        <w:rPr>
          <w:rFonts w:ascii="Aptos" w:cs="Aptos" w:eastAsia="Aptos" w:hAnsi="Aptos"/>
        </w:rPr>
        <w:t xml:space="preserve">Usage Logging and Sanctioning</w:t>
      </w:r>
    </w:p>
    <w:p>
      <w:pPr>
        <w:spacing w:after="140" w:line="276"/>
      </w:pPr>
      <w:r>
        <w:rPr>
          <w:rFonts w:ascii="Aptos" w:cs="Aptos" w:eastAsia="Aptos" w:hAnsi="Aptos"/>
        </w:rPr>
        <w:t xml:space="preserve">Maintain a sanctioning status for every discovered agent. Sanctioned means registered, reviewed, and approved for production. Provisional means discovered and under review, allowed to operate pending approval with enhanced monitoring. Blocked means discovered, not approved, with connections actively rejected via AuthorizationPolicy.</w:t>
      </w:r>
    </w:p>
    <w:p>
      <w:pPr>
        <w:spacing w:after="140" w:line="276"/>
      </w:pPr>
      <w:r>
        <w:rPr>
          <w:rFonts w:ascii="Aptos" w:cs="Aptos" w:eastAsia="Aptos" w:hAnsi="Aptos"/>
        </w:rPr>
        <w:t xml:space="preserve">The default status for newly discovered agents depends on your risk posture. In environments prioritizing availability and team adoption, start with Provisional: allow traffic with enhanced monitoring while the team registers properly. In higher-risk environments (regulated industries, production systems handling sensitive data), start with Blocked: deny traffic until the agent is explicitly approved. Most organizations start with Provisional defaults and move toward Blocked defaults as their Agent Card registry and registration processes mature.</w:t>
      </w:r>
    </w:p>
    <w:p>
      <w:pPr>
        <w:pStyle w:val="Heading2"/>
        <w:keepNext/>
        <w:spacing w:after="120" w:before="260"/>
      </w:pPr>
      <w:r>
        <w:rPr>
          <w:rFonts w:ascii="Aptos" w:cs="Aptos" w:eastAsia="Aptos" w:hAnsi="Aptos"/>
        </w:rPr>
        <w:t xml:space="preserve">Automated Enforcement</w:t>
      </w:r>
    </w:p>
    <w:p>
      <w:pPr>
        <w:spacing w:after="140" w:line="276"/>
      </w:pPr>
      <w:r>
        <w:rPr>
          <w:rFonts w:ascii="Aptos" w:cs="Aptos" w:eastAsia="Aptos" w:hAnsi="Aptos"/>
        </w:rPr>
        <w:t xml:space="preserve">Shadow AI detection should feed into your policy engine. When the reconciliation process identifies an unregistered workload or an undeclared dependency, it should automatically create a finding in your governance, risk and compliance (GRC) system and, depending on your risk tolerance, take one of two actions: alert-only (log the finding, notify the responsible team, allow traffic to continue) or block (update the AuthorizationPolicy to deny traffic to or from the unregistered workload). Start with alert-only and move to block as your Agent Card registry reaches maturity.</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Daily reconciliation runs across the Agent Card registry, SPIRE entries, and running workloads. Every discrepancy generates a finding. Unregistered agents and unapproved MCP servers are flagged within 24 hours. Undeclared dependencies are detected on every reconciliation run. Platform-resident agents are inventoried from the platforms' own consoles and connector lists on the same cadence. The sanctioning status of every agent is tracked and reviewed quarterly (Baseline Controls SEC-8). Your security operations center can answer the question: what agents are running right now, in the mesh and in the platforms we run, what can each one reach, and are all of them approved?</w:t>
      </w:r>
    </w:p>
    <w:p>
      <w:pPr>
        <w:pStyle w:val="Heading1"/>
        <w:keepNext/>
        <w:spacing w:after="160" w:before="360"/>
      </w:pPr>
      <w:r>
        <w:rPr>
          <w:rFonts w:ascii="Aptos" w:cs="Aptos" w:eastAsia="Aptos" w:hAnsi="Aptos"/>
        </w:rPr>
        <w:t xml:space="preserve">3. RAG Index Freshness and Stale Data</w:t>
      </w:r>
    </w:p>
    <w:p>
      <w:pPr>
        <w:keepNext/>
        <w:spacing w:after="20" w:line="250"/>
        <w:ind w:left="360"/>
      </w:pPr>
      <w:r>
        <w:rPr>
          <w:rFonts w:ascii="Aptos" w:cs="Aptos" w:eastAsia="Aptos" w:hAnsi="Aptos"/>
          <w:sz w:val="18"/>
          <w:szCs w:val="18"/>
        </w:rPr>
        <w:t xml:space="preserve">AI-7: Embedding integrity   |   AISI Layer 4</w:t>
      </w:r>
    </w:p>
    <w:p>
      <w:pPr>
        <w:keepNext/>
        <w:spacing w:after="200" w:line="250"/>
        <w:ind w:left="360"/>
      </w:pPr>
      <w:r>
        <w:rPr>
          <w:rFonts w:ascii="Aptos" w:cs="Aptos" w:eastAsia="Aptos" w:hAnsi="Aptos"/>
          <w:sz w:val="18"/>
          <w:szCs w:val="18"/>
        </w:rPr>
        <w:t xml:space="preserve">AI-6: RAG data access governance   |   AISI Layers 4, 6</w:t>
      </w:r>
    </w:p>
    <w:p>
      <w:pPr>
        <w:pStyle w:val="Heading2"/>
        <w:keepNext/>
        <w:spacing w:after="120" w:before="260"/>
      </w:pPr>
      <w:r>
        <w:rPr>
          <w:rFonts w:ascii="Aptos" w:cs="Aptos" w:eastAsia="Aptos" w:hAnsi="Aptos"/>
        </w:rPr>
        <w:t xml:space="preserve">The Problem</w:t>
      </w:r>
    </w:p>
    <w:p>
      <w:pPr>
        <w:spacing w:after="140" w:line="276"/>
      </w:pPr>
      <w:r>
        <w:rPr>
          <w:rFonts w:ascii="Aptos" w:cs="Aptos" w:eastAsia="Aptos" w:hAnsi="Aptos"/>
        </w:rPr>
        <w:t xml:space="preserve">Vector stores and RAG indexes are not static. The source documents they were built from get updated, superseded, or deleted. But the embeddings generated from those documents persist in the index unless someone explicitly removes them. An agent querying a stale index can retrieve context from a policy document that was revised six months ago, a product spec that was replaced, or a customer record that should have been purged.</w:t>
      </w:r>
    </w:p>
    <w:p>
      <w:pPr>
        <w:spacing w:after="140" w:line="276"/>
      </w:pPr>
      <w:r>
        <w:rPr>
          <w:rFonts w:ascii="Aptos" w:cs="Aptos" w:eastAsia="Aptos" w:hAnsi="Aptos"/>
        </w:rPr>
        <w:t xml:space="preserve">In a single-agent system, stale data is a quality problem. In a mesh, it is a propagation problem: Agent A retrieves stale context, generates a response based on it, and sends that response to Agent B as authoritative input. Agent B has no way to know the underlying source was outdated.</w:t>
      </w:r>
    </w:p>
    <w:p>
      <w:pPr>
        <w:pStyle w:val="Heading2"/>
        <w:keepNext/>
        <w:spacing w:after="120" w:before="260"/>
      </w:pPr>
      <w:r>
        <w:rPr>
          <w:rFonts w:ascii="Aptos" w:cs="Aptos" w:eastAsia="Aptos" w:hAnsi="Aptos"/>
        </w:rPr>
        <w:t xml:space="preserve">Source Document Lifecycle Tracking</w:t>
      </w:r>
    </w:p>
    <w:p>
      <w:pPr>
        <w:spacing w:after="140" w:line="276"/>
      </w:pPr>
      <w:r>
        <w:rPr>
          <w:rFonts w:ascii="Aptos" w:cs="Aptos" w:eastAsia="Aptos" w:hAnsi="Aptos"/>
        </w:rPr>
        <w:t xml:space="preserve">The foundation of index freshness is tracking the lifecycle of source documents. Every document ingested into a vector store should have metadata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7389"/>
      </w:tblGrid>
      <w:tr>
        <w:trPr>
          <w:tblHeader/>
        </w:trPr>
        <w:tc>
          <w:tcPr>
            <w:tcW w:type="dxa" w:w="1971"/>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Metadata Field</w:t>
            </w:r>
          </w:p>
        </w:tc>
        <w:tc>
          <w:tcPr>
            <w:tcW w:type="dxa" w:w="7389"/>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Purpose</w:t>
            </w:r>
          </w:p>
        </w:tc>
      </w:tr>
      <w:tr>
        <w:trPr>
          <w:cantSplit/>
        </w:trPr>
        <w:tc>
          <w:tcPr>
            <w:tcW w:type="dxa" w:w="197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source_id</w:t>
            </w:r>
          </w:p>
        </w:tc>
        <w:tc>
          <w:tcPr>
            <w:tcW w:type="dxa" w:w="738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Unique identifier for the source document (URL, document ID, file hash)</w:t>
            </w:r>
          </w:p>
        </w:tc>
      </w:tr>
      <w:tr>
        <w:trPr>
          <w:cantSplit/>
        </w:trPr>
        <w:tc>
          <w:tcPr>
            <w:tcW w:type="dxa" w:w="197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source_version</w:t>
            </w:r>
          </w:p>
        </w:tc>
        <w:tc>
          <w:tcPr>
            <w:tcW w:type="dxa" w:w="738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Version or last-modified timestamp of the source at ingest time</w:t>
            </w:r>
          </w:p>
        </w:tc>
      </w:tr>
      <w:tr>
        <w:trPr>
          <w:cantSplit/>
        </w:trPr>
        <w:tc>
          <w:tcPr>
            <w:tcW w:type="dxa" w:w="197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ingested_at</w:t>
            </w:r>
          </w:p>
        </w:tc>
        <w:tc>
          <w:tcPr>
            <w:tcW w:type="dxa" w:w="738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Timestamp when the embedding was generated and stored</w:t>
            </w:r>
          </w:p>
        </w:tc>
      </w:tr>
      <w:tr>
        <w:trPr>
          <w:cantSplit/>
        </w:trPr>
        <w:tc>
          <w:tcPr>
            <w:tcW w:type="dxa" w:w="197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source_status</w:t>
            </w:r>
          </w:p>
        </w:tc>
        <w:tc>
          <w:tcPr>
            <w:tcW w:type="dxa" w:w="738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Current status of the source: active, superseded, deleted, archived</w:t>
            </w:r>
          </w:p>
        </w:tc>
      </w:tr>
      <w:tr>
        <w:trPr>
          <w:cantSplit/>
        </w:trPr>
        <w:tc>
          <w:tcPr>
            <w:tcW w:type="dxa" w:w="197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ttl</w:t>
            </w:r>
          </w:p>
        </w:tc>
        <w:tc>
          <w:tcPr>
            <w:tcW w:type="dxa" w:w="738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Maximum age before the embedding must be re-evaluated, even if the source has not changed</w:t>
            </w:r>
          </w:p>
        </w:tc>
      </w:tr>
    </w:tbl>
    <w:p>
      <w:pPr>
        <w:spacing w:after="160"/>
      </w:pPr>
    </w:p>
    <w:p>
      <w:pPr>
        <w:spacing w:after="140" w:line="276"/>
      </w:pPr>
      <w:r>
        <w:rPr>
          <w:rFonts w:ascii="Aptos" w:cs="Aptos" w:eastAsia="Aptos" w:hAnsi="Aptos"/>
        </w:rPr>
        <w:t xml:space="preserve">This metadata enables two operations: forward propagation (when a source document changes, find and update all embeddings derived from it) and staleness detection (find all embeddings older than their time to live (TTL) or derived from sources that no longer exist).</w:t>
      </w:r>
    </w:p>
    <w:p>
      <w:pPr>
        <w:pStyle w:val="Heading2"/>
        <w:keepNext/>
        <w:spacing w:after="120" w:before="260"/>
      </w:pPr>
      <w:r>
        <w:rPr>
          <w:rFonts w:ascii="Aptos" w:cs="Aptos" w:eastAsia="Aptos" w:hAnsi="Aptos"/>
        </w:rPr>
        <w:t xml:space="preserve">Freshness Scoring</w:t>
      </w:r>
    </w:p>
    <w:p>
      <w:pPr>
        <w:spacing w:after="140" w:line="276"/>
      </w:pPr>
      <w:r>
        <w:rPr>
          <w:rFonts w:ascii="Aptos" w:cs="Aptos" w:eastAsia="Aptos" w:hAnsi="Aptos"/>
        </w:rPr>
        <w:t xml:space="preserve">At retrieval time, score each result for freshness before the agent reasons over it. A simple freshness score combines two factors:</w:t>
      </w:r>
    </w:p>
    <w:p>
      <w:pPr>
        <w:keepNext/>
        <w:pBdr>
          <w:left w:val="single" w:color="C9CED8" w:sz="6" w:space="12"/>
        </w:pBdr>
        <w:spacing w:after="0" w:line="240"/>
        <w:ind w:left="360"/>
      </w:pPr>
      <w:r>
        <w:rPr>
          <w:rFonts w:ascii="Consolas" w:cs="Consolas" w:eastAsia="Consolas" w:hAnsi="Consolas"/>
          <w:color w:val="1F2937"/>
          <w:sz w:val="17"/>
          <w:szCs w:val="17"/>
        </w:rPr>
        <w:t xml:space="preserve"># Freshness scoring at retrieval time</w:t>
      </w:r>
    </w:p>
    <w:p>
      <w:pPr>
        <w:keepNext/>
        <w:pBdr>
          <w:left w:val="single" w:color="C9CED8" w:sz="6" w:space="12"/>
        </w:pBdr>
        <w:spacing w:after="0" w:line="240"/>
        <w:ind w:left="360"/>
      </w:pPr>
      <w:r>
        <w:rPr>
          <w:rFonts w:ascii="Consolas" w:cs="Consolas" w:eastAsia="Consolas" w:hAnsi="Consolas"/>
          <w:color w:val="1F2937"/>
          <w:sz w:val="17"/>
          <w:szCs w:val="17"/>
        </w:rPr>
        <w:t xml:space="preserve"># Run this after vector similarity search, before passing results to the model.</w:t>
      </w:r>
    </w:p>
    <w:p>
      <w:pPr>
        <w:keepNext/>
        <w:pBdr>
          <w:left w:val="single" w:color="C9CED8" w:sz="6" w:space="12"/>
        </w:pBdr>
        <w:spacing w:after="0" w:line="240"/>
        <w:ind w:left="360"/>
      </w:pPr>
      <w:r>
        <w:rPr>
          <w:rFonts w:ascii="Consolas" w:cs="Consolas" w:eastAsia="Consolas" w:hAnsi="Consolas"/>
          <w:color w:val="1F2937"/>
          <w:sz w:val="17"/>
          <w:szCs w:val="17"/>
        </w:rPr>
        <w:t xml:space="preserve"> </w:t>
      </w:r>
    </w:p>
    <w:p>
      <w:pPr>
        <w:keepNext/>
        <w:pBdr>
          <w:left w:val="single" w:color="C9CED8" w:sz="6" w:space="12"/>
        </w:pBdr>
        <w:spacing w:after="0" w:line="240"/>
        <w:ind w:left="360"/>
      </w:pPr>
      <w:r>
        <w:rPr>
          <w:rFonts w:ascii="Consolas" w:cs="Consolas" w:eastAsia="Consolas" w:hAnsi="Consolas"/>
          <w:color w:val="1F2937"/>
          <w:sz w:val="17"/>
          <w:szCs w:val="17"/>
        </w:rPr>
        <w:t xml:space="preserve">def freshness_score(embedding_metadata):</w:t>
      </w:r>
    </w:p>
    <w:p>
      <w:pPr>
        <w:keepNext/>
        <w:pBdr>
          <w:left w:val="single" w:color="C9CED8" w:sz="6" w:space="12"/>
        </w:pBdr>
        <w:spacing w:after="0" w:line="240"/>
        <w:ind w:left="360"/>
      </w:pPr>
      <w:r>
        <w:rPr>
          <w:rFonts w:ascii="Consolas" w:cs="Consolas" w:eastAsia="Consolas" w:hAnsi="Consolas"/>
          <w:color w:val="1F2937"/>
          <w:sz w:val="17"/>
          <w:szCs w:val="17"/>
        </w:rPr>
        <w:t xml:space="preserve">    age_days = (now() - embedding_metadata.ingested_at).days</w:t>
      </w:r>
    </w:p>
    <w:p>
      <w:pPr>
        <w:keepNext/>
        <w:pBdr>
          <w:left w:val="single" w:color="C9CED8" w:sz="6" w:space="12"/>
        </w:pBdr>
        <w:spacing w:after="0" w:line="240"/>
        <w:ind w:left="360"/>
      </w:pPr>
      <w:r>
        <w:rPr>
          <w:rFonts w:ascii="Consolas" w:cs="Consolas" w:eastAsia="Consolas" w:hAnsi="Consolas"/>
          <w:color w:val="1F2937"/>
          <w:sz w:val="17"/>
          <w:szCs w:val="17"/>
        </w:rPr>
        <w:t xml:space="preserve">    ttl_days = embedding_metadata.ttl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Source status check: deleted/superseded sources get score 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embedding_metadata.source_status in ("deleted", "superseded"):</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0.0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Guard against missing or zero TTL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if not ttl_days or ttl_days &lt;= 0:</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0.0  # No TTL defined means staleness is unknown; treat as stale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 Age-based decay: linear decay from 1.0 to 0.0 over TTL</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age_score = max(0.0, 1.0 - (age_days / ttl_days))</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return age_score</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 Filter: exclude results below threshold before model sees them</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FRESHNESS_THRESHOLD = 0.3  # Adapt based on your data update frequency</w:t>
      </w:r>
    </w:p>
    <w:p>
      <w:pPr>
        <w:keepNext w:val="false"/>
        <w:pBdr>
          <w:left w:val="single" w:color="C9CED8" w:sz="6" w:space="12"/>
        </w:pBdr>
        <w:spacing w:after="0" w:line="240"/>
        <w:ind w:left="360"/>
      </w:pPr>
      <w:r>
        <w:rPr>
          <w:rFonts w:ascii="Consolas" w:cs="Consolas" w:eastAsia="Consolas" w:hAnsi="Consolas"/>
          <w:color w:val="1F2937"/>
          <w:sz w:val="17"/>
          <w:szCs w:val="17"/>
        </w:rPr>
        <w:t xml:space="preserve">filtered_results = [r for r in results if freshness_score(r.meta) &gt;= FRESHNESS_THRESHOLD]</w:t>
      </w:r>
    </w:p>
    <w:p>
      <w:pPr>
        <w:spacing w:after="160"/>
      </w:pPr>
    </w:p>
    <w:p>
      <w:pPr>
        <w:spacing w:after="140" w:line="276"/>
      </w:pPr>
      <w:r>
        <w:rPr>
          <w:rFonts w:ascii="Aptos" w:cs="Aptos" w:eastAsia="Aptos" w:hAnsi="Aptos"/>
        </w:rPr>
        <w:t xml:space="preserve">The threshold depends on your domain. Financial data and regulatory content should have aggressive TTLs (days to weeks) and high thresholds. Reference documentation and technical specs can tolerate longer TTLs (weeks to months). Set the defaults per data source category, not globally.</w:t>
      </w:r>
    </w:p>
    <w:p>
      <w:pPr>
        <w:pStyle w:val="Heading2"/>
        <w:keepNext/>
        <w:spacing w:after="120" w:before="260"/>
      </w:pPr>
      <w:r>
        <w:rPr>
          <w:rFonts w:ascii="Aptos" w:cs="Aptos" w:eastAsia="Aptos" w:hAnsi="Aptos"/>
        </w:rPr>
        <w:t xml:space="preserve">Automated Reindexing</w:t>
      </w:r>
    </w:p>
    <w:p>
      <w:pPr>
        <w:spacing w:after="140" w:line="276"/>
      </w:pPr>
      <w:r>
        <w:rPr>
          <w:rFonts w:ascii="Aptos" w:cs="Aptos" w:eastAsia="Aptos" w:hAnsi="Aptos"/>
        </w:rPr>
        <w:t xml:space="preserve">Freshness scoring is a runtime filter. Reindexing is the background process that keeps the index current. Two triggers should drive reindexing:</w:t>
      </w:r>
    </w:p>
    <w:p>
      <w:pPr>
        <w:spacing w:after="140" w:line="276"/>
      </w:pPr>
      <w:r>
        <w:rPr>
          <w:rFonts w:ascii="Aptos" w:cs="Aptos" w:eastAsia="Aptos" w:hAnsi="Aptos"/>
        </w:rPr>
        <w:t xml:space="preserve">Source change events: when a source document is updated, deleted, or superseded, the ingestion pipeline should re-embed the updated content and mark the old embeddings for removal. If your document store supports change events (webhooks, change streams, event bus), wire them directly into the reindexing pipeline. If it does not, run a periodic diff against the source inventory.</w:t>
      </w:r>
    </w:p>
    <w:p>
      <w:pPr>
        <w:spacing w:after="140" w:line="276"/>
      </w:pPr>
      <w:r>
        <w:rPr>
          <w:rFonts w:ascii="Aptos" w:cs="Aptos" w:eastAsia="Aptos" w:hAnsi="Aptos"/>
        </w:rPr>
        <w:t xml:space="preserve">TTL expiration: a background job should scan the index for embeddings past their TTL. For expired embeddings where the source is still active, re-ingest from the current source version. For expired embeddings where the source is deleted or superseded, remove the embedding entirely.</w:t>
      </w:r>
    </w:p>
    <w:p>
      <w:pPr>
        <w:spacing w:after="140" w:line="276"/>
      </w:pPr>
      <w:r>
        <w:rPr>
          <w:rFonts w:ascii="Aptos" w:cs="Aptos" w:eastAsia="Aptos" w:hAnsi="Aptos"/>
        </w:rPr>
        <w:t xml:space="preserve">Log every reindexing operation against the source_id: what changed, when, and whether the embedding was updated, replaced, or deleted. This audit trail is essential for investigating cases where an agent served stale content despite the freshness controls.</w:t>
      </w:r>
    </w:p>
    <w:p>
      <w:pPr>
        <w:pStyle w:val="Heading2"/>
        <w:keepNext/>
        <w:spacing w:after="120" w:before="260"/>
      </w:pPr>
      <w:r>
        <w:rPr>
          <w:rFonts w:ascii="Aptos" w:cs="Aptos" w:eastAsia="Aptos" w:hAnsi="Aptos"/>
        </w:rPr>
        <w:t xml:space="preserve">Source Attribution Across a Boundary</w:t>
      </w:r>
    </w:p>
    <w:p>
      <w:pPr>
        <w:spacing w:after="140" w:line="276"/>
      </w:pPr>
      <w:r>
        <w:rPr>
          <w:rFonts w:ascii="Aptos" w:cs="Aptos" w:eastAsia="Aptos" w:hAnsi="Aptos"/>
        </w:rPr>
        <w:t xml:space="preserve">When an agent uses RAG results to generate a response that crosses a system boundary, the receiving agent has no visibility into the freshness of the underlying data. The behavioral contract's data_classification field governs sensitivity, but nothing in the contract spec addresses temporal validity.</w:t>
      </w:r>
    </w:p>
    <w:p>
      <w:pPr>
        <w:spacing w:after="140" w:line="276"/>
      </w:pPr>
      <w:r>
        <w:rPr>
          <w:rFonts w:ascii="Aptos" w:cs="Aptos" w:eastAsia="Aptos" w:hAnsi="Aptos"/>
        </w:rPr>
        <w:t xml:space="preserve">Operational mitigation: include source metadata in the agent's response when the data_classification is "internal" or higher. At minimum, include the source_id and source_version for each document that materially contributed to the response. This gives the receiving agent (or a human auditor) the ability to verify that the response was based on current information. This is consistent with Baseline Controls AI-5 (hallucination and grounding controls), which requires source attribution in retrieval-augmented outputs.</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vector store has document lifecycle metadata on every embedding. Freshness scoring filters stale results at retrieval time. Reindexing runs on source change events and TTL expiration. Embeddings from deleted or superseded sources are purged within a defined service level agreement (SLA) after the source change event (not deferred to TTL expiration). Embeddings from active sources past their TTL are re-evaluated on the TTL schedule. Audit logs record every reindexing operation. Agents include source attribution metadata in responses that cross a boundary and involve retrieved content.</w:t>
      </w:r>
    </w:p>
    <w:p>
      <w:pPr>
        <w:pStyle w:val="Heading1"/>
        <w:keepNext/>
        <w:spacing w:after="160" w:before="360"/>
      </w:pPr>
      <w:r>
        <w:rPr>
          <w:rFonts w:ascii="Aptos" w:cs="Aptos" w:eastAsia="Aptos" w:hAnsi="Aptos"/>
        </w:rPr>
        <w:t xml:space="preserve">4. Prompt Template Versioning and Deprecation</w:t>
      </w:r>
    </w:p>
    <w:p>
      <w:pPr>
        <w:keepNext/>
        <w:spacing w:after="20" w:line="250"/>
        <w:ind w:left="360"/>
      </w:pPr>
      <w:r>
        <w:rPr>
          <w:rFonts w:ascii="Aptos" w:cs="Aptos" w:eastAsia="Aptos" w:hAnsi="Aptos"/>
          <w:sz w:val="18"/>
          <w:szCs w:val="18"/>
        </w:rPr>
        <w:t xml:space="preserve">AI-4: Prompt / system policy versioning   |   AISI Layer 5</w:t>
      </w:r>
    </w:p>
    <w:p>
      <w:pPr>
        <w:keepNext/>
        <w:spacing w:after="200" w:line="250"/>
        <w:ind w:left="360"/>
      </w:pPr>
      <w:r>
        <w:rPr>
          <w:rFonts w:ascii="Aptos" w:cs="Aptos" w:eastAsia="Aptos" w:hAnsi="Aptos"/>
          <w:sz w:val="18"/>
          <w:szCs w:val="18"/>
        </w:rPr>
        <w:t xml:space="preserve">IT-10: Change management   |   AISI Layers 2, 3, 5</w:t>
      </w:r>
    </w:p>
    <w:p>
      <w:pPr>
        <w:pStyle w:val="Heading2"/>
        <w:keepNext/>
        <w:spacing w:after="120" w:before="260"/>
      </w:pPr>
      <w:r>
        <w:rPr>
          <w:rFonts w:ascii="Aptos" w:cs="Aptos" w:eastAsia="Aptos" w:hAnsi="Aptos"/>
        </w:rPr>
        <w:t xml:space="preserve">The Problem</w:t>
      </w:r>
    </w:p>
    <w:p>
      <w:pPr>
        <w:spacing w:after="140" w:line="276"/>
      </w:pPr>
      <w:r>
        <w:rPr>
          <w:rFonts w:ascii="Aptos" w:cs="Aptos" w:eastAsia="Aptos" w:hAnsi="Aptos"/>
        </w:rPr>
        <w:t xml:space="preserve">System prompts, instruction templates, and policy documents deployed alongside agents are as critical as the model weights themselves. A change to the system prompt can alter an agent's behavior as significantly as swapping the model. But unlike model versions (which have registries, provenance attestations, and deployment gates), prompt changes often happen informally: a team member edits a ConfigMap, merges a PR that updates a prompt file, or changes an environment variable.</w:t>
      </w:r>
    </w:p>
    <w:p>
      <w:pPr>
        <w:spacing w:after="140" w:line="276"/>
      </w:pPr>
      <w:r>
        <w:rPr>
          <w:rFonts w:ascii="Aptos" w:cs="Aptos" w:eastAsia="Aptos" w:hAnsi="Aptos"/>
        </w:rPr>
        <w:t xml:space="preserve">Baseline Controls AI-4 requires system prompts to be "version-controlled and deployed as release artifacts alongside the agent." In a mesh, prompt versioning has an additional constraint: the behavioral contract an agent advertised in its Agent Card may no longer be valid if the prompt changes how the agent behaves. A prompt change that alters output format, tool usage patterns, or scope boundaries can break downstream agents even if the API contract has not changed.</w:t>
      </w:r>
    </w:p>
    <w:p>
      <w:pPr>
        <w:pStyle w:val="Heading2"/>
        <w:keepNext/>
        <w:spacing w:after="120" w:before="260"/>
      </w:pPr>
      <w:r>
        <w:rPr>
          <w:rFonts w:ascii="Aptos" w:cs="Aptos" w:eastAsia="Aptos" w:hAnsi="Aptos"/>
        </w:rPr>
        <w:t xml:space="preserve">Version Control Strategy</w:t>
      </w:r>
    </w:p>
    <w:p>
      <w:pPr>
        <w:spacing w:after="140" w:line="276"/>
      </w:pPr>
      <w:r>
        <w:rPr>
          <w:rFonts w:ascii="Aptos" w:cs="Aptos" w:eastAsia="Aptos" w:hAnsi="Aptos"/>
        </w:rPr>
        <w:t xml:space="preserve">Treat prompt templates as code artifacts. They live in version control, they have semantic versions, and they deploy through the same pipeline as agent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3"/>
        <w:gridCol w:w="3032"/>
        <w:gridCol w:w="3955"/>
      </w:tblGrid>
      <w:tr>
        <w:trPr>
          <w:tblHeader/>
        </w:trPr>
        <w:tc>
          <w:tcPr>
            <w:tcW w:type="dxa" w:w="2373"/>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Component</w:t>
            </w:r>
          </w:p>
        </w:tc>
        <w:tc>
          <w:tcPr>
            <w:tcW w:type="dxa" w:w="3032"/>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Version Storage</w:t>
            </w:r>
          </w:p>
        </w:tc>
        <w:tc>
          <w:tcPr>
            <w:tcW w:type="dxa" w:w="3955"/>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Deployment Mechanism</w:t>
            </w:r>
          </w:p>
        </w:tc>
      </w:tr>
      <w:tr>
        <w:trPr>
          <w:cantSplit/>
        </w:trPr>
        <w:tc>
          <w:tcPr>
            <w:tcW w:type="dxa" w:w="237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System prompts</w:t>
            </w:r>
          </w:p>
        </w:tc>
        <w:tc>
          <w:tcPr>
            <w:tcW w:type="dxa" w:w="303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Git repository, same repo as agent code</w:t>
            </w:r>
          </w:p>
        </w:tc>
        <w:tc>
          <w:tcPr>
            <w:tcW w:type="dxa" w:w="3955"/>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Deployed as versioned ConfigMaps or Secrets (for sensitive instructions), or packaged in a versioned, immutable image. Never an unversioned environment variable or an edit in place.</w:t>
            </w:r>
          </w:p>
        </w:tc>
      </w:tr>
      <w:tr>
        <w:trPr>
          <w:cantSplit/>
        </w:trPr>
        <w:tc>
          <w:tcPr>
            <w:tcW w:type="dxa" w:w="237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Instruction templates (per-task)</w:t>
            </w:r>
          </w:p>
        </w:tc>
        <w:tc>
          <w:tcPr>
            <w:tcW w:type="dxa" w:w="303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Git repository with parameterized templates</w:t>
            </w:r>
          </w:p>
        </w:tc>
        <w:tc>
          <w:tcPr>
            <w:tcW w:type="dxa" w:w="3955"/>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Rendered at build time and bundled with the agent artifact.</w:t>
            </w:r>
          </w:p>
        </w:tc>
      </w:tr>
      <w:tr>
        <w:trPr>
          <w:cantSplit/>
        </w:trPr>
        <w:tc>
          <w:tcPr>
            <w:tcW w:type="dxa" w:w="237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Policy documents (guardrails, rules)</w:t>
            </w:r>
          </w:p>
        </w:tc>
        <w:tc>
          <w:tcPr>
            <w:tcW w:type="dxa" w:w="303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Git repository or policy management system</w:t>
            </w:r>
          </w:p>
        </w:tc>
        <w:tc>
          <w:tcPr>
            <w:tcW w:type="dxa" w:w="3955"/>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Deployed via OPA ConfigMaps or dedicated policy server. Version-tagged.</w:t>
            </w:r>
          </w:p>
        </w:tc>
      </w:tr>
      <w:tr>
        <w:trPr>
          <w:cantSplit/>
        </w:trPr>
        <w:tc>
          <w:tcPr>
            <w:tcW w:type="dxa" w:w="237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Few-shot examples</w:t>
            </w:r>
          </w:p>
        </w:tc>
        <w:tc>
          <w:tcPr>
            <w:tcW w:type="dxa" w:w="303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Git repository alongside the prompt they serve</w:t>
            </w:r>
          </w:p>
        </w:tc>
        <w:tc>
          <w:tcPr>
            <w:tcW w:type="dxa" w:w="3955"/>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Bundled with the prompt template. Version-locked to the template.</w:t>
            </w:r>
          </w:p>
        </w:tc>
      </w:tr>
    </w:tbl>
    <w:p>
      <w:pPr>
        <w:spacing w:after="160"/>
      </w:pPr>
    </w:p>
    <w:p>
      <w:pPr>
        <w:spacing w:after="140" w:line="276"/>
      </w:pPr>
      <w:r>
        <w:rPr>
          <w:rFonts w:ascii="Aptos" w:cs="Aptos" w:eastAsia="Aptos" w:hAnsi="Aptos"/>
        </w:rPr>
        <w:t xml:space="preserve">Every prompt deployment should produce an immutable artifact with a version tag. The agent's Agent-BOM (Baseline Controls AI-3) should reference the prompt version alongside the model version. This means an auditor can reconstruct exactly what instructions the agent was operating under at any point in time.</w:t>
      </w:r>
    </w:p>
    <w:p>
      <w:pPr>
        <w:pStyle w:val="Heading2"/>
        <w:keepNext/>
        <w:spacing w:after="120" w:before="260"/>
      </w:pPr>
      <w:r>
        <w:rPr>
          <w:rFonts w:ascii="Aptos" w:cs="Aptos" w:eastAsia="Aptos" w:hAnsi="Aptos"/>
        </w:rPr>
        <w:t xml:space="preserve">Deprecation Lifecycle</w:t>
      </w:r>
    </w:p>
    <w:p>
      <w:pPr>
        <w:spacing w:after="140" w:line="276"/>
      </w:pPr>
      <w:r>
        <w:rPr>
          <w:rFonts w:ascii="Aptos" w:cs="Aptos" w:eastAsia="Aptos" w:hAnsi="Aptos"/>
        </w:rPr>
        <w:t xml:space="preserve">When a prompt template is retired or replaced, follow a deprecation lifecycle that gives dependent systems time to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246"/>
        <w:gridCol w:w="5616"/>
      </w:tblGrid>
      <w:tr>
        <w:trPr>
          <w:tblHeader/>
        </w:trPr>
        <w:tc>
          <w:tcPr>
            <w:tcW w:type="dxa" w:w="1498"/>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Phase</w:t>
            </w:r>
          </w:p>
        </w:tc>
        <w:tc>
          <w:tcPr>
            <w:tcW w:type="dxa" w:w="2246"/>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Duration</w:t>
            </w:r>
          </w:p>
        </w:tc>
        <w:tc>
          <w:tcPr>
            <w:tcW w:type="dxa" w:w="5616"/>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Action</w:t>
            </w:r>
          </w:p>
        </w:tc>
      </w:tr>
      <w:tr>
        <w:trPr>
          <w:cantSplit/>
        </w:trPr>
        <w:tc>
          <w:tcPr>
            <w:tcW w:type="dxa" w:w="149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Active</w:t>
            </w:r>
          </w:p>
        </w:tc>
        <w:tc>
          <w:tcPr>
            <w:tcW w:type="dxa" w:w="224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Default state</w:t>
            </w:r>
          </w:p>
        </w:tc>
        <w:tc>
          <w:tcPr>
            <w:tcW w:type="dxa" w:w="561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is current and in production. All agents using this template are operating normally.</w:t>
            </w:r>
          </w:p>
        </w:tc>
      </w:tr>
      <w:tr>
        <w:trPr>
          <w:cantSplit/>
        </w:trPr>
        <w:tc>
          <w:tcPr>
            <w:tcW w:type="dxa" w:w="149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Deprecated</w:t>
            </w:r>
          </w:p>
        </w:tc>
        <w:tc>
          <w:tcPr>
            <w:tcW w:type="dxa" w:w="224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Minimum 2 release cycles</w:t>
            </w:r>
          </w:p>
        </w:tc>
        <w:tc>
          <w:tcPr>
            <w:tcW w:type="dxa" w:w="561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is still functional but marked for removal. Agents using it log a warning on every invocation. Downstream teams are notified. No new deployments should use this version.</w:t>
            </w:r>
          </w:p>
        </w:tc>
      </w:tr>
      <w:tr>
        <w:trPr>
          <w:cantSplit/>
        </w:trPr>
        <w:tc>
          <w:tcPr>
            <w:tcW w:type="dxa" w:w="149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Sunset</w:t>
            </w:r>
          </w:p>
        </w:tc>
        <w:tc>
          <w:tcPr>
            <w:tcW w:type="dxa" w:w="224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1 release cycle</w:t>
            </w:r>
          </w:p>
        </w:tc>
        <w:tc>
          <w:tcPr>
            <w:tcW w:type="dxa" w:w="561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is non-functional: agents using it fall back to a safe default behavior, such as refusing the request with a structured error rather than silently degrading. Log an error on every invocation.</w:t>
            </w:r>
          </w:p>
        </w:tc>
      </w:tr>
      <w:tr>
        <w:trPr>
          <w:cantSplit/>
        </w:trPr>
        <w:tc>
          <w:tcPr>
            <w:tcW w:type="dxa" w:w="149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Removed</w:t>
            </w:r>
          </w:p>
        </w:tc>
        <w:tc>
          <w:tcPr>
            <w:tcW w:type="dxa" w:w="224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Final</w:t>
            </w:r>
          </w:p>
        </w:tc>
        <w:tc>
          <w:tcPr>
            <w:tcW w:type="dxa" w:w="561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artifact is removed from the deployment pipeline. Any agent still referencing it fails to deploy.</w:t>
            </w:r>
          </w:p>
        </w:tc>
      </w:tr>
    </w:tbl>
    <w:p>
      <w:pPr>
        <w:spacing w:after="160"/>
      </w:pPr>
    </w:p>
    <w:p>
      <w:pPr>
        <w:spacing w:after="140" w:line="276"/>
      </w:pPr>
      <w:r>
        <w:rPr>
          <w:rFonts w:ascii="Aptos" w:cs="Aptos" w:eastAsia="Aptos" w:hAnsi="Aptos"/>
        </w:rPr>
        <w:t xml:space="preserve">Prompt deprecation should never cause a silent behavioral change. An agent running a deprecated prompt should behave identically to one running the active version, with the sole difference being the warning log. Only at the sunset phase does behavior change, and it changes to a fail-safe, not a degraded mode.</w:t>
      </w:r>
    </w:p>
    <w:p>
      <w:pPr>
        <w:pStyle w:val="Heading2"/>
        <w:keepNext/>
        <w:spacing w:after="120" w:before="260"/>
      </w:pPr>
      <w:r>
        <w:rPr>
          <w:rFonts w:ascii="Aptos" w:cs="Aptos" w:eastAsia="Aptos" w:hAnsi="Aptos"/>
        </w:rPr>
        <w:t xml:space="preserve">Contract Compatibility</w:t>
      </w:r>
    </w:p>
    <w:p>
      <w:pPr>
        <w:spacing w:after="140" w:line="276"/>
      </w:pPr>
      <w:r>
        <w:rPr>
          <w:rFonts w:ascii="Aptos" w:cs="Aptos" w:eastAsia="Aptos" w:hAnsi="Aptos"/>
        </w:rPr>
        <w:t xml:space="preserve">When a prompt change alters the agent's observable behavior (output format, tool usage, scope, response style), it is a contract-breaking change. The agent release version gets a major bump and the card and manifest are re-signed. Downstream agents consuming this agent's capabilities should be notified through the standard change control process (see Section 6).</w:t>
      </w:r>
    </w:p>
    <w:p>
      <w:pPr>
        <w:spacing w:after="140" w:line="276"/>
      </w:pPr>
      <w:r>
        <w:rPr>
          <w:rFonts w:ascii="Aptos" w:cs="Aptos" w:eastAsia="Aptos" w:hAnsi="Aptos"/>
        </w:rPr>
        <w:t xml:space="preserve">When a prompt change does not alter observable behavior (internal reasoning instructions, performance optimization, clarification of existing behavior), it is a non-breaking change. The agent release version gets a patch bump at most, and the prompt version in the Agent-BOM is updated either way.</w:t>
      </w:r>
    </w:p>
    <w:p>
      <w:pPr>
        <w:spacing w:after="140" w:line="276"/>
      </w:pPr>
      <w:r>
        <w:rPr>
          <w:rFonts w:ascii="Aptos" w:cs="Aptos" w:eastAsia="Aptos" w:hAnsi="Aptos"/>
        </w:rPr>
        <w:t xml:space="preserve">If you are unsure whether a prompt change is breaking, run the agent's evaluation suite before and after the change. If any eval metric shifts beyond the warning threshold defined in Section 1 (Behavioral Drift Detection), treat it as a breaking change.</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All prompt templates are in version control. Deployments are immutable artifacts with version tags. The Agent-BOM includes the prompt version. Deprecated prompts log warnings. Sunset prompts fail safe. Prompt changes go through the same change approval process as code changes. Breaking prompt changes trigger a major version bump, re-signing and downstream notification.</w:t>
      </w:r>
    </w:p>
    <w:p>
      <w:pPr>
        <w:pStyle w:val="Heading1"/>
        <w:keepNext/>
        <w:spacing w:after="160" w:before="360"/>
      </w:pPr>
      <w:r>
        <w:rPr>
          <w:rFonts w:ascii="Aptos" w:cs="Aptos" w:eastAsia="Aptos" w:hAnsi="Aptos"/>
        </w:rPr>
        <w:t xml:space="preserve">5. Agent Memory and Context Hygiene</w:t>
      </w:r>
    </w:p>
    <w:p>
      <w:pPr>
        <w:keepNext/>
        <w:spacing w:after="20" w:line="250"/>
        <w:ind w:left="360"/>
      </w:pPr>
      <w:r>
        <w:rPr>
          <w:rFonts w:ascii="Aptos" w:cs="Aptos" w:eastAsia="Aptos" w:hAnsi="Aptos"/>
          <w:sz w:val="18"/>
          <w:szCs w:val="18"/>
        </w:rPr>
        <w:t xml:space="preserve">AI-6: RAG data access governance   |   AISI Layers 4, 6</w:t>
      </w:r>
    </w:p>
    <w:p>
      <w:pPr>
        <w:keepNext/>
        <w:spacing w:after="200" w:line="250"/>
        <w:ind w:left="360"/>
      </w:pPr>
      <w:r>
        <w:rPr>
          <w:rFonts w:ascii="Aptos" w:cs="Aptos" w:eastAsia="Aptos" w:hAnsi="Aptos"/>
          <w:sz w:val="18"/>
          <w:szCs w:val="18"/>
        </w:rPr>
        <w:t xml:space="preserve">IT-4: Resource quotas + autoscaling limits   |   AISI Layer 2</w:t>
      </w:r>
    </w:p>
    <w:p>
      <w:pPr>
        <w:pStyle w:val="Heading2"/>
        <w:keepNext/>
        <w:spacing w:after="120" w:before="260"/>
      </w:pPr>
      <w:r>
        <w:rPr>
          <w:rFonts w:ascii="Aptos" w:cs="Aptos" w:eastAsia="Aptos" w:hAnsi="Aptos"/>
        </w:rPr>
        <w:t xml:space="preserve">The Problem</w:t>
      </w:r>
    </w:p>
    <w:p>
      <w:pPr>
        <w:spacing w:after="140" w:line="276"/>
      </w:pPr>
      <w:r>
        <w:rPr>
          <w:rFonts w:ascii="Aptos" w:cs="Aptos" w:eastAsia="Aptos" w:hAnsi="Aptos"/>
        </w:rPr>
        <w:t xml:space="preserve">Agents accumulate state: conversation history, extracted facts, cached tool results, embeddings derived from interactions, and persistent memory that carries across sessions. Nothing about a single agent limits that state to one user: an agent that serves many users or tenants needs memory isolated per user and per tenant whatever the agent count, and that isolation is the first control here. In a mesh the problem compounds, because context can flow between agents: Agent A's request to Agent B may contain information from Agent A's previous interactions with Agents C, D, and E. If Agent B persists that context, it now holds data that originated from multiple trust domains, subject to multiple retention policies, and potentially containing personally identifiable information (PII) from multiple sources.</w:t>
      </w:r>
    </w:p>
    <w:p>
      <w:pPr>
        <w:spacing w:after="140" w:line="276"/>
      </w:pPr>
      <w:r>
        <w:rPr>
          <w:rFonts w:ascii="Aptos" w:cs="Aptos" w:eastAsia="Aptos" w:hAnsi="Aptos"/>
        </w:rPr>
        <w:t xml:space="preserve">The A2A Protocol Specification defines the enforcement requirements for the retention_policy term, which is a required contract term. This section covers the operating mechanics of enforcing it across the agent's storage layers, and the one trap that catches teams over and over: a source permission changes and the summaries, caches and memory built from that source stay put, with nobody owning the derived copies. Map those stores and their owners first; everything below depends on that map.</w:t>
      </w:r>
    </w:p>
    <w:p>
      <w:pPr>
        <w:pStyle w:val="Heading2"/>
        <w:keepNext/>
        <w:spacing w:after="120" w:before="260"/>
      </w:pPr>
      <w:r>
        <w:rPr>
          <w:rFonts w:ascii="Aptos" w:cs="Aptos" w:eastAsia="Aptos" w:hAnsi="Aptos"/>
        </w:rPr>
        <w:t xml:space="preserve">Memory Taxonomy</w:t>
      </w:r>
    </w:p>
    <w:p>
      <w:pPr>
        <w:spacing w:after="140" w:line="276"/>
      </w:pPr>
      <w:r>
        <w:rPr>
          <w:rFonts w:ascii="Aptos" w:cs="Aptos" w:eastAsia="Aptos" w:hAnsi="Aptos"/>
        </w:rPr>
        <w:t xml:space="preserve">Before you can enforce retention and hygiene, you need to know where your agents store state. Map each agent's storage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891"/>
        <w:gridCol w:w="2786"/>
        <w:gridCol w:w="3343"/>
      </w:tblGrid>
      <w:tr>
        <w:trPr>
          <w:tblHeader/>
        </w:trPr>
        <w:tc>
          <w:tcPr>
            <w:tcW w:type="dxa" w:w="23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Storage Type</w:t>
            </w:r>
          </w:p>
        </w:tc>
        <w:tc>
          <w:tcPr>
            <w:tcW w:type="dxa" w:w="891"/>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AISI Layer</w:t>
            </w:r>
          </w:p>
        </w:tc>
        <w:tc>
          <w:tcPr>
            <w:tcW w:type="dxa" w:w="2786"/>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Persistence</w:t>
            </w:r>
          </w:p>
        </w:tc>
        <w:tc>
          <w:tcPr>
            <w:tcW w:type="dxa" w:w="3343"/>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Retention Challenge</w:t>
            </w:r>
          </w:p>
        </w:tc>
      </w:tr>
      <w:tr>
        <w:trPr>
          <w:cantSplit/>
        </w:trPr>
        <w:tc>
          <w:tcPr>
            <w:tcW w:type="dxa" w:w="23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Context window (in-flight)</w:t>
            </w:r>
          </w:p>
        </w:tc>
        <w:tc>
          <w:tcPr>
            <w:tcW w:type="dxa" w:w="89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5</w:t>
            </w:r>
          </w:p>
        </w:tc>
        <w:tc>
          <w:tcPr>
            <w:tcW w:type="dxa" w:w="278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Request-scoped, discarded on completion</w:t>
            </w:r>
          </w:p>
        </w:tc>
        <w:tc>
          <w:tcPr>
            <w:tcW w:type="dxa" w:w="334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Low risk. Keep context out of verbatim persistent logs.</w:t>
            </w:r>
          </w:p>
        </w:tc>
      </w:tr>
      <w:tr>
        <w:trPr>
          <w:cantSplit/>
        </w:trPr>
        <w:tc>
          <w:tcPr>
            <w:tcW w:type="dxa" w:w="23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Conversation history</w:t>
            </w:r>
          </w:p>
        </w:tc>
        <w:tc>
          <w:tcPr>
            <w:tcW w:type="dxa" w:w="89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Layer 5</w:t>
            </w:r>
          </w:p>
        </w:tc>
        <w:tc>
          <w:tcPr>
            <w:tcW w:type="dxa" w:w="278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Session-scoped or persistent</w:t>
            </w:r>
          </w:p>
        </w:tc>
        <w:tc>
          <w:tcPr>
            <w:tcW w:type="dxa" w:w="334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Must honor retention_policy per behavioral contract. If conversations span multiple agent callers, the most restrictive retention_policy applies.</w:t>
            </w:r>
          </w:p>
        </w:tc>
      </w:tr>
      <w:tr>
        <w:trPr>
          <w:cantSplit/>
        </w:trPr>
        <w:tc>
          <w:tcPr>
            <w:tcW w:type="dxa" w:w="23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Persistent memory (facts, preferences)</w:t>
            </w:r>
          </w:p>
        </w:tc>
        <w:tc>
          <w:tcPr>
            <w:tcW w:type="dxa" w:w="89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4</w:t>
            </w:r>
          </w:p>
        </w:tc>
        <w:tc>
          <w:tcPr>
            <w:tcW w:type="dxa" w:w="278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Long-lived</w:t>
            </w:r>
          </w:p>
        </w:tc>
        <w:tc>
          <w:tcPr>
            <w:tcW w:type="dxa" w:w="334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hardest to manage. Facts extracted from interactions are divorced from their source contract, so provenance has to be tracked to enforce retention. Memory is also where context poisoning persists (AT-8): anything written to memory from retrieved content or a tool result carries that source's trust level, and memory is scoped per user and session.</w:t>
            </w:r>
          </w:p>
        </w:tc>
      </w:tr>
      <w:tr>
        <w:trPr>
          <w:cantSplit/>
        </w:trPr>
        <w:tc>
          <w:tcPr>
            <w:tcW w:type="dxa" w:w="23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Cached tool results</w:t>
            </w:r>
          </w:p>
        </w:tc>
        <w:tc>
          <w:tcPr>
            <w:tcW w:type="dxa" w:w="89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Layers 5, 4</w:t>
            </w:r>
          </w:p>
        </w:tc>
        <w:tc>
          <w:tcPr>
            <w:tcW w:type="dxa" w:w="278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TTL-based</w:t>
            </w:r>
          </w:p>
        </w:tc>
        <w:tc>
          <w:tcPr>
            <w:tcW w:type="dxa" w:w="334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Set TTLs that do not exceed the retention_policy of the originating contract.</w:t>
            </w:r>
          </w:p>
        </w:tc>
      </w:tr>
      <w:tr>
        <w:trPr>
          <w:cantSplit/>
        </w:trPr>
        <w:tc>
          <w:tcPr>
            <w:tcW w:type="dxa" w:w="23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RAG index (if populated from interactions)</w:t>
            </w:r>
          </w:p>
        </w:tc>
        <w:tc>
          <w:tcPr>
            <w:tcW w:type="dxa" w:w="89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Layer 4</w:t>
            </w:r>
          </w:p>
        </w:tc>
        <w:tc>
          <w:tcPr>
            <w:tcW w:type="dxa" w:w="2786"/>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Long-lived</w:t>
            </w:r>
          </w:p>
        </w:tc>
        <w:tc>
          <w:tcPr>
            <w:tcW w:type="dxa" w:w="3343"/>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Covered in Section 3. Embeddings derived from agent-to-agent interactions must be tracked to their source contract.</w:t>
            </w:r>
          </w:p>
        </w:tc>
      </w:tr>
      <w:tr>
        <w:trPr>
          <w:cantSplit/>
        </w:trPr>
        <w:tc>
          <w:tcPr>
            <w:tcW w:type="dxa" w:w="23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Audit trail</w:t>
            </w:r>
          </w:p>
        </w:tc>
        <w:tc>
          <w:tcPr>
            <w:tcW w:type="dxa" w:w="89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Cross-cutting</w:t>
            </w:r>
          </w:p>
        </w:tc>
        <w:tc>
          <w:tcPr>
            <w:tcW w:type="dxa" w:w="2786"/>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Long-lived, subject to compliance retention floors</w:t>
            </w:r>
          </w:p>
        </w:tc>
        <w:tc>
          <w:tcPr>
            <w:tcW w:type="dxa" w:w="3343"/>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Outside the contract's retention_policy but not unregulated: trace metadata carries user identities, targets and decisions, so it gets a retention and access policy of its own as well as the regulatory minimums. Under the EU AI Act, Article 12 requires high-risk systems to be capable of automatic logging, Article 19 requires providers of high-risk systems to keep the automatically generated logs under their control for at least six months, and Article 26(6) requires the same of deployers for the logs under their control, in each case unless Union or national law, including data protection law, provides otherwise. Which article applies depends on whether you are the provider or the deployer. Consult your legal and GRC team.</w:t>
            </w:r>
          </w:p>
        </w:tc>
      </w:tr>
    </w:tbl>
    <w:p>
      <w:pPr>
        <w:spacing w:after="160"/>
      </w:pPr>
    </w:p>
    <w:p>
      <w:pPr>
        <w:pStyle w:val="Heading2"/>
        <w:keepNext/>
        <w:spacing w:after="120" w:before="260"/>
      </w:pPr>
      <w:r>
        <w:rPr>
          <w:rFonts w:ascii="Aptos" w:cs="Aptos" w:eastAsia="Aptos" w:hAnsi="Aptos"/>
        </w:rPr>
        <w:t xml:space="preserve">Retention Enforcement</w:t>
      </w:r>
    </w:p>
    <w:p>
      <w:pPr>
        <w:pStyle w:val="Heading3"/>
        <w:keepNext/>
        <w:spacing w:after="80" w:before="200"/>
      </w:pPr>
      <w:r>
        <w:rPr>
          <w:rFonts w:ascii="Aptos" w:cs="Aptos" w:eastAsia="Aptos" w:hAnsi="Aptos"/>
        </w:rPr>
        <w:t xml:space="preserve">Contract-Aware Purge</w:t>
      </w:r>
    </w:p>
    <w:p>
      <w:pPr>
        <w:spacing w:after="140" w:line="276"/>
      </w:pPr>
      <w:r>
        <w:rPr>
          <w:rFonts w:ascii="Aptos" w:cs="Aptos" w:eastAsia="Aptos" w:hAnsi="Aptos"/>
        </w:rPr>
        <w:t xml:space="preserve">When the retention window for a behavioral contract expires, the receiving agent must purge data associated with that contract's trace ID from all applicable storage layers. The purge process must:</w:t>
      </w:r>
    </w:p>
    <w:p>
      <w:pPr>
        <w:spacing w:after="140" w:line="276"/>
      </w:pPr>
      <w:r>
        <w:rPr>
          <w:rFonts w:ascii="Aptos" w:cs="Aptos" w:eastAsia="Aptos" w:hAnsi="Aptos"/>
        </w:rPr>
        <w:t xml:space="preserve">1. Identify affected data: query each storage layer for records tagged with the contract's trace ID, contract ID, or explicit provenance linkage. Do not purge by originating SPIFFE ID alone, as a single caller may have multiple contracts with different retention windows, and purging by caller identity would wipe unrelated interactions.</w:t>
      </w:r>
    </w:p>
    <w:p>
      <w:pPr>
        <w:spacing w:after="140" w:line="276"/>
      </w:pPr>
      <w:r>
        <w:rPr>
          <w:rFonts w:ascii="Aptos" w:cs="Aptos" w:eastAsia="Aptos" w:hAnsi="Aptos"/>
        </w:rPr>
        <w:t xml:space="preserve">2. Purge content, preserve metadata: delete the content (request/response payloads, conversation history, extracted facts). Retain the trace skeleton: trace ID, timestamps, agent IDs, contract compliance result, oversight decisions. This preserves the audit trail without retaining the data; the skeleton still identifies people and targets, so it is kept under the audit trail's own access and retention policy rather than treated as harmless.</w:t>
      </w:r>
    </w:p>
    <w:p>
      <w:pPr>
        <w:spacing w:after="140" w:line="276"/>
      </w:pPr>
      <w:r>
        <w:rPr>
          <w:rFonts w:ascii="Aptos" w:cs="Aptos" w:eastAsia="Aptos" w:hAnsi="Aptos"/>
        </w:rPr>
        <w:t xml:space="preserve">3. Handle derived artifacts: if the agent generated embeddings, cached results, or memory entries from the interaction, those must also be purged or anonymized. Deleting the source but leaving derived artifacts is not compliant (see A2A Protocol Spec, Retention Policy Enforcement).</w:t>
      </w:r>
    </w:p>
    <w:p>
      <w:pPr>
        <w:spacing w:after="140" w:line="276"/>
      </w:pPr>
      <w:r>
        <w:rPr>
          <w:rFonts w:ascii="Aptos" w:cs="Aptos" w:eastAsia="Aptos" w:hAnsi="Aptos"/>
        </w:rPr>
        <w:t xml:space="preserve">4. Log the purge: record that the purge occurred, what trace IDs were affected, which storage layers were cleaned, and whether any data was retained under a regulatory retention floor (see the audit logs row in the Memory Taxonomy table for applicable EU AI Act articles).</w:t>
      </w:r>
    </w:p>
    <w:p>
      <w:pPr>
        <w:pStyle w:val="Heading3"/>
        <w:keepNext/>
        <w:spacing w:after="80" w:before="200"/>
      </w:pPr>
      <w:r>
        <w:rPr>
          <w:rFonts w:ascii="Aptos" w:cs="Aptos" w:eastAsia="Aptos" w:hAnsi="Aptos"/>
        </w:rPr>
        <w:t xml:space="preserve">Conflicting Retention Policies</w:t>
      </w:r>
    </w:p>
    <w:p>
      <w:pPr>
        <w:spacing w:after="140" w:line="276"/>
      </w:pPr>
      <w:r>
        <w:rPr>
          <w:rFonts w:ascii="Aptos" w:cs="Aptos" w:eastAsia="Aptos" w:hAnsi="Aptos"/>
        </w:rPr>
        <w:t xml:space="preserve">An agent serving multiple callers may receive data subject to different retention policies, and one caller may hold several contracts with different windows, so partitioning by caller does not resolve it. When data from multiple contracts is stored together in the same conversation history or memory store, the most restrictive retention_policy applies to the shared context. The durable fix is to partition by contract and provenance: tag every stored item with the contract and trace it came from, keep items from different contracts apart, and purge by contract. That costs more to manage than one shared store and it is the only arrangement under which the purge in step 1 can be exact.</w:t>
      </w:r>
    </w:p>
    <w:p>
      <w:pPr>
        <w:pStyle w:val="Heading3"/>
        <w:keepNext/>
        <w:spacing w:after="80" w:before="200"/>
      </w:pPr>
      <w:r>
        <w:rPr>
          <w:rFonts w:ascii="Aptos" w:cs="Aptos" w:eastAsia="Aptos" w:hAnsi="Aptos"/>
        </w:rPr>
        <w:t xml:space="preserve">Context TTL Enforcement</w:t>
      </w:r>
    </w:p>
    <w:p>
      <w:pPr>
        <w:spacing w:after="140" w:line="276"/>
      </w:pPr>
      <w:r>
        <w:rPr>
          <w:rFonts w:ascii="Aptos" w:cs="Aptos" w:eastAsia="Aptos" w:hAnsi="Aptos"/>
        </w:rPr>
        <w:t xml:space="preserve">The A2A Protocol Specification defines an optional context_ttl contract term with three values that name three scopes: "immediate" is request-scoped, "session" is session-scoped, and "retain" is persistent (subject to the standard retention_policy). When a behavioral contract includes context_ttl, the receiving agent must enforce it at the storage layer.</w:t>
      </w:r>
    </w:p>
    <w:p>
      <w:pPr>
        <w:spacing w:after="140" w:line="276"/>
      </w:pPr>
      <w:r>
        <w:rPr>
          <w:rFonts w:ascii="Aptos" w:cs="Aptos" w:eastAsia="Aptos" w:hAnsi="Aptos"/>
        </w:rPr>
        <w:t xml:space="preserve">For "immediate" (request-scoped): nothing from a request survives its completion. When the final response for that request is sent, purge the in-flight context window, any scratch state derived from it and any conversation history entry created for it, in memory and in storage; the next turn starts from nothing the previous turn produced. This must happen as part of request completion, not as a deferred background job, and if the agent persists conversation history by default, the completion hook overrides that default for contracts with context_ttl set to "immediate."</w:t>
      </w:r>
    </w:p>
    <w:p>
      <w:pPr>
        <w:spacing w:after="140" w:line="276"/>
      </w:pPr>
      <w:r>
        <w:rPr>
          <w:rFonts w:ascii="Aptos" w:cs="Aptos" w:eastAsia="Aptos" w:hAnsi="Aptos"/>
        </w:rPr>
        <w:t xml:space="preserve">For "session" (session-scoped): context may persist across turns within one session, which is what multi-turn interactions need, and is purged when the session ends (connection close, final response, or session token expiry), as part of session teardown. The difference from "immediate" is the scope of what may be remembered: a turn under "session" can see earlier turns of the same session, a turn under "immediate" cannot.</w:t>
      </w:r>
    </w:p>
    <w:p>
      <w:pPr>
        <w:spacing w:after="140" w:line="276"/>
      </w:pPr>
      <w:r>
        <w:rPr>
          <w:rFonts w:ascii="Aptos" w:cs="Aptos" w:eastAsia="Aptos" w:hAnsi="Aptos"/>
        </w:rPr>
        <w:t xml:space="preserve">For "retain": context is subject to the standard retention_policy term and follows the contract-aware purge process described above. This is the default if context_ttl is not specified.</w:t>
      </w:r>
    </w:p>
    <w:p>
      <w:pPr>
        <w:pStyle w:val="Heading2"/>
        <w:keepNext/>
        <w:spacing w:after="120" w:before="260"/>
      </w:pPr>
      <w:r>
        <w:rPr>
          <w:rFonts w:ascii="Aptos" w:cs="Aptos" w:eastAsia="Aptos" w:hAnsi="Aptos"/>
        </w:rPr>
        <w:t xml:space="preserve">PII Scrubbing</w:t>
      </w:r>
    </w:p>
    <w:p>
      <w:pPr>
        <w:spacing w:after="140" w:line="276"/>
      </w:pPr>
      <w:r>
        <w:rPr>
          <w:rFonts w:ascii="Aptos" w:cs="Aptos" w:eastAsia="Aptos" w:hAnsi="Aptos"/>
        </w:rPr>
        <w:t xml:space="preserve">PII can enter agent memory through requests, RAG retrieval or tool call results. The data_classification contract term controls what classification of data may cross the boundary, but PII can appear in data at any classification level.</w:t>
      </w:r>
    </w:p>
    <w:p>
      <w:pPr>
        <w:spacing w:after="140" w:line="276"/>
      </w:pPr>
      <w:r>
        <w:rPr>
          <w:rFonts w:ascii="Aptos" w:cs="Aptos" w:eastAsia="Aptos" w:hAnsi="Aptos"/>
        </w:rPr>
        <w:t xml:space="preserve">At ingest (preventive): run PII detection (Presidio, AWS Comprehend or equivalent) on incoming request payloads and on tool results before they enter the agent's reasoning pipeline. Redact or mask detected PII based on the contract's data_classification. This is the layer 7 enforcement described in the A2A Protocol Spec's Data Classification Enforcement section.</w:t>
      </w:r>
    </w:p>
    <w:p>
      <w:pPr>
        <w:spacing w:after="140" w:line="276"/>
      </w:pPr>
      <w:r>
        <w:rPr>
          <w:rFonts w:ascii="Aptos" w:cs="Aptos" w:eastAsia="Aptos" w:hAnsi="Aptos"/>
        </w:rPr>
        <w:t xml:space="preserve">At rest (detective): run periodic PII scans on persistent memory stores and conversation logs. Flag any PII that survived the ingest filter. This catches cases where PII was embedded in natural language that the ingest-time detector missed, such as a Social Security number written as "my number is five five five" rather than in a machine-readable format.</w:t>
      </w:r>
    </w:p>
    <w:p>
      <w:pPr>
        <w:spacing w:after="140" w:line="276"/>
      </w:pPr>
      <w:r>
        <w:rPr>
          <w:rFonts w:ascii="Aptos" w:cs="Aptos" w:eastAsia="Aptos" w:hAnsi="Aptos"/>
        </w:rPr>
        <w:t xml:space="preserve">On purge (complete): when a retention-triggered purge runs, verify that the purge removed all PII associated with the affected trace IDs. Post-purge PII scans on the affected storage partitions are the verification mechanism.</w:t>
      </w:r>
    </w:p>
    <w:p>
      <w:pPr>
        <w:pStyle w:val="Heading2"/>
        <w:keepNext/>
        <w:spacing w:after="120" w:before="260"/>
      </w:pPr>
      <w:r>
        <w:rPr>
          <w:rFonts w:ascii="Aptos" w:cs="Aptos" w:eastAsia="Aptos" w:hAnsi="Aptos"/>
        </w:rPr>
        <w:t xml:space="preserve">Token Budget Management</w:t>
      </w:r>
    </w:p>
    <w:p>
      <w:pPr>
        <w:spacing w:after="140" w:line="276"/>
      </w:pPr>
      <w:r>
        <w:rPr>
          <w:rFonts w:ascii="Aptos" w:cs="Aptos" w:eastAsia="Aptos" w:hAnsi="Aptos"/>
        </w:rPr>
        <w:t xml:space="preserve">Context window size is a finite resource. In agent chains, context accumulates as each agent appends its contribution. Without management, a chain of 5 agents can consume 80% of the final agent's context window with upstream history, leaving minimal room for the agent's own reasoning.</w:t>
      </w:r>
    </w:p>
    <w:p>
      <w:pPr>
        <w:spacing w:after="140" w:line="276"/>
      </w:pPr>
      <w:r>
        <w:rPr>
          <w:rFonts w:ascii="Aptos" w:cs="Aptos" w:eastAsia="Aptos" w:hAnsi="Aptos"/>
        </w:rPr>
        <w:t xml:space="preserve">Operating controls: set a maximum context injection budget per hop. A reasonable starting point is that no more than 20% of the receiving agent's context window should be consumed by the caller's context. Summarize or truncate upstream context before forwarding. Log context use as a metric, since a rising trend may indicate that upstream agents are sending increasingly verbose payloads. This ties into Section 1 (Behavioral Drift Detection).</w:t>
      </w:r>
    </w:p>
    <w:p>
      <w:pPr>
        <w:pStyle w:val="Heading2"/>
        <w:keepNext/>
        <w:spacing w:after="120" w:before="260"/>
      </w:pPr>
      <w:r>
        <w:rPr>
          <w:rFonts w:ascii="Aptos" w:cs="Aptos" w:eastAsia="Aptos" w:hAnsi="Aptos"/>
        </w:rPr>
        <w:t xml:space="preserve">Cost Monitoring and Budget Enforcement</w:t>
      </w:r>
    </w:p>
    <w:p>
      <w:pPr>
        <w:spacing w:after="140" w:line="276"/>
      </w:pPr>
      <w:r>
        <w:rPr>
          <w:rFonts w:ascii="Aptos" w:cs="Aptos" w:eastAsia="Aptos" w:hAnsi="Aptos"/>
        </w:rPr>
        <w:t xml:space="preserve">The A2A Protocol Specification defines optional budget_limit and cost_reporting behavioral contract terms. When a contract includes a budget_limit, the receiving agent must track cumulative cost and halt execution before exceeding the ceiling. This section covers the operational side: how to meter costs, where to store running totals, and what to alert on.</w:t>
      </w:r>
    </w:p>
    <w:p>
      <w:pPr>
        <w:spacing w:after="140" w:line="276"/>
      </w:pPr>
      <w:r>
        <w:rPr>
          <w:rFonts w:ascii="Aptos" w:cs="Aptos" w:eastAsia="Aptos" w:hAnsi="Aptos"/>
        </w:rPr>
        <w:t xml:space="preserve">Cost metering starts at the inference layer. Each model call has a known cost (tokens in, tokens out, multiplied by the provider's rate). Instrument the inference client to emit a cost metric per call, tagged with the trace ID and contract ID. If the agent makes tool calls with their own costs (paid API calls, database queries billed by compute), instrument those as well. Sum these per-request and compare against the contract's budget_limit before returning the response.</w:t>
      </w:r>
    </w:p>
    <w:p>
      <w:pPr>
        <w:spacing w:after="140" w:line="276"/>
      </w:pPr>
      <w:r>
        <w:rPr>
          <w:rFonts w:ascii="Aptos" w:cs="Aptos" w:eastAsia="Aptos" w:hAnsi="Aptos"/>
        </w:rPr>
        <w:t xml:space="preserve">For session-scoped budgets, maintain a running total in the same store that tracks session state (the session token cache described in the Implementation Guide, Section 4). On each request, load the cumulative cost, add the current request's cost, and check against max_amount. If the new total would exceed the ceiling, return a budget_exceeded error with the current cumulative cost and the ceiling in the response body. The requester can then decide whether to renegotiate or terminate the session.</w:t>
      </w:r>
    </w:p>
    <w:p>
      <w:pPr>
        <w:spacing w:after="140" w:line="276"/>
      </w:pPr>
      <w:r>
        <w:rPr>
          <w:rFonts w:ascii="Aptos" w:cs="Aptos" w:eastAsia="Aptos" w:hAnsi="Aptos"/>
        </w:rPr>
        <w:t xml:space="preserve">When cost_reporting is enabled, include the cost_incurred field in every response. For a single-agent call that is the metered cost of the call; for sub-delegation chains, the cost must include downstream costs. The downstream agent's cost_incurred response (if cost_reporting was propagated to its contract) feeds back into the parent's running total. If the downstream agent does not support cost_reporting, the parent must estimate the downstream cost from the pricing field in the downstream agent's Agent Card.</w:t>
      </w:r>
    </w:p>
    <w:p>
      <w:pPr>
        <w:spacing w:after="140" w:line="276"/>
      </w:pPr>
      <w:r>
        <w:rPr>
          <w:rFonts w:ascii="Aptos" w:cs="Aptos" w:eastAsia="Aptos" w:hAnsi="Aptos"/>
        </w:rPr>
        <w:t xml:space="preserve">Alerting: set a warning threshold at 80% of the budget_limit. When cumulative cost crosses 80%, log a warning against the trace ID so operators can see which sessions are approaching their ceiling. At 95%, escalate to a high-severity alert. These thresholds give the requester a chance to extend the budget or gracefully wind down the session before a hard stop.</w:t>
      </w:r>
    </w:p>
    <w:p>
      <w:pPr>
        <w:spacing w:after="140" w:line="276"/>
      </w:pPr>
      <w:r>
        <w:rPr>
          <w:rFonts w:ascii="Aptos" w:cs="Aptos" w:eastAsia="Aptos" w:hAnsi="Aptos"/>
        </w:rPr>
        <w:t xml:space="preserve">For organizations that manage cost through infrastructure billing rather than contract-level budgets, this section still applies at the aggregate level. Track cost per agent, per team, and per dependency edge in the mesh. The metrics from Section 1 (Behavioral Drift Detection) should include cost-per-request as a monitored metric. A sudden spike in cost-per-request often correlates with behavioral drift (the agent is making more tool calls, generating longer responses, or delegating to more expensive downstream agents).</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agent has a documented memory footprint mapped to AISI layers. Retention enforcement purges contract-associated data on expiration across all storage layers, with auditable purge records. PII scrubbing runs at ingest, at rest, and on purge. Context injection budgets are set per hop and logged. Conflicting retention policies are handled by applying the most restrictive policy or isolating storage per caller. Agents with budget_limit contracts track cumulative cost per session, enforce ceilings before exceeding them, and alert at 80% and 95% thresholds.</w:t>
      </w:r>
    </w:p>
    <w:p>
      <w:pPr>
        <w:pStyle w:val="Heading1"/>
        <w:keepNext/>
        <w:spacing w:after="160" w:before="360"/>
      </w:pPr>
      <w:r>
        <w:rPr>
          <w:rFonts w:ascii="Aptos" w:cs="Aptos" w:eastAsia="Aptos" w:hAnsi="Aptos"/>
        </w:rPr>
        <w:t xml:space="preserve">6. Change Control for Agent Meshes</w:t>
      </w:r>
    </w:p>
    <w:p>
      <w:pPr>
        <w:keepNext/>
        <w:spacing w:after="20" w:line="250"/>
        <w:ind w:left="360"/>
      </w:pPr>
      <w:r>
        <w:rPr>
          <w:rFonts w:ascii="Aptos" w:cs="Aptos" w:eastAsia="Aptos" w:hAnsi="Aptos"/>
          <w:sz w:val="18"/>
          <w:szCs w:val="18"/>
        </w:rPr>
        <w:t xml:space="preserve">IT-10: Change management   |   AISI Layers 2, 3, 5</w:t>
      </w:r>
    </w:p>
    <w:p>
      <w:pPr>
        <w:keepNext/>
        <w:spacing w:after="20" w:line="250"/>
        <w:ind w:left="360"/>
      </w:pPr>
      <w:r>
        <w:rPr>
          <w:rFonts w:ascii="Aptos" w:cs="Aptos" w:eastAsia="Aptos" w:hAnsi="Aptos"/>
          <w:sz w:val="18"/>
          <w:szCs w:val="18"/>
        </w:rPr>
        <w:t xml:space="preserve">A2A-2: Signed Agent Cards   |   AISI Layer 7</w:t>
      </w:r>
    </w:p>
    <w:p>
      <w:pPr>
        <w:keepNext/>
        <w:spacing w:after="200" w:line="250"/>
        <w:ind w:left="360"/>
      </w:pPr>
      <w:r>
        <w:rPr>
          <w:rFonts w:ascii="Aptos" w:cs="Aptos" w:eastAsia="Aptos" w:hAnsi="Aptos"/>
          <w:sz w:val="18"/>
          <w:szCs w:val="18"/>
        </w:rPr>
        <w:t xml:space="preserve">A2A-12: Revocation propagation   |   AISI Layers 6, 7</w:t>
      </w:r>
    </w:p>
    <w:p>
      <w:pPr>
        <w:pStyle w:val="Heading2"/>
        <w:keepNext/>
        <w:spacing w:after="120" w:before="260"/>
      </w:pPr>
      <w:r>
        <w:rPr>
          <w:rFonts w:ascii="Aptos" w:cs="Aptos" w:eastAsia="Aptos" w:hAnsi="Aptos"/>
        </w:rPr>
        <w:t xml:space="preserve">The Problem</w:t>
      </w:r>
    </w:p>
    <w:p>
      <w:pPr>
        <w:spacing w:after="140" w:line="276"/>
      </w:pPr>
      <w:r>
        <w:rPr>
          <w:rFonts w:ascii="Aptos" w:cs="Aptos" w:eastAsia="Aptos" w:hAnsi="Aptos"/>
        </w:rPr>
        <w:t xml:space="preserve">In traditional microservices, changing one service can break its direct consumers. In an agent mesh, the impact goes further. Changing Agent A's behavior affects Agent B (which calls A), Agent C (which calls B and depends on A's output indirectly), and Agent D (which uses Agent A's Agent Card to decide whether to accept delegation from Agent B). The blast radius of a change includes every agent that depends on the changed agent, directly or indirectly.</w:t>
      </w:r>
    </w:p>
    <w:p>
      <w:pPr>
        <w:spacing w:after="140" w:line="276"/>
      </w:pPr>
      <w:r>
        <w:rPr>
          <w:rFonts w:ascii="Aptos" w:cs="Aptos" w:eastAsia="Aptos" w:hAnsi="Aptos"/>
        </w:rPr>
        <w:t xml:space="preserve">Baseline Controls IT-10 requires change management with approval gates, rollback plans, and post-deployment verification. In a mesh, those requirements need specifics: what constitutes a breaking change, how to coordinate updates across independently deployed agents, and how to roll back when a change cascades.</w:t>
      </w:r>
    </w:p>
    <w:p>
      <w:pPr>
        <w:pStyle w:val="Heading2"/>
        <w:keepNext/>
        <w:spacing w:after="120" w:before="260"/>
      </w:pPr>
      <w:r>
        <w:rPr>
          <w:rFonts w:ascii="Aptos" w:cs="Aptos" w:eastAsia="Aptos" w:hAnsi="Aptos"/>
        </w:rPr>
        <w:t xml:space="preserve">Change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9"/>
        <w:gridCol w:w="2410"/>
        <w:gridCol w:w="2410"/>
        <w:gridCol w:w="2411"/>
      </w:tblGrid>
      <w:tr>
        <w:trPr>
          <w:tblHeader/>
        </w:trPr>
        <w:tc>
          <w:tcPr>
            <w:tcW w:type="dxa" w:w="2129"/>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Change Type</w:t>
            </w:r>
          </w:p>
        </w:tc>
        <w:tc>
          <w:tcPr>
            <w:tcW w:type="dxa" w:w="241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Impact</w:t>
            </w:r>
          </w:p>
        </w:tc>
        <w:tc>
          <w:tcPr>
            <w:tcW w:type="dxa" w:w="241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Agent Card Version Impact</w:t>
            </w:r>
          </w:p>
        </w:tc>
        <w:tc>
          <w:tcPr>
            <w:tcW w:type="dxa" w:w="2411"/>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Requires Downstream Notification</w:t>
            </w:r>
          </w:p>
        </w:tc>
      </w:tr>
      <w:tr>
        <w:trPr>
          <w:cantSplit/>
        </w:trPr>
        <w:tc>
          <w:tcPr>
            <w:tcW w:type="dxa" w:w="212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Model version update (same family)</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Potential behavioral drift, same API contract</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Minor release bump; manifest model_fingerprint updated and re-signed</w:t>
            </w:r>
          </w:p>
        </w:tc>
        <w:tc>
          <w:tcPr>
            <w:tcW w:type="dxa" w:w="241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 but monitor drift per Section 1</w:t>
            </w:r>
          </w:p>
        </w:tc>
      </w:tr>
      <w:tr>
        <w:trPr>
          <w:cantSplit/>
        </w:trPr>
        <w:tc>
          <w:tcPr>
            <w:tcW w:type="dxa" w:w="212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Model swap (different family or provider)</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Likely behavioral change</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Major release bump + re-sign</w:t>
            </w:r>
          </w:p>
        </w:tc>
        <w:tc>
          <w:tcPr>
            <w:tcW w:type="dxa" w:w="241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Yes, all agents in dependency graph</w:t>
            </w:r>
          </w:p>
        </w:tc>
      </w:tr>
      <w:tr>
        <w:trPr>
          <w:cantSplit/>
        </w:trPr>
        <w:tc>
          <w:tcPr>
            <w:tcW w:type="dxa" w:w="212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template change (non-breaking)</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 observable behavior change</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Patch release bump + re-sign</w:t>
            </w:r>
          </w:p>
        </w:tc>
        <w:tc>
          <w:tcPr>
            <w:tcW w:type="dxa" w:w="241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w:t>
            </w:r>
          </w:p>
        </w:tc>
      </w:tr>
      <w:tr>
        <w:trPr>
          <w:cantSplit/>
        </w:trPr>
        <w:tc>
          <w:tcPr>
            <w:tcW w:type="dxa" w:w="212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template change (breaking)</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Output format, scope, or tool usage changes</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Major release bump + re-sign</w:t>
            </w:r>
          </w:p>
        </w:tc>
        <w:tc>
          <w:tcPr>
            <w:tcW w:type="dxa" w:w="241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Yes, all direct callers</w:t>
            </w:r>
          </w:p>
        </w:tc>
      </w:tr>
      <w:tr>
        <w:trPr>
          <w:cantSplit/>
        </w:trPr>
        <w:tc>
          <w:tcPr>
            <w:tcW w:type="dxa" w:w="212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Tool addition or removal</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Capability change</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Minor release bump when a capability is added, major when one is removed or a contract changes; manifest tools array re-signed</w:t>
            </w:r>
          </w:p>
        </w:tc>
        <w:tc>
          <w:tcPr>
            <w:tcW w:type="dxa" w:w="241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Yes, all agents referencing this capability</w:t>
            </w:r>
          </w:p>
        </w:tc>
      </w:tr>
      <w:tr>
        <w:trPr>
          <w:cantSplit/>
        </w:trPr>
        <w:tc>
          <w:tcPr>
            <w:tcW w:type="dxa" w:w="212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MCP server tool definitions change (server-initiated)</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Tool descriptions, schemas or behavior change under the agent</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Agent-BOM update after review; manifest re-signed if the agent's tools allowlist changes, with the release bump that the change in capability warrants</w:t>
            </w:r>
          </w:p>
        </w:tc>
        <w:tc>
          <w:tcPr>
            <w:tcW w:type="dxa" w:w="241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Yes, the owners of every agent connected to that server; quarantine the new definitions from the model until reviewed</w:t>
            </w:r>
          </w:p>
        </w:tc>
      </w:tr>
      <w:tr>
        <w:trPr>
          <w:cantSplit/>
        </w:trPr>
        <w:tc>
          <w:tcPr>
            <w:tcW w:type="dxa" w:w="212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RAG index update (routine)</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Data freshness improvement</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 Agent Card change</w:t>
            </w:r>
          </w:p>
        </w:tc>
        <w:tc>
          <w:tcPr>
            <w:tcW w:type="dxa" w:w="241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 handled by freshness scoring per Section 3</w:t>
            </w:r>
          </w:p>
        </w:tc>
      </w:tr>
      <w:tr>
        <w:trPr>
          <w:cantSplit/>
        </w:trPr>
        <w:tc>
          <w:tcPr>
            <w:tcW w:type="dxa" w:w="212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RAG index schema change</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Retrieval behavior change</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No Agent Card change, but update Agent-BOM</w:t>
            </w:r>
          </w:p>
        </w:tc>
        <w:tc>
          <w:tcPr>
            <w:tcW w:type="dxa" w:w="241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Only if output quality is affected</w:t>
            </w:r>
          </w:p>
        </w:tc>
      </w:tr>
      <w:tr>
        <w:trPr>
          <w:cantSplit/>
        </w:trPr>
        <w:tc>
          <w:tcPr>
            <w:tcW w:type="dxa" w:w="212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Infrastructure change (namespace, network)</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Connectivity or latency impact</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 Agent Card change (endpoint unchanged)</w:t>
            </w:r>
          </w:p>
        </w:tc>
        <w:tc>
          <w:tcPr>
            <w:tcW w:type="dxa" w:w="241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Only if endpoint or latency SLA changes</w:t>
            </w:r>
          </w:p>
        </w:tc>
      </w:tr>
      <w:tr>
        <w:trPr>
          <w:cantSplit/>
        </w:trPr>
        <w:tc>
          <w:tcPr>
            <w:tcW w:type="dxa" w:w="2129"/>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Behavioral contract term change</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Agreement change</w:t>
            </w:r>
          </w:p>
        </w:tc>
        <w:tc>
          <w:tcPr>
            <w:tcW w:type="dxa" w:w="241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Major release bump + re-sign</w:t>
            </w:r>
          </w:p>
        </w:tc>
        <w:tc>
          <w:tcPr>
            <w:tcW w:type="dxa" w:w="2411"/>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Yes, all current contract holders</w:t>
            </w:r>
          </w:p>
        </w:tc>
      </w:tr>
      <w:tr>
        <w:trPr>
          <w:cantSplit/>
        </w:trPr>
        <w:tc>
          <w:tcPr>
            <w:tcW w:type="dxa" w:w="2129"/>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MaaS model version rotation (provider-initiated)</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Silent behavioral drift if provider updates the model behind a stable alias</w:t>
            </w:r>
          </w:p>
        </w:tc>
        <w:tc>
          <w:tcPr>
            <w:tcW w:type="dxa" w:w="241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 change if model_fingerprint is absent; manifest model_fingerprint updated and re-signed with a minor release bump if it is tracked</w:t>
            </w:r>
          </w:p>
        </w:tc>
        <w:tc>
          <w:tcPr>
            <w:tcW w:type="dxa" w:w="2411"/>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 but monitor drift per Section 1 and verify model_fingerprint if published</w:t>
            </w:r>
          </w:p>
        </w:tc>
      </w:tr>
    </w:tbl>
    <w:p>
      <w:pPr>
        <w:spacing w:after="160"/>
      </w:pPr>
    </w:p>
    <w:p>
      <w:pPr>
        <w:spacing w:after="140" w:line="276"/>
      </w:pPr>
      <w:r>
        <w:rPr>
          <w:rFonts w:ascii="Aptos" w:cs="Aptos" w:eastAsia="Aptos" w:hAnsi="Aptos"/>
        </w:rPr>
        <w:t xml:space="preserve">The A2A Protocol Specification's Versioning and Renewal section defines the rules the table applies: the agent release version moves with capability and contract changes (major when something breaks, minor when something is added or behavior changes compatibly, patch for internal changes), the manifest's issuance window is renewed on a schedule with no version change, and the profile version moves only when the manifest schema does. Renewal of a signature or an expiry never implies the agent changed. The table above summarizes the most common change types; consult the Protocol Spec for the complete rules.</w:t>
      </w:r>
    </w:p>
    <w:p>
      <w:pPr>
        <w:pStyle w:val="Heading2"/>
        <w:keepNext/>
        <w:spacing w:after="120" w:before="260"/>
      </w:pPr>
      <w:r>
        <w:rPr>
          <w:rFonts w:ascii="Aptos" w:cs="Aptos" w:eastAsia="Aptos" w:hAnsi="Aptos"/>
        </w:rPr>
        <w:t xml:space="preserve">Dependency Graph Awareness</w:t>
      </w:r>
    </w:p>
    <w:p>
      <w:pPr>
        <w:spacing w:after="140" w:line="276"/>
      </w:pPr>
      <w:r>
        <w:rPr>
          <w:rFonts w:ascii="Aptos" w:cs="Aptos" w:eastAsia="Aptos" w:hAnsi="Aptos"/>
        </w:rPr>
        <w:t xml:space="preserve">You cannot manage change in a mesh without knowing the dependency graph. Build and maintain a map of which agents call which other agents. Three sources contribute to this map:</w:t>
      </w:r>
    </w:p>
    <w:p>
      <w:pPr>
        <w:spacing w:after="140" w:line="276"/>
      </w:pPr>
      <w:r>
        <w:rPr>
          <w:rFonts w:ascii="Aptos" w:cs="Aptos" w:eastAsia="Aptos" w:hAnsi="Aptos"/>
        </w:rPr>
        <w:t xml:space="preserve">The Agent Card dependencies field is the first source. Each Agent Card should declare its downstream dependencies. This gives you the declared graph.</w:t>
      </w:r>
    </w:p>
    <w:p>
      <w:pPr>
        <w:spacing w:after="140" w:line="276"/>
      </w:pPr>
      <w:r>
        <w:rPr>
          <w:rFonts w:ascii="Aptos" w:cs="Aptos" w:eastAsia="Aptos" w:hAnsi="Aptos"/>
        </w:rPr>
        <w:t xml:space="preserve">The audit trail is the second source. Trace IDs that span multiple agents and tool calls reveal the actual call graph. Discrepancies between declared and observed are findings (see Section 2, Shadow AI Discovery).</w:t>
      </w:r>
    </w:p>
    <w:p>
      <w:pPr>
        <w:spacing w:after="140" w:line="276"/>
      </w:pPr>
      <w:r>
        <w:rPr>
          <w:rFonts w:ascii="Aptos" w:cs="Aptos" w:eastAsia="Aptos" w:hAnsi="Aptos"/>
        </w:rPr>
        <w:t xml:space="preserve">SPIRE registration entries are the third source. The set of SPIFFE IDs and their selector bindings show which workload identities exist and where they run.</w:t>
      </w:r>
    </w:p>
    <w:p>
      <w:pPr>
        <w:spacing w:after="140" w:line="276"/>
      </w:pPr>
      <w:r>
        <w:rPr>
          <w:rFonts w:ascii="Aptos" w:cs="Aptos" w:eastAsia="Aptos" w:hAnsi="Aptos"/>
        </w:rPr>
        <w:t xml:space="preserve">When evaluating a change, query the dependency graph to identify all agents that could be affected. For breaking changes, generate a notification list from the graph and include it in the change request.</w:t>
      </w:r>
    </w:p>
    <w:p>
      <w:pPr>
        <w:pStyle w:val="Heading2"/>
        <w:keepNext/>
        <w:spacing w:after="120" w:before="260"/>
      </w:pPr>
      <w:r>
        <w:rPr>
          <w:rFonts w:ascii="Aptos" w:cs="Aptos" w:eastAsia="Aptos" w:hAnsi="Aptos"/>
        </w:rPr>
        <w:t xml:space="preserve">Coordinated Rollout</w:t>
      </w:r>
    </w:p>
    <w:p>
      <w:pPr>
        <w:pStyle w:val="Heading3"/>
        <w:keepNext/>
        <w:spacing w:after="80" w:before="200"/>
      </w:pPr>
      <w:r>
        <w:rPr>
          <w:rFonts w:ascii="Aptos" w:cs="Aptos" w:eastAsia="Aptos" w:hAnsi="Aptos"/>
        </w:rPr>
        <w:t xml:space="preserve">Canary Deployment</w:t>
      </w:r>
    </w:p>
    <w:p>
      <w:pPr>
        <w:spacing w:after="140" w:line="276"/>
      </w:pPr>
      <w:r>
        <w:rPr>
          <w:rFonts w:ascii="Aptos" w:cs="Aptos" w:eastAsia="Aptos" w:hAnsi="Aptos"/>
        </w:rPr>
        <w:t xml:space="preserve">For breaking changes, deploy the new version alongside the old version and route a percentage of traffic to the canary. Monitor the drift metrics from Section 1 on both versions. If the canary shows contract violation rates above baseline, roll back before promoting.</w:t>
      </w:r>
    </w:p>
    <w:p>
      <w:pPr>
        <w:spacing w:after="140" w:line="276"/>
      </w:pPr>
      <w:r>
        <w:rPr>
          <w:rFonts w:ascii="Aptos" w:cs="Aptos" w:eastAsia="Aptos" w:hAnsi="Aptos"/>
        </w:rPr>
        <w:t xml:space="preserve">In a mesh, canary deployment requires that the Agent Card system supports concurrent releases: the canary publishes its own card and manifest (with the new release version), and downstream agents must be configured to accept both versions during the canary window. If your card verification logic rejects unknown versions, the canary will fail. Plan for this in your card verification policy.</w:t>
      </w:r>
    </w:p>
    <w:p>
      <w:pPr>
        <w:pStyle w:val="Heading3"/>
        <w:keepNext/>
        <w:spacing w:after="80" w:before="200"/>
      </w:pPr>
      <w:r>
        <w:rPr>
          <w:rFonts w:ascii="Aptos" w:cs="Aptos" w:eastAsia="Aptos" w:hAnsi="Aptos"/>
        </w:rPr>
        <w:t xml:space="preserve">Rolling Update Coordination</w:t>
      </w:r>
    </w:p>
    <w:p>
      <w:pPr>
        <w:spacing w:after="140" w:line="276"/>
      </w:pPr>
      <w:r>
        <w:rPr>
          <w:rFonts w:ascii="Aptos" w:cs="Aptos" w:eastAsia="Aptos" w:hAnsi="Aptos"/>
        </w:rPr>
        <w:t xml:space="preserve">When a change requires coordinated updates across multiple agents, such as a contract term change that both parties must adopt simultaneously, use a phased approach:</w:t>
      </w:r>
    </w:p>
    <w:p>
      <w:pPr>
        <w:spacing w:after="140" w:line="276"/>
      </w:pPr>
      <w:r>
        <w:rPr>
          <w:rFonts w:ascii="Aptos" w:cs="Aptos" w:eastAsia="Aptos" w:hAnsi="Aptos"/>
        </w:rPr>
        <w:t xml:space="preserve">Phase 1, Prepare: deploy the updated contract support to all agents without activating it. Both old and new contract versions are accepted.</w:t>
      </w:r>
    </w:p>
    <w:p>
      <w:pPr>
        <w:spacing w:after="140" w:line="276"/>
      </w:pPr>
      <w:r>
        <w:rPr>
          <w:rFonts w:ascii="Aptos" w:cs="Aptos" w:eastAsia="Aptos" w:hAnsi="Aptos"/>
        </w:rPr>
        <w:t xml:space="preserve">Phase 2, Migrate: switch new interactions to the new contract version. Existing in-flight interactions complete under the old contract.</w:t>
      </w:r>
    </w:p>
    <w:p>
      <w:pPr>
        <w:spacing w:after="140" w:line="276"/>
      </w:pPr>
      <w:r>
        <w:rPr>
          <w:rFonts w:ascii="Aptos" w:cs="Aptos" w:eastAsia="Aptos" w:hAnsi="Aptos"/>
        </w:rPr>
        <w:t xml:space="preserve">Phase 3, Enforce: remove support for the old contract version. Any agent still using the old version fails with a structured error.</w:t>
      </w:r>
    </w:p>
    <w:p>
      <w:pPr>
        <w:spacing w:after="140" w:line="276"/>
      </w:pPr>
      <w:r>
        <w:rPr>
          <w:rFonts w:ascii="Aptos" w:cs="Aptos" w:eastAsia="Aptos" w:hAnsi="Aptos"/>
        </w:rPr>
        <w:t xml:space="preserve">This is the same pattern used for API versioning in traditional services, applied to behavioral contracts.</w:t>
      </w:r>
    </w:p>
    <w:p>
      <w:pPr>
        <w:pStyle w:val="Heading2"/>
        <w:keepNext/>
        <w:spacing w:after="120" w:before="260"/>
      </w:pPr>
      <w:r>
        <w:rPr>
          <w:rFonts w:ascii="Aptos" w:cs="Aptos" w:eastAsia="Aptos" w:hAnsi="Aptos"/>
        </w:rPr>
        <w:t xml:space="preserve">Rollback</w:t>
      </w:r>
    </w:p>
    <w:p>
      <w:pPr>
        <w:spacing w:after="140" w:line="276"/>
      </w:pPr>
      <w:r>
        <w:rPr>
          <w:rFonts w:ascii="Aptos" w:cs="Aptos" w:eastAsia="Aptos" w:hAnsi="Aptos"/>
        </w:rPr>
        <w:t xml:space="preserve">Every change must have a rollback plan filed before approval. For agents, the rollback plan addresses:</w:t>
      </w:r>
    </w:p>
    <w:p>
      <w:pPr>
        <w:spacing w:after="140" w:line="276"/>
      </w:pPr>
      <w:r>
        <w:rPr>
          <w:rFonts w:ascii="Aptos" w:cs="Aptos" w:eastAsia="Aptos" w:hAnsi="Aptos"/>
        </w:rPr>
        <w:t xml:space="preserve">Agent version: can you redeploy the previous container image? Is the previous model version still available in the registry?</w:t>
      </w:r>
    </w:p>
    <w:p>
      <w:pPr>
        <w:spacing w:after="140" w:line="276"/>
      </w:pPr>
      <w:r>
        <w:rPr>
          <w:rFonts w:ascii="Aptos" w:cs="Aptos" w:eastAsia="Aptos" w:hAnsi="Aptos"/>
        </w:rPr>
        <w:t xml:space="preserve">Agent Card: if the card and manifest were re-signed for a new release, the previous release's content must be available for re-publication. Rollback means re-signing the old content with a fresh issuance window, not only redeploying the old code.</w:t>
      </w:r>
    </w:p>
    <w:p>
      <w:pPr>
        <w:spacing w:after="140" w:line="276"/>
      </w:pPr>
      <w:r>
        <w:rPr>
          <w:rFonts w:ascii="Aptos" w:cs="Aptos" w:eastAsia="Aptos" w:hAnsi="Aptos"/>
        </w:rPr>
        <w:t xml:space="preserve">Behavioral contracts: if in-flight contracts were negotiated under the new version, what happens to them on rollback? The rollback plan must specify whether in-flight contracts are honored to completion under the old behavior or terminated with a structured error.</w:t>
      </w:r>
    </w:p>
    <w:p>
      <w:pPr>
        <w:spacing w:after="140" w:line="276"/>
      </w:pPr>
      <w:r>
        <w:rPr>
          <w:rFonts w:ascii="Aptos" w:cs="Aptos" w:eastAsia="Aptos" w:hAnsi="Aptos"/>
        </w:rPr>
        <w:t xml:space="preserve">Downstream state: if downstream agents cached the new Agent Card or adapted to the new behavior, rolling back the upstream agent may cause temporary contract mismatches. The rollback plan must account for the propagation delay.</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change to a production agent goes through a change request that includes: change classification, dependency graph impact analysis, rollback plan, and post-deployment verification criteria. Breaking changes trigger downstream notification. Canary deployments validate behavioral stability before full rollout. The dependency graph is maintained and reconciled against observed traffic. Rollback plans address agent code, Agent Cards, behavioral contracts, and downstream state.</w:t>
      </w:r>
    </w:p>
    <w:p>
      <w:pPr>
        <w:pStyle w:val="Heading1"/>
        <w:keepNext/>
        <w:spacing w:after="160" w:before="360"/>
      </w:pPr>
      <w:r>
        <w:rPr>
          <w:rFonts w:ascii="Aptos" w:cs="Aptos" w:eastAsia="Aptos" w:hAnsi="Aptos"/>
        </w:rPr>
        <w:t xml:space="preserve">7. Agent Decommission and Sunset</w:t>
      </w:r>
    </w:p>
    <w:p>
      <w:pPr>
        <w:keepNext/>
        <w:spacing w:after="20" w:line="250"/>
        <w:ind w:left="360"/>
      </w:pPr>
      <w:r>
        <w:rPr>
          <w:rFonts w:ascii="Aptos" w:cs="Aptos" w:eastAsia="Aptos" w:hAnsi="Aptos"/>
          <w:sz w:val="18"/>
          <w:szCs w:val="18"/>
        </w:rPr>
        <w:t xml:space="preserve">A2A-2: Signed Agent Cards   |   AISI Layer 7</w:t>
      </w:r>
    </w:p>
    <w:p>
      <w:pPr>
        <w:keepNext/>
        <w:spacing w:after="20" w:line="250"/>
        <w:ind w:left="360"/>
      </w:pPr>
      <w:r>
        <w:rPr>
          <w:rFonts w:ascii="Aptos" w:cs="Aptos" w:eastAsia="Aptos" w:hAnsi="Aptos"/>
          <w:sz w:val="18"/>
          <w:szCs w:val="18"/>
        </w:rPr>
        <w:t xml:space="preserve">A2A-12: Revocation propagation   |   AISI Layers 6, 7</w:t>
      </w:r>
    </w:p>
    <w:p>
      <w:pPr>
        <w:keepNext/>
        <w:spacing w:after="200" w:line="250"/>
        <w:ind w:left="360"/>
      </w:pPr>
      <w:r>
        <w:rPr>
          <w:rFonts w:ascii="Aptos" w:cs="Aptos" w:eastAsia="Aptos" w:hAnsi="Aptos"/>
          <w:sz w:val="18"/>
          <w:szCs w:val="18"/>
        </w:rPr>
        <w:t xml:space="preserve">SEC-8: Access reviews   |   AISI Layers 6, 7</w:t>
      </w:r>
    </w:p>
    <w:p>
      <w:pPr>
        <w:pStyle w:val="Heading2"/>
        <w:keepNext/>
        <w:spacing w:after="120" w:before="260"/>
      </w:pPr>
      <w:r>
        <w:rPr>
          <w:rFonts w:ascii="Aptos" w:cs="Aptos" w:eastAsia="Aptos" w:hAnsi="Aptos"/>
        </w:rPr>
        <w:t xml:space="preserve">The Problem</w:t>
      </w:r>
    </w:p>
    <w:p>
      <w:pPr>
        <w:spacing w:after="140" w:line="276"/>
      </w:pPr>
      <w:r>
        <w:rPr>
          <w:rFonts w:ascii="Aptos" w:cs="Aptos" w:eastAsia="Aptos" w:hAnsi="Aptos"/>
        </w:rPr>
        <w:t xml:space="preserve">Agents get retired. A capability is replaced by a better agent, a project ends, a third-party agent fails a risk review, or an agent's model reaches end-of-life. Unlike decommissioning a traditional service, where you remove the endpoint and clean up DNS, decommissioning an agent involves identity revocation, token revocation at every MCP server it reached, contract termination, dependency migration, memory purge and audit trail archive. If any of these are missed, you end up with orphaned credentials, stale Agent Cards that could be spoofed, or data that should have been purged lingering in memory stores.</w:t>
      </w:r>
    </w:p>
    <w:p>
      <w:pPr>
        <w:pStyle w:val="Heading2"/>
        <w:keepNext/>
        <w:spacing w:after="120" w:before="260"/>
      </w:pPr>
      <w:r>
        <w:rPr>
          <w:rFonts w:ascii="Aptos" w:cs="Aptos" w:eastAsia="Aptos" w:hAnsi="Aptos"/>
        </w:rPr>
        <w:t xml:space="preserve">Decommission Checklist</w:t>
      </w:r>
    </w:p>
    <w:p>
      <w:pPr>
        <w:spacing w:after="140" w:line="276"/>
      </w:pPr>
      <w:r>
        <w:rPr>
          <w:rFonts w:ascii="Aptos" w:cs="Aptos" w:eastAsia="Aptos" w:hAnsi="Aptos"/>
        </w:rPr>
        <w:t xml:space="preserve">This is sequential. Each step depends on the previous one completing.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4"/>
        <w:gridCol w:w="2834"/>
        <w:gridCol w:w="5152"/>
      </w:tblGrid>
      <w:tr>
        <w:trPr>
          <w:tblHeader/>
        </w:trPr>
        <w:tc>
          <w:tcPr>
            <w:tcW w:type="dxa" w:w="1374"/>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Phase</w:t>
            </w:r>
          </w:p>
        </w:tc>
        <w:tc>
          <w:tcPr>
            <w:tcW w:type="dxa" w:w="2834"/>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Step</w:t>
            </w:r>
          </w:p>
        </w:tc>
        <w:tc>
          <w:tcPr>
            <w:tcW w:type="dxa" w:w="5152"/>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Details</w:t>
            </w:r>
          </w:p>
        </w:tc>
      </w:tr>
      <w:tr>
        <w:trPr>
          <w:cantSplit/>
        </w:trPr>
        <w:tc>
          <w:tcPr>
            <w:tcW w:type="dxa" w:w="137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1. Announce</w:t>
            </w:r>
          </w:p>
        </w:tc>
        <w:tc>
          <w:tcPr>
            <w:tcW w:type="dxa" w:w="283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Notify dependent agents</w:t>
            </w:r>
          </w:p>
        </w:tc>
        <w:tc>
          <w:tcPr>
            <w:tcW w:type="dxa" w:w="515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Query the dependency graph (Section 6) for all agents that call or are called by the target agent. Notify their owners with the sunset timeline. Minimum notice: 2 release cycles.</w:t>
            </w:r>
          </w:p>
        </w:tc>
      </w:tr>
      <w:tr>
        <w:trPr>
          <w:cantSplit/>
        </w:trPr>
        <w:tc>
          <w:tcPr>
            <w:tcW w:type="dxa" w:w="137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2. Deprecate</w:t>
            </w:r>
          </w:p>
        </w:tc>
        <w:tc>
          <w:tcPr>
            <w:tcW w:type="dxa" w:w="283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Mark Agent Card as deprecated</w:t>
            </w:r>
          </w:p>
        </w:tc>
        <w:tc>
          <w:tcPr>
            <w:tcW w:type="dxa" w:w="515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Re-sign the manifest with a deprecation flag and sunset date. Agents checking the card can log warnings and begin migration. The agent continues to operate normally.</w:t>
            </w:r>
          </w:p>
        </w:tc>
      </w:tr>
      <w:tr>
        <w:trPr>
          <w:cantSplit/>
        </w:trPr>
        <w:tc>
          <w:tcPr>
            <w:tcW w:type="dxa" w:w="137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3. Drain</w:t>
            </w:r>
          </w:p>
        </w:tc>
        <w:tc>
          <w:tcPr>
            <w:tcW w:type="dxa" w:w="283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Stop accepting new contracts</w:t>
            </w:r>
          </w:p>
        </w:tc>
        <w:tc>
          <w:tcPr>
            <w:tcW w:type="dxa" w:w="515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Configure the agent's layer 6 to reject new behavioral contract negotiations while honoring existing in-flight contracts to completion. No new sessions are opened, and existing sessions are not interrupted.</w:t>
            </w:r>
          </w:p>
        </w:tc>
      </w:tr>
      <w:tr>
        <w:trPr>
          <w:cantSplit/>
        </w:trPr>
        <w:tc>
          <w:tcPr>
            <w:tcW w:type="dxa" w:w="137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4. Migrate</w:t>
            </w:r>
          </w:p>
        </w:tc>
        <w:tc>
          <w:tcPr>
            <w:tcW w:type="dxa" w:w="283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Verify dependents have migrated</w:t>
            </w:r>
          </w:p>
        </w:tc>
        <w:tc>
          <w:tcPr>
            <w:tcW w:type="dxa" w:w="515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Confirm that all dependent agents have updated their configurations to use the replacement agent (or removed the dependency). Monitor traffic: if calls are still arriving, migration is incomplete.</w:t>
            </w:r>
          </w:p>
        </w:tc>
      </w:tr>
      <w:tr>
        <w:trPr>
          <w:cantSplit/>
        </w:trPr>
        <w:tc>
          <w:tcPr>
            <w:tcW w:type="dxa" w:w="137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5. Revoke</w:t>
            </w:r>
          </w:p>
        </w:tc>
        <w:tc>
          <w:tcPr>
            <w:tcW w:type="dxa" w:w="283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Revoke credentials and Agent Card</w:t>
            </w:r>
          </w:p>
        </w:tc>
        <w:tc>
          <w:tcPr>
            <w:tcW w:type="dxa" w:w="515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Delete the SPIRE registration entry. Revoke the agent's OAuth client registration at your authorization server and any tokens it holds for MCP servers, and remove it from the approved-server registry's client list. Remove the Agent Card from the registry and mark it as revoked. If the card signing key is per-agent, revoke the key as well. If the signing key is shared across agents (such as a CI/CD pipeline key), do not revoke it; only remove the card and manifest artifacts and stop the renewal job, after which the manifest expires on its own. Revoke a shared key only if it is compromised. After this step no new identity is issued; a connection using an SVID issued before the deletion keeps working until that SVID's TTL expires, which is why the AuthorizationPolicy denial and the token revocation in this step are what actually stop traffic.</w:t>
            </w:r>
          </w:p>
        </w:tc>
      </w:tr>
      <w:tr>
        <w:trPr>
          <w:cantSplit/>
        </w:trPr>
        <w:tc>
          <w:tcPr>
            <w:tcW w:type="dxa" w:w="137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6. Purge</w:t>
            </w:r>
          </w:p>
        </w:tc>
        <w:tc>
          <w:tcPr>
            <w:tcW w:type="dxa" w:w="283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Enforce final retention purge</w:t>
            </w:r>
          </w:p>
        </w:tc>
        <w:tc>
          <w:tcPr>
            <w:tcW w:type="dxa" w:w="515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Run the contract-aware purge (Section 5) for all trace IDs associated with this agent. Honor applicable regulatory retention floors (see the Memory Taxonomy table in Section 5 for guidance on which EU AI Act articles apply based on your provider or deployer role). Purge persistent memory, cached tool results, and any RAG embeddings derived from this agent's interactions.</w:t>
            </w:r>
          </w:p>
        </w:tc>
      </w:tr>
      <w:tr>
        <w:trPr>
          <w:cantSplit/>
        </w:trPr>
        <w:tc>
          <w:tcPr>
            <w:tcW w:type="dxa" w:w="137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7. Archive</w:t>
            </w:r>
          </w:p>
        </w:tc>
        <w:tc>
          <w:tcPr>
            <w:tcW w:type="dxa" w:w="283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Archive the audit trail</w:t>
            </w:r>
          </w:p>
        </w:tc>
        <w:tc>
          <w:tcPr>
            <w:tcW w:type="dxa" w:w="5152"/>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Export the agent's audit trail metadata (not content, which was purged) to long-term archive. This preserves the ability to answer "what did this agent do?" for compliance purposes without retaining the data.</w:t>
            </w:r>
          </w:p>
        </w:tc>
      </w:tr>
      <w:tr>
        <w:trPr>
          <w:cantSplit/>
        </w:trPr>
        <w:tc>
          <w:tcPr>
            <w:tcW w:type="dxa" w:w="137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8. Clean up</w:t>
            </w:r>
          </w:p>
        </w:tc>
        <w:tc>
          <w:tcPr>
            <w:tcW w:type="dxa" w:w="283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Remove infrastructure</w:t>
            </w:r>
          </w:p>
        </w:tc>
        <w:tc>
          <w:tcPr>
            <w:tcW w:type="dxa" w:w="5152"/>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Delete the namespace, service accounts, ConfigMaps, Vault policies, NetworkPolicies, and OPA rules associated with the agent. Remove the agent from the dependency graph.</w:t>
            </w:r>
          </w:p>
        </w:tc>
      </w:tr>
    </w:tbl>
    <w:p>
      <w:pPr>
        <w:spacing w:after="160"/>
      </w:pPr>
    </w:p>
    <w:p>
      <w:pPr>
        <w:pStyle w:val="Heading2"/>
        <w:keepNext/>
        <w:spacing w:after="120" w:before="260"/>
      </w:pPr>
      <w:r>
        <w:rPr>
          <w:rFonts w:ascii="Aptos" w:cs="Aptos" w:eastAsia="Aptos" w:hAnsi="Aptos"/>
        </w:rPr>
        <w:t xml:space="preserve">Handling Third-Party Agent or MCP Server Removal</w:t>
      </w:r>
    </w:p>
    <w:p>
      <w:pPr>
        <w:spacing w:after="140" w:line="276"/>
      </w:pPr>
      <w:r>
        <w:rPr>
          <w:rFonts w:ascii="Aptos" w:cs="Aptos" w:eastAsia="Aptos" w:hAnsi="Aptos"/>
        </w:rPr>
        <w:t xml:space="preserve">When a third-party agent or MCP server fails a risk review (SEC-9), or a server's tool definitions change in a way nobody approved, the timeline compresses. You may not have the luxury of a multi-release deprecation window. In this case:</w:t>
      </w:r>
    </w:p>
    <w:p>
      <w:pPr>
        <w:spacing w:after="140" w:line="276"/>
      </w:pPr>
      <w:r>
        <w:rPr>
          <w:rFonts w:ascii="Aptos" w:cs="Aptos" w:eastAsia="Aptos" w:hAnsi="Aptos"/>
        </w:rPr>
        <w:t xml:space="preserve">Immediate block: update the AuthorizationPolicy to deny all traffic to and from the third-party agent's SPIFFE ID, or the egress policy to deny the MCP server's endpoint, and revoke the tokens your agents hold for it. This stops communication instantly for new calls; queued and in-flight work needs the kill switch.</w:t>
      </w:r>
    </w:p>
    <w:p>
      <w:pPr>
        <w:spacing w:after="140" w:line="276"/>
      </w:pPr>
      <w:r>
        <w:rPr>
          <w:rFonts w:ascii="Aptos" w:cs="Aptos" w:eastAsia="Aptos" w:hAnsi="Aptos"/>
        </w:rPr>
        <w:t xml:space="preserve">Emergency migration: dependent agents that relied on the blocked agent will start failing. Deploy a fallback, whether that is a replacement agent, a degraded-mode handler that returns structured errors, or a circuit breaker that routes requests to a human queue.</w:t>
      </w:r>
    </w:p>
    <w:p>
      <w:pPr>
        <w:spacing w:after="140" w:line="276"/>
      </w:pPr>
      <w:r>
        <w:rPr>
          <w:rFonts w:ascii="Aptos" w:cs="Aptos" w:eastAsia="Aptos" w:hAnsi="Aptos"/>
        </w:rPr>
        <w:t xml:space="preserve">Preserve, then purge: an agent being removed for security reasons is an incident until someone decides it is not, and the memory stores, tool logs and audit trail it leaves behind are the evidence. Before any deletion, snapshot them to an evidence location your incident response team controls, record the chain of custody, and confirm with legal whether a hold applies. Only then run the content purge, without waiting for the contract retention window, and record what was preserved, what was purged and under whose authority. Audit trail metadata (trace IDs, timestamps, compliance decisions) is preserved in any case.</w:t>
      </w:r>
    </w:p>
    <w:p>
      <w:pPr>
        <w:pStyle w:val="Heading2"/>
        <w:keepNext/>
        <w:spacing w:after="120" w:before="260"/>
      </w:pPr>
      <w:r>
        <w:rPr>
          <w:rFonts w:ascii="Aptos" w:cs="Aptos" w:eastAsia="Aptos" w:hAnsi="Aptos"/>
        </w:rPr>
        <w:t xml:space="preserve">What Done Looks Like</w:t>
      </w:r>
    </w:p>
    <w:p>
      <w:pPr>
        <w:spacing w:after="140" w:line="276"/>
      </w:pPr>
      <w:r>
        <w:rPr>
          <w:rFonts w:ascii="Aptos" w:cs="Aptos" w:eastAsia="Aptos" w:hAnsi="Aptos"/>
        </w:rPr>
        <w:t xml:space="preserve">Every agent has a decommission runbook that follows the checklist above. No agent is removed by simply deleting its namespace. Dependencies are migrated before credentials are revoked. The retention purge runs before infrastructure cleanup. Audit trail metadata is archived. After decommission, the agent's SPIFFE ID, Agent Card and manifest, OAuth client and all credentials are irrecoverable, and the renewal job for its manifest no longer runs. The dependency graph is updated to reflect the removal.</w:t>
      </w:r>
    </w:p>
    <w:p>
      <w:pPr>
        <w:pStyle w:val="Heading1"/>
        <w:keepNext/>
        <w:spacing w:after="160" w:before="360"/>
      </w:pPr>
      <w:r>
        <w:rPr>
          <w:rFonts w:ascii="Aptos" w:cs="Aptos" w:eastAsia="Aptos" w:hAnsi="Aptos"/>
        </w:rPr>
        <w:t xml:space="preserve">Control Cross-Reference</w:t>
      </w:r>
    </w:p>
    <w:p>
      <w:pPr>
        <w:spacing w:after="140" w:line="276"/>
      </w:pPr>
      <w:r>
        <w:rPr>
          <w:rFonts w:ascii="Aptos" w:cs="Aptos" w:eastAsia="Aptos" w:hAnsi="Aptos"/>
        </w:rPr>
        <w:t xml:space="preserve">The table maps each Baseline Control referenced in this document to the section where its operating guidance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4"/>
        <w:gridCol w:w="3488"/>
        <w:gridCol w:w="3488"/>
      </w:tblGrid>
      <w:tr>
        <w:trPr>
          <w:tblHeader/>
        </w:trPr>
        <w:tc>
          <w:tcPr>
            <w:tcW w:type="dxa" w:w="2384"/>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3488"/>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3488"/>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Section</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AI-4 Prompt / system policy versioning</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4. Prompt Template Versioning and Deprecation</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AI-6 RAG data access governance</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3. RAG Index Freshness and Stale Data, 5. Agent Memory and Context Hygiene</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AI-7 Embedding integrity</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P3</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3. RAG Index Freshness and Stale Data</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AI-11 Behavioral drift detection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P3</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1. Behavioral Drift Detection</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A2A-2 Signed Agent Cards</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2. Shadow AI Discovery, 6. Change Control, 7. Decommission</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A2A-12 Revocation propagation</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6. Change Control, 7. Decommission</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A2A-13 Budget enforcement</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P4 (before production for calls or delegation that could run without limit)</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5. Agent Memory and Context Hygiene</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IT-4 Resource quotas + autoscaling limits</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P1</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5. Agent Memory and Context Hygiene</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IT-6 Observability stack</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P2</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1. Behavioral Drift Detection</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IT-10 Change management</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P3</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4. Prompt Template Versioning and Deprecation, 6. Change Control</w:t>
            </w:r>
          </w:p>
        </w:tc>
      </w:tr>
      <w:tr>
        <w:trPr>
          <w:cantSplit/>
        </w:trPr>
        <w:tc>
          <w:tcPr>
            <w:tcW w:type="dxa" w:w="2384"/>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SEC-8 Access reviews</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P3</w:t>
            </w:r>
          </w:p>
        </w:tc>
        <w:tc>
          <w:tcPr>
            <w:tcW w:type="dxa" w:w="3488"/>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2. Shadow AI Discovery, 7. Decommission</w:t>
            </w:r>
          </w:p>
        </w:tc>
      </w:tr>
      <w:tr>
        <w:trPr>
          <w:cantSplit/>
        </w:trPr>
        <w:tc>
          <w:tcPr>
            <w:tcW w:type="dxa" w:w="2384"/>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SEC-9 Third-party agent risk</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P4</w:t>
            </w:r>
          </w:p>
        </w:tc>
        <w:tc>
          <w:tcPr>
            <w:tcW w:type="dxa" w:w="3488"/>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2. Shadow AI Discovery, 7. Decommission</w:t>
            </w:r>
          </w:p>
        </w:tc>
      </w:tr>
    </w:tbl>
    <w:p>
      <w:pPr>
        <w:spacing w:after="160"/>
      </w:pPr>
    </w:p>
    <w:p>
      <w:pPr>
        <w:pStyle w:val="Heading1"/>
        <w:keepNext/>
        <w:spacing w:after="160" w:before="360"/>
      </w:pPr>
      <w:r>
        <w:rPr>
          <w:rFonts w:ascii="Aptos" w:cs="Aptos" w:eastAsia="Aptos" w:hAnsi="Aptos"/>
        </w:rPr>
        <w:t xml:space="preserve">Companion Documents</w:t>
      </w:r>
    </w:p>
    <w:p>
      <w:pPr>
        <w:spacing w:after="140" w:line="276"/>
      </w:pPr>
      <w:r>
        <w:rPr>
          <w:rFonts w:ascii="Aptos" w:cs="Aptos" w:eastAsia="Aptos" w:hAnsi="Aptos"/>
        </w:rPr>
        <w:t xml:space="preserve">This document is part of the AISI Model document set.</w:t>
      </w:r>
    </w:p>
    <w:p>
      <w:pPr>
        <w:pStyle w:val="ListParagraph"/>
        <w:numPr>
          <w:ilvl w:val="0"/>
          <w:numId w:val="2"/>
        </w:numPr>
        <w:spacing w:after="90" w:line="264"/>
      </w:pPr>
      <w:r>
        <w:rPr>
          <w:rFonts w:ascii="Aptos" w:cs="Aptos" w:eastAsia="Aptos" w:hAnsi="Aptos"/>
        </w:rPr>
        <w:t xml:space="preserve">AISI Model: the seven-layer reference architecture, the two boundaries and the six-phase trust sequence.</w:t>
      </w:r>
    </w:p>
    <w:p>
      <w:pPr>
        <w:pStyle w:val="ListParagraph"/>
        <w:numPr>
          <w:ilvl w:val="0"/>
          <w:numId w:val="2"/>
        </w:numPr>
        <w:spacing w:after="90" w:line="264"/>
      </w:pPr>
      <w:r>
        <w:rPr>
          <w:rFonts w:ascii="Aptos" w:cs="Aptos" w:eastAsia="Aptos" w:hAnsi="Aptos"/>
        </w:rPr>
        <w:t xml:space="preserve">Quick Start Guide: the core model and the Baseline Controls condensed into one starting point.</w:t>
      </w:r>
    </w:p>
    <w:p>
      <w:pPr>
        <w:pStyle w:val="ListParagraph"/>
        <w:numPr>
          <w:ilvl w:val="0"/>
          <w:numId w:val="2"/>
        </w:numPr>
        <w:spacing w:after="90" w:line="264"/>
      </w:pPr>
      <w:r>
        <w:rPr>
          <w:rFonts w:ascii="Aptos" w:cs="Aptos" w:eastAsia="Aptos" w:hAnsi="Aptos"/>
        </w:rPr>
        <w:t xml:space="preserve">A2A Protocol Specification: Agent Cards, MCP server metadata, behavioral contracts, authentication and authorization, and the four oversight levels.</w:t>
      </w:r>
    </w:p>
    <w:p>
      <w:pPr>
        <w:pStyle w:val="ListParagraph"/>
        <w:numPr>
          <w:ilvl w:val="0"/>
          <w:numId w:val="2"/>
        </w:numPr>
        <w:spacing w:after="90" w:line="264"/>
      </w:pPr>
      <w:r>
        <w:rPr>
          <w:rFonts w:ascii="Aptos" w:cs="Aptos" w:eastAsia="Aptos" w:hAnsi="Aptos"/>
        </w:rPr>
        <w:t xml:space="preserve">Baseline Controls: the 45 controls, grouped by the team that builds them, with priorities and the conditions that move a control up.</w:t>
      </w:r>
    </w:p>
    <w:p>
      <w:pPr>
        <w:pStyle w:val="ListParagraph"/>
        <w:numPr>
          <w:ilvl w:val="0"/>
          <w:numId w:val="2"/>
        </w:numPr>
        <w:spacing w:after="90" w:line="264"/>
      </w:pPr>
      <w:r>
        <w:rPr>
          <w:rFonts w:ascii="Aptos" w:cs="Aptos" w:eastAsia="Aptos" w:hAnsi="Aptos"/>
        </w:rPr>
        <w:t xml:space="preserve">Security Reference: OWASP LLM and Agentic Top 10 and MITRE ATLAS mappings, threat vectors against the trust sequence, the audit trail, the agent supply chain and governance framework mapping.</w:t>
      </w:r>
    </w:p>
    <w:p>
      <w:pPr>
        <w:pStyle w:val="ListParagraph"/>
        <w:numPr>
          <w:ilvl w:val="0"/>
          <w:numId w:val="2"/>
        </w:numPr>
        <w:spacing w:after="90" w:line="264"/>
      </w:pPr>
      <w:r>
        <w:rPr>
          <w:rFonts w:ascii="Aptos" w:cs="Aptos" w:eastAsia="Aptos" w:hAnsi="Aptos"/>
        </w:rPr>
        <w:t xml:space="preserve">Implementation Guide: how to build the controls on production infrastructure: namespaces, workload identity (SPIFFE and SPIRE), mTLS, OAuth 2.1 for MCP, network policy, OPA, OpenTelemetry, Vault and the container supply chain.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475"/>
        <w:sz w:val="17"/>
        <w:szCs w:val="17"/>
      </w:rPr>
      <w:t xml:space="preserve">AISI Model v2.0  |  Apache 2.0  |  github.com/jasonmichaelrobbins-arch/AISI_Model  |  page </w:t>
    </w:r>
    <w:r>
      <w:rPr>
        <w:rFonts w:ascii="Aptos" w:cs="Aptos" w:eastAsia="Aptos" w:hAnsi="Aptos"/>
        <w:color w:val="5B6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B6475"/>
        <w:sz w:val="17"/>
        <w:szCs w:val="17"/>
      </w:rPr>
      <w:t xml:space="preserve">AISI Model v2.0 Operations and Lifecycle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ptos" w:cs="Aptos" w:eastAsia="Aptos" w:hAnsi="Aptos"/>
      <w:b/>
      <w:bCs/>
      <w:color w:val="1F2A44"/>
      <w:sz w:val="30"/>
      <w:szCs w:val="30"/>
    </w:rPr>
  </w:style>
  <w:style w:type="paragraph" w:styleId="Heading2">
    <w:name w:val="Heading 2"/>
    <w:basedOn w:val="Normal"/>
    <w:next w:val="Normal"/>
    <w:qFormat/>
    <w:pPr>
      <w:spacing w:after="120" w:before="260"/>
      <w:outlineLvl w:val="1"/>
    </w:pPr>
    <w:rPr>
      <w:rFonts w:ascii="Aptos" w:cs="Aptos" w:eastAsia="Aptos" w:hAnsi="Aptos"/>
      <w:b/>
      <w:bCs/>
      <w:color w:val="1F2A44"/>
      <w:sz w:val="24"/>
      <w:szCs w:val="24"/>
    </w:rPr>
  </w:style>
  <w:style w:type="paragraph" w:styleId="Heading3">
    <w:name w:val="Heading 3"/>
    <w:basedOn w:val="Normal"/>
    <w:next w:val="Normal"/>
    <w:qFormat/>
    <w:pPr>
      <w:spacing w:after="80" w:before="200"/>
      <w:outlineLvl w:val="2"/>
    </w:pPr>
    <w:rPr>
      <w:rFonts w:ascii="Aptos" w:cs="Aptos" w:eastAsia="Aptos" w:hAnsi="Aptos"/>
      <w:b/>
      <w:bCs/>
      <w:color w:val="1F2A4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 Model v2.0 Operations and Lifecycle Reference</dc:title>
  <dc:creator>Jason Robbins</dc:creator>
  <cp:lastModifiedBy>Un-named</cp:lastModifiedBy>
  <cp:revision>1</cp:revision>
  <dcterms:created xsi:type="dcterms:W3CDTF">2026-10-15T00:33:14.616Z</dcterms:created>
  <dcterms:modified xsi:type="dcterms:W3CDTF">2026-10-15T00:33:14.617Z</dcterms:modified>
</cp:coreProperties>
</file>

<file path=docProps/custom.xml><?xml version="1.0" encoding="utf-8"?>
<Properties xmlns="http://schemas.openxmlformats.org/officeDocument/2006/custom-properties" xmlns:vt="http://schemas.openxmlformats.org/officeDocument/2006/docPropsVTypes"/>
</file>