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ptos" w:cs="Aptos" w:eastAsia="Aptos" w:hAnsi="Aptos"/>
          <w:b/>
          <w:bCs/>
          <w:sz w:val="36"/>
          <w:szCs w:val="36"/>
        </w:rPr>
        <w:t xml:space="preserve">AISI Model v1.0</w:t>
      </w:r>
    </w:p>
    <w:p>
      <w:pPr>
        <w:spacing w:after="80"/>
        <w:jc w:val="center"/>
      </w:pPr>
      <w:r>
        <w:rPr>
          <w:rFonts w:ascii="Aptos" w:cs="Aptos" w:eastAsia="Aptos" w:hAnsi="Aptos"/>
          <w:b/>
          <w:bCs/>
          <w:sz w:val="36"/>
          <w:szCs w:val="36"/>
        </w:rPr>
        <w:t xml:space="preserve">A2A Protocol Specification</w:t>
      </w:r>
    </w:p>
    <w:p>
      <w:pPr>
        <w:spacing w:after="360"/>
        <w:jc w:val="center"/>
      </w:pPr>
      <w:r>
        <w:rPr>
          <w:rFonts w:ascii="Aptos" w:cs="Aptos" w:eastAsia="Aptos" w:hAnsi="Aptos"/>
          <w:i/>
          <w:iCs/>
          <w:sz w:val="22"/>
          <w:szCs w:val="22"/>
        </w:rPr>
        <w:t xml:space="preserve">Agent Cards • Behavioral Contracts • Authentication &amp; Authorization • Graduated Oversight</w:t>
      </w:r>
    </w:p>
    <w:p>
      <w:pPr>
        <w:pStyle w:val="Heading1"/>
        <w:spacing w:after="240" w:before="360"/>
      </w:pPr>
      <w:r>
        <w:rPr>
          <w:rFonts w:ascii="Aptos" w:cs="Aptos" w:eastAsia="Aptos" w:hAnsi="Aptos"/>
          <w:b/>
          <w:bCs/>
          <w:sz w:val="32"/>
          <w:szCs w:val="32"/>
        </w:rPr>
        <w:t xml:space="preserve">How to Use This Document</w:t>
      </w:r>
    </w:p>
    <w:p>
      <w:pPr>
        <w:spacing w:after="200"/>
      </w:pPr>
      <w:r>
        <w:rPr>
          <w:rFonts w:ascii="Aptos" w:cs="Aptos" w:eastAsia="Aptos" w:hAnsi="Aptos"/>
          <w:sz w:val="24"/>
          <w:szCs w:val="24"/>
        </w:rPr>
        <w:t xml:space="preserve">This is the implementer’s companion to the AISI Model v1.0 reference architecture. The main document defines the seven-layer runtime model, the A2A negotiation sequence, and the governance framework. This document provides the detailed specifications that implementers need to build compliant A2A systems: the exact fields required in Agent Cards, the terms that comprise Behavioral Contracts, the authentication and authorization mechanisms that secure agent-to-agent communication, and the graduated oversight model that governs human involvement.</w:t>
      </w:r>
    </w:p>
    <w:p>
      <w:pPr>
        <w:spacing w:after="200"/>
      </w:pPr>
      <w:r>
        <w:rPr>
          <w:rFonts w:ascii="Aptos" w:cs="Aptos" w:eastAsia="Aptos" w:hAnsi="Aptos"/>
          <w:sz w:val="24"/>
          <w:szCs w:val="24"/>
        </w:rPr>
        <w:t xml:space="preserve">The Baseline Controls companion document defines the minimum required controls for production deployments. The Security Reference maps threats to AISI layers and covers agent supply chain risks.</w:t>
      </w:r>
    </w:p>
    <w:p>
      <w:pPr>
        <w:pStyle w:val="Heading2"/>
        <w:spacing w:after="180" w:before="240"/>
      </w:pPr>
      <w:r>
        <w:rPr>
          <w:rFonts w:ascii="Aptos" w:cs="Aptos" w:eastAsia="Aptos" w:hAnsi="Aptos"/>
          <w:b/>
          <w:bCs/>
          <w:sz w:val="28"/>
          <w:szCs w:val="28"/>
        </w:rPr>
        <w:t xml:space="preserve">Before You Start</w:t>
      </w:r>
    </w:p>
    <w:p>
      <w:pPr>
        <w:spacing w:after="200"/>
      </w:pPr>
      <w:r>
        <w:rPr>
          <w:rFonts w:ascii="Aptos" w:cs="Aptos" w:eastAsia="Aptos" w:hAnsi="Aptos"/>
          <w:sz w:val="24"/>
          <w:szCs w:val="24"/>
        </w:rPr>
        <w:t xml:space="preserve">The AISI Model is a reference architecture, not a standard, a regulation, or a compliance requirement. It does not carry the force of law or certification authority. No organization is obligated to adopt it, and adopting it does not guarantee compliance with any regulatory framework.</w:t>
      </w:r>
    </w:p>
    <w:p>
      <w:pPr>
        <w:spacing w:after="200"/>
      </w:pPr>
      <w:r>
        <w:rPr>
          <w:rFonts w:ascii="Aptos" w:cs="Aptos" w:eastAsia="Aptos" w:hAnsi="Aptos"/>
          <w:sz w:val="24"/>
          <w:szCs w:val="24"/>
        </w:rPr>
        <w:t xml:space="preserve">Everything in this document set is a starting point. The layer definitions, protocol structures, control baselines, configs, code examples, and operational procedures are reference material that your organization must adapt to its own infrastructure, threat model, risk posture, and regulatory obligations. Nothing here is production-ready out of the box. Test in a non-production environment, adjust for your context, and validate before promoting to production.</w:t>
      </w:r>
    </w:p>
    <w:p>
      <w:pPr>
        <w:spacing w:after="200"/>
      </w:pPr>
      <w:r>
        <w:rPr>
          <w:rFonts w:ascii="Aptos" w:cs="Aptos" w:eastAsia="Aptos" w:hAnsi="Aptos"/>
          <w:sz w:val="24"/>
          <w:szCs w:val="24"/>
        </w:rPr>
        <w:t xml:space="preserve">Where these documents reference regulatory frameworks (EU AI Act, NIST AI RMF, ISO/IEC 42001), those references are informational mappings, not authoritative interpretations. Consult qualified legal, security, and compliance professionals for decisions specific to your environment.</w:t>
      </w:r>
    </w:p>
    <w:p>
      <w:pPr>
        <w:pStyle w:val="Heading1"/>
        <w:spacing w:after="240" w:before="360"/>
      </w:pPr>
      <w:r>
        <w:rPr>
          <w:rFonts w:ascii="Aptos" w:cs="Aptos" w:eastAsia="Aptos" w:hAnsi="Aptos"/>
          <w:b/>
          <w:bCs/>
          <w:sz w:val="32"/>
          <w:szCs w:val="32"/>
        </w:rPr>
        <w:t xml:space="preserve">Agent Card Specification</w:t>
      </w:r>
    </w:p>
    <w:p>
      <w:pPr>
        <w:spacing w:after="200"/>
      </w:pPr>
      <w:r>
        <w:rPr>
          <w:rFonts w:ascii="Aptos" w:cs="Aptos" w:eastAsia="Aptos" w:hAnsi="Aptos"/>
          <w:sz w:val="24"/>
          <w:szCs w:val="24"/>
        </w:rPr>
        <w:t xml:space="preserve">Agent Cards are the discovery and trust artifact that makes the A2A negotiation sequence work. Every agent published at Layer 7 must have one. The card is a structured, machine-readable document that describes what the agent can do, how to reach it, and how to verify its identity. It is cryptographically signed and bound to the agent’s runtime identity.</w:t>
      </w:r>
    </w:p>
    <w:p>
      <w:pPr>
        <w:spacing w:after="200"/>
      </w:pPr>
      <w:r>
        <w:rPr>
          <w:rFonts w:ascii="Aptos" w:cs="Aptos" w:eastAsia="Aptos" w:hAnsi="Aptos"/>
          <w:sz w:val="24"/>
          <w:szCs w:val="24"/>
        </w:rPr>
        <w:t xml:space="preserve">Agent Cards serve three functions in the A2A handshake: discovery (what can this agent do?), identity binding (is this really the agent it claims to be?), and contract bootstrapping (what are its default terms?).</w:t>
      </w:r>
    </w:p>
    <w:p>
      <w:pPr>
        <w:pStyle w:val="Heading2"/>
        <w:spacing w:after="180" w:before="240"/>
      </w:pPr>
      <w:r>
        <w:rPr>
          <w:rFonts w:ascii="Aptos" w:cs="Aptos" w:eastAsia="Aptos" w:hAnsi="Aptos"/>
          <w:b/>
          <w:bCs/>
          <w:sz w:val="28"/>
          <w:szCs w:val="28"/>
        </w:rPr>
        <w:t xml:space="preserve">Required Fields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agent_id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Globally unique identifier for this agent instance. Must be stable across restarts but unique across deployments.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spiffe_id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URI</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SPIFFE ID or equivalent runtime identity binding. Ties the card to the specific workload identity attested by the infrastructure (e.g., spiffe://domain/agent/name).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display_name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Human-readable name shown in registries and audit logs.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version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semver</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Agent version following semantic versioning. Major version changes signal breaking contract changes.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capabilities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array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List of actions this agent can perform, expressed as structured capability descriptors (not free text).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supported_protocols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array</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Protocols this agent speaks: MCP, A2A, REST, gRPC, etc. Each entry includes protocol version.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endpoint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URI</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The network endpoint where this agent accepts requests. Must use TLS.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signature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string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Cryptographic signature over all card fields (excluding the signature itself). Algorithm must be specified in the card metadata.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issued_at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ISO 8601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Timestamp when this card was signed. Used with expires_at to enforce freshness.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expires_at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ISO 8601</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Expiration timestamp. Cards should be short-lived (hours, not days). Expired cards must be rejected.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issuer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Identity of the signing authority. Must be traceable to a trusted root.</w:t>
            </w:r>
          </w:p>
        </w:tc>
      </w:tr>
    </w:tbl>
    <w:p>
      <w:pPr>
        <w:spacing w:after="200"/>
      </w:pPr>
    </w:p>
    <w:p>
      <w:pPr>
        <w:pStyle w:val="Heading2"/>
        <w:spacing w:after="180" w:before="240"/>
      </w:pPr>
      <w:r>
        <w:rPr>
          <w:rFonts w:ascii="Aptos" w:cs="Aptos" w:eastAsia="Aptos" w:hAnsi="Aptos"/>
          <w:b/>
          <w:bCs/>
          <w:sz w:val="28"/>
          <w:szCs w:val="28"/>
        </w:rPr>
        <w:t xml:space="preserve">Optional Fields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description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Human-readable description of what this agent does and when to use it.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owner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string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Team, organization, or entity responsible for this agent.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tools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array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List of tools this agent can invoke, including tool names, schemas, and permission requirements.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default_contract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object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Pre-published behavioral contract terms. Requesters can accept these defaults or propose alternatives during negotiation.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max_chain_depth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integer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Maximum number of downstream hops this agent supports. Prevents unbounded delegation chains.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oversight_minimum</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enum</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Lowest oversight level this agent will accept (autonomous | monitored | gated | manual). Callers cannot request a level below this.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tags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array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Metadata tags for registry search, filtering, and categorization.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dependencies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array</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Other agents or external services this agent requires to function. Supports supply chain auditing.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model_fingerprint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string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Identifier for the model version currently powering this agent. For self-hosted models, use the registry digest or semantic version. For Model-as-a-Service providers, use the provider's pinned model identifier (not an alias that may silently update). If the underlying model changes without a corresponding card re-sign, drift detection systems should treat this as a re-validation event. See the Operations and Lifecycle Reference, Section 1 for drift detection thresholds.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pricing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object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Advertised cost structure for calling this agent. Fields: "model" (per_request, per_token, or per_session), "currency" (ISO 4217 code), and "rate" (numeric unit cost). For per_token pricing, rate is the cost per 1,000 tokens (input + output combined). For per_request, rate is the cost per invocation. For per_session, rate is the cost per session regardless of turn count. This field is informational during discovery; the binding cost terms are negotiated in the behavioral contract's budget_limit field. Agents whose costs vary by operation may omit this field and negotiate costs entirely at the contract level.</w:t>
            </w:r>
          </w:p>
        </w:tc>
      </w:tr>
    </w:tbl>
    <w:p>
      <w:pPr>
        <w:spacing w:after="200"/>
      </w:pPr>
    </w:p>
    <w:p>
      <w:pPr>
        <w:pStyle w:val="Heading2"/>
        <w:spacing w:after="180" w:before="240"/>
      </w:pPr>
      <w:r>
        <w:rPr>
          <w:rFonts w:ascii="Aptos" w:cs="Aptos" w:eastAsia="Aptos" w:hAnsi="Aptos"/>
          <w:b/>
          <w:bCs/>
          <w:sz w:val="28"/>
          <w:szCs w:val="28"/>
        </w:rPr>
        <w:t xml:space="preserve">Card Lifecycle Rules</w:t>
      </w:r>
    </w:p>
    <w:p>
      <w:pPr>
        <w:pStyle w:val="ListParagraph"/>
        <w:numPr>
          <w:ilvl w:val="0"/>
          <w:numId w:val="2"/>
        </w:numPr>
        <w:spacing w:after="120"/>
      </w:pPr>
      <w:r>
        <w:rPr>
          <w:rFonts w:ascii="Aptos" w:cs="Aptos" w:eastAsia="Aptos" w:hAnsi="Aptos"/>
          <w:sz w:val="24"/>
          <w:szCs w:val="24"/>
        </w:rPr>
        <w:t xml:space="preserve">Cards must be re-signed on every deployment, configuration change, or capability update.</w:t>
      </w:r>
    </w:p>
    <w:p>
      <w:pPr>
        <w:pStyle w:val="ListParagraph"/>
        <w:numPr>
          <w:ilvl w:val="0"/>
          <w:numId w:val="2"/>
        </w:numPr>
        <w:spacing w:after="120"/>
      </w:pPr>
      <w:r>
        <w:rPr>
          <w:rFonts w:ascii="Aptos" w:cs="Aptos" w:eastAsia="Aptos" w:hAnsi="Aptos"/>
          <w:sz w:val="24"/>
          <w:szCs w:val="24"/>
        </w:rPr>
        <w:t xml:space="preserve">A card with an expired timestamp must be rejected unconditionally, even if the signature is valid.</w:t>
      </w:r>
    </w:p>
    <w:p>
      <w:pPr>
        <w:pStyle w:val="ListParagraph"/>
        <w:numPr>
          <w:ilvl w:val="0"/>
          <w:numId w:val="2"/>
        </w:numPr>
        <w:spacing w:after="120"/>
      </w:pPr>
      <w:r>
        <w:rPr>
          <w:rFonts w:ascii="Aptos" w:cs="Aptos" w:eastAsia="Aptos" w:hAnsi="Aptos"/>
          <w:sz w:val="24"/>
          <w:szCs w:val="24"/>
        </w:rPr>
        <w:t xml:space="preserve">A card whose signature doesn’t match the presenting agent’s runtime identity (e.g., SPIFFE ID mismatch) must be rejected.</w:t>
      </w:r>
    </w:p>
    <w:p>
      <w:pPr>
        <w:pStyle w:val="ListParagraph"/>
        <w:numPr>
          <w:ilvl w:val="0"/>
          <w:numId w:val="2"/>
        </w:numPr>
        <w:spacing w:after="120"/>
      </w:pPr>
      <w:r>
        <w:rPr>
          <w:rFonts w:ascii="Aptos" w:cs="Aptos" w:eastAsia="Aptos" w:hAnsi="Aptos"/>
          <w:sz w:val="24"/>
          <w:szCs w:val="24"/>
        </w:rPr>
        <w:t xml:space="preserve">Receivers should cache cards for no longer than the expires_at window. Stale cards must trigger re-fetch.</w:t>
      </w:r>
    </w:p>
    <w:p>
      <w:pPr>
        <w:pStyle w:val="ListParagraph"/>
        <w:numPr>
          <w:ilvl w:val="0"/>
          <w:numId w:val="2"/>
        </w:numPr>
        <w:spacing w:after="120"/>
      </w:pPr>
      <w:r>
        <w:rPr>
          <w:rFonts w:ascii="Aptos" w:cs="Aptos" w:eastAsia="Aptos" w:hAnsi="Aptos"/>
          <w:sz w:val="24"/>
          <w:szCs w:val="24"/>
        </w:rPr>
        <w:t xml:space="preserve">Card revocation should propagate through the same channels as credential revocation (see Authentication section).</w:t>
      </w:r>
    </w:p>
    <w:p>
      <w:pPr>
        <w:pStyle w:val="ListParagraph"/>
        <w:numPr>
          <w:ilvl w:val="0"/>
          <w:numId w:val="2"/>
        </w:numPr>
        <w:spacing w:after="120"/>
      </w:pPr>
      <w:r>
        <w:rPr>
          <w:rFonts w:ascii="Aptos" w:cs="Aptos" w:eastAsia="Aptos" w:hAnsi="Aptos"/>
          <w:sz w:val="24"/>
          <w:szCs w:val="24"/>
        </w:rPr>
        <w:t xml:space="preserve">Version changes to required fields must increment the card’s major version number.</w:t>
      </w:r>
    </w:p>
    <w:p>
      <w:pPr>
        <w:pStyle w:val="Heading2"/>
        <w:spacing w:after="180" w:before="240"/>
      </w:pPr>
      <w:r>
        <w:rPr>
          <w:rFonts w:ascii="Aptos" w:cs="Aptos" w:eastAsia="Aptos" w:hAnsi="Aptos"/>
          <w:b/>
          <w:bCs/>
          <w:sz w:val="28"/>
          <w:szCs w:val="28"/>
        </w:rPr>
        <w:t xml:space="preserve">Tiered Discovery</w:t>
      </w:r>
    </w:p>
    <w:p>
      <w:pPr>
        <w:spacing w:after="200"/>
      </w:pPr>
      <w:r>
        <w:rPr>
          <w:rFonts w:ascii="Aptos" w:cs="Aptos" w:eastAsia="Aptos" w:hAnsi="Aptos"/>
          <w:sz w:val="24"/>
          <w:szCs w:val="24"/>
        </w:rPr>
        <w:t xml:space="preserve">Publishing a full Agent Card to unauthenticated callers exposes internal capabilities, tool lists, and behavioral defaults to anyone who can reach the discovery endpoint. This is unnecessary and, for some deployments, a security concern. Tiered discovery addresses this by splitting the card into two levels of detail.</w:t>
      </w:r>
    </w:p>
    <w:p>
      <w:pPr>
        <w:spacing w:after="200"/>
      </w:pPr>
      <w:r>
        <w:rPr>
          <w:rFonts w:ascii="Aptos" w:cs="Aptos" w:eastAsia="Aptos" w:hAnsi="Aptos"/>
          <w:sz w:val="24"/>
          <w:szCs w:val="24"/>
        </w:rPr>
        <w:t xml:space="preserve">The public card is returned at the unauthenticated discovery endpoint. It contains only the fields needed for initial contact: agent_id, name, version, endpoint, supported_protocols, and the authentication methods the caller must use to proceed. It does not include capabilities, tools, default_contract, or other fields that describe what the agent can do.</w:t>
      </w:r>
    </w:p>
    <w:p>
      <w:pPr>
        <w:spacing w:after="200"/>
      </w:pPr>
      <w:r>
        <w:rPr>
          <w:rFonts w:ascii="Aptos" w:cs="Aptos" w:eastAsia="Aptos" w:hAnsi="Aptos"/>
          <w:sz w:val="24"/>
          <w:szCs w:val="24"/>
        </w:rPr>
        <w:t xml:space="preserve">The full capability card is returned only after the caller completes identity verification (Phase 2 of the negotiation sequence). Once mTLS is established or an equivalent identity proof is presented, the target agent returns the complete Agent Card with all required and optional fields. This is the card that feeds into contract negotiation at Phase 4.</w:t>
      </w:r>
    </w:p>
    <w:p>
      <w:pPr>
        <w:spacing w:after="200"/>
      </w:pPr>
      <w:r>
        <w:rPr>
          <w:rFonts w:ascii="Aptos" w:cs="Aptos" w:eastAsia="Aptos" w:hAnsi="Aptos"/>
          <w:sz w:val="24"/>
          <w:szCs w:val="24"/>
        </w:rPr>
        <w:t xml:space="preserve">Both tiers are signed. The public card is signed with the same key as the full card so that callers can verify continuity when they upgrade from public to full. The public card must include a discovery_tier field set to "public" and the full card must set it to "full" so that consumers can distinguish between the two programmatically.</w:t>
      </w:r>
    </w:p>
    <w:p>
      <w:pPr>
        <w:spacing w:after="200"/>
      </w:pPr>
      <w:r>
        <w:rPr>
          <w:rFonts w:ascii="Aptos" w:cs="Aptos" w:eastAsia="Aptos" w:hAnsi="Aptos"/>
          <w:sz w:val="24"/>
          <w:szCs w:val="24"/>
        </w:rPr>
        <w:t xml:space="preserve">Tiered discovery is optional. Agents that operate in closed meshes where all callers are pre-authenticated may continue to serve a single full card at the discovery endpoint. Agents exposed to federated or external callers should implement tiered discovery to limit information leakage.</w:t>
      </w:r>
    </w:p>
    <w:p>
      <w:pPr>
        <w:pStyle w:val="Heading1"/>
        <w:spacing w:after="240" w:before="360"/>
      </w:pPr>
      <w:r>
        <w:rPr>
          <w:rFonts w:ascii="Aptos" w:cs="Aptos" w:eastAsia="Aptos" w:hAnsi="Aptos"/>
          <w:b/>
          <w:bCs/>
          <w:sz w:val="32"/>
          <w:szCs w:val="32"/>
        </w:rPr>
        <w:t xml:space="preserve">Behavioral Contract Specification</w:t>
      </w:r>
    </w:p>
    <w:p>
      <w:pPr>
        <w:spacing w:after="200"/>
      </w:pPr>
      <w:r>
        <w:rPr>
          <w:rFonts w:ascii="Aptos" w:cs="Aptos" w:eastAsia="Aptos" w:hAnsi="Aptos"/>
          <w:sz w:val="24"/>
          <w:szCs w:val="24"/>
        </w:rPr>
        <w:t xml:space="preserve">Behavioral contracts are the agreement negotiated at Phase 4 of the A2A sequence. They define what both sides commit to for the duration of a session or request. Contracts are machine-readable, schema-validated, and logged against the trace ID for auditability.</w:t>
      </w:r>
    </w:p>
    <w:p>
      <w:pPr>
        <w:spacing w:after="200"/>
      </w:pPr>
      <w:r>
        <w:rPr>
          <w:rFonts w:ascii="Aptos" w:cs="Aptos" w:eastAsia="Aptos" w:hAnsi="Aptos"/>
          <w:sz w:val="24"/>
          <w:szCs w:val="24"/>
        </w:rPr>
        <w:t xml:space="preserve">Contracts can be negotiated per-request or established as session-level defaults. The target agent’s default_contract (published in its Agent Card) serves as the starting point. The requester can accept the defaults, propose modifications, or reject if terms are incompatible.</w:t>
      </w:r>
    </w:p>
    <w:p>
      <w:pPr>
        <w:pStyle w:val="Heading2"/>
        <w:spacing w:after="180" w:before="240"/>
      </w:pPr>
      <w:r>
        <w:rPr>
          <w:rFonts w:ascii="Aptos" w:cs="Aptos" w:eastAsia="Aptos" w:hAnsi="Aptos"/>
          <w:b/>
          <w:bCs/>
          <w:sz w:val="28"/>
          <w:szCs w:val="28"/>
        </w:rPr>
        <w:t xml:space="preserve">Required Terms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Term</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scope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What the requesting agent is asking for. Must be specific enough for the receiving agent to evaluate against its policy engine.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permitted_actions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array</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Explicit list of actions the receiving agent is authorized to perform. Actions outside this list must be rejected.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max_latency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duration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Response time bound (e.g., 30s, 5m). The receiving agent must respond or report failure within this window.</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error_handling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enum</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Failure mode: retry (with backoff), fallback (to degraded response), or abort (return error immediately).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oversight_level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enum</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The agreed oversight level: autonomous, monitored, gated, or manual. Set during Phase 5 and locked into the contract.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trace_id</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string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The correlation ID for end-to-end tracing. Initiated by the first system in the chain and propagated through every hop.</w:t>
            </w:r>
          </w:p>
        </w:tc>
      </w:tr>
    </w:tbl>
    <w:p>
      <w:pPr>
        <w:spacing w:after="200"/>
      </w:pPr>
    </w:p>
    <w:p>
      <w:pPr>
        <w:pStyle w:val="Heading2"/>
        <w:spacing w:after="180" w:before="240"/>
      </w:pPr>
      <w:r>
        <w:rPr>
          <w:rFonts w:ascii="Aptos" w:cs="Aptos" w:eastAsia="Aptos" w:hAnsi="Aptos"/>
          <w:b/>
          <w:bCs/>
          <w:sz w:val="28"/>
          <w:szCs w:val="28"/>
        </w:rPr>
        <w:t xml:space="preserve">Optional Terms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Term</w:t>
            </w:r>
          </w:p>
        </w:tc>
        <w:tc>
          <w:tcPr>
            <w:tcW w:type="dxa" w:w="14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max_tokens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integer</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Budget cap for the interaction. Prevents unbounded resource consumption (maps to OWASP LLM10).</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data_classification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enum</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Sensitivity level of data that will cross the boundary (public, internal, confidential, restricted). Drives DLP controls. The receiving agent’s Layer 7 must validate that outbound response data does not exceed this classification. See the Data Classification Enforcement section below for layer-by-layer enforcement requirements.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retention_policy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duration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How long the receiving agent may retain request/response data, including persistent memory, conversation logs, cached embeddings, and any derived artifacts. Must comply with the requester’s data governance requirements. See the Retention Policy Enforcement section below for purge mechanics and auditability requirements.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callback_url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URI</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Endpoint for asynchronous result delivery. Must support the same authentication requirements as the primary channel.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escalation_path</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object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Who to notify if the contract is violated: team, channel, alert severity. Drives incident response.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sub_delegation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object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Whether the receiving agent may call other agents. If permitted, specifies: allowed agents, max additional chain depth, scope constraints, and whether the same contract terms must propagate.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context_ttl</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enum</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Specifies what the receiving agent must do with its short-term context buffer when the interaction or session ends. Values: "immediate" (wipe context on session close, the receiving agent must not retain any in-memory state from this interaction), "session" (context may persist for the duration of the session but must be wiped on session close), or "retain" (context may be persisted subject to the retention_policy duration). If omitted, defaults to "retain." Use "immediate" for sensitive interactions where cross-client data leakage is a concern.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budget_limit</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object</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Maximum cost the requester is willing to incur for this contract. Fields: "currency" (ISO 4217 code), "max_amount" (numeric ceiling), and "scope" (per_request or per_session). When the receiving agent estimates that completing the current request or session will exceed max_amount, it must stop execution and return a budget_exceeded error rather than silently accumulating cost. If the agent delegates to downstream agents (sub-delegation), the downstream costs count against the originating contract's budget. The receiving agent is responsible for tracking cumulative cost and enforcing the ceiling. If omitted, no budget constraint applies.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cost_reporting</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boolean</w:t>
            </w:r>
          </w:p>
        </w:tc>
        <w:tc>
          <w:tcPr>
            <w:tcW w:type="dxa" w:w="5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When true, the receiving agent must include a cost_incurred field in every response, reporting the actual cost of that request or the cumulative session cost to date. This allows the requester to track spend against the budget_limit without relying solely on the receiver's enforcement. If omitted, defaults to false. Agents that charge variable costs (tool calls with different pricing, sub-delegation to paid services) should support cost_reporting to give callers visibility into cost accumulation.</w:t>
            </w:r>
          </w:p>
        </w:tc>
      </w:tr>
    </w:tbl>
    <w:p>
      <w:pPr>
        <w:spacing w:after="200"/>
      </w:pPr>
    </w:p>
    <w:p>
      <w:pPr>
        <w:pStyle w:val="Heading2"/>
        <w:spacing w:after="180" w:before="240"/>
      </w:pPr>
      <w:r>
        <w:rPr>
          <w:rFonts w:ascii="Aptos" w:cs="Aptos" w:eastAsia="Aptos" w:hAnsi="Aptos"/>
          <w:b/>
          <w:bCs/>
          <w:sz w:val="28"/>
          <w:szCs w:val="28"/>
        </w:rPr>
        <w:t xml:space="preserve">Enforcement and Violation Handling</w:t>
      </w:r>
    </w:p>
    <w:p>
      <w:pPr>
        <w:spacing w:after="200"/>
      </w:pPr>
      <w:r>
        <w:rPr>
          <w:rFonts w:ascii="Aptos" w:cs="Aptos" w:eastAsia="Aptos" w:hAnsi="Aptos"/>
          <w:sz w:val="24"/>
          <w:szCs w:val="24"/>
        </w:rPr>
        <w:t xml:space="preserve">Contract compliance is verified at Layer 6 on the receiving side before the response is returned to the caller. Violations include: exceeding permitted_actions scope, missing the max_latency window, unauthorized sub-delegation, or returning data above the agreed classification level.</w:t>
      </w:r>
    </w:p>
    <w:p>
      <w:pPr>
        <w:pStyle w:val="ListParagraph"/>
        <w:numPr>
          <w:ilvl w:val="0"/>
          <w:numId w:val="3"/>
        </w:numPr>
        <w:spacing w:after="120"/>
      </w:pPr>
      <w:r>
        <w:rPr>
          <w:rFonts w:ascii="Aptos" w:cs="Aptos" w:eastAsia="Aptos" w:hAnsi="Aptos"/>
          <w:sz w:val="24"/>
          <w:szCs w:val="24"/>
        </w:rPr>
        <w:t xml:space="preserve">All violations must be logged against the trace ID with the specific term violated, the actual value, and the contracted value.</w:t>
      </w:r>
    </w:p>
    <w:p>
      <w:pPr>
        <w:pStyle w:val="ListParagraph"/>
        <w:numPr>
          <w:ilvl w:val="0"/>
          <w:numId w:val="3"/>
        </w:numPr>
        <w:spacing w:after="120"/>
      </w:pPr>
      <w:r>
        <w:rPr>
          <w:rFonts w:ascii="Aptos" w:cs="Aptos" w:eastAsia="Aptos" w:hAnsi="Aptos"/>
          <w:sz w:val="24"/>
          <w:szCs w:val="24"/>
        </w:rPr>
        <w:t xml:space="preserve">Violations may trigger circuit breakers at Layer 6 (see Baseline Controls A2A-7).</w:t>
      </w:r>
    </w:p>
    <w:p>
      <w:pPr>
        <w:pStyle w:val="ListParagraph"/>
        <w:numPr>
          <w:ilvl w:val="0"/>
          <w:numId w:val="3"/>
        </w:numPr>
        <w:spacing w:after="120"/>
      </w:pPr>
      <w:r>
        <w:rPr>
          <w:rFonts w:ascii="Aptos" w:cs="Aptos" w:eastAsia="Aptos" w:hAnsi="Aptos"/>
          <w:sz w:val="24"/>
          <w:szCs w:val="24"/>
        </w:rPr>
        <w:t xml:space="preserve">Repeated violations from the same agent should trigger trust re-evaluation and may result in automatic de-trust.</w:t>
      </w:r>
    </w:p>
    <w:p>
      <w:pPr>
        <w:pStyle w:val="ListParagraph"/>
        <w:numPr>
          <w:ilvl w:val="0"/>
          <w:numId w:val="3"/>
        </w:numPr>
        <w:spacing w:after="120"/>
      </w:pPr>
      <w:r>
        <w:rPr>
          <w:rFonts w:ascii="Aptos" w:cs="Aptos" w:eastAsia="Aptos" w:hAnsi="Aptos"/>
          <w:sz w:val="24"/>
          <w:szCs w:val="24"/>
        </w:rPr>
        <w:t xml:space="preserve">The Baseline Controls document defines enforcement specifics under control A2A-10.</w:t>
      </w:r>
    </w:p>
    <w:p>
      <w:pPr>
        <w:pStyle w:val="Heading2"/>
        <w:spacing w:after="180" w:before="240"/>
      </w:pPr>
      <w:r>
        <w:rPr>
          <w:rFonts w:ascii="Aptos" w:cs="Aptos" w:eastAsia="Aptos" w:hAnsi="Aptos"/>
          <w:b/>
          <w:bCs/>
          <w:sz w:val="28"/>
          <w:szCs w:val="28"/>
        </w:rPr>
        <w:t xml:space="preserve">Session Scope and Contract Reuse</w:t>
      </w:r>
    </w:p>
    <w:p>
      <w:pPr>
        <w:spacing w:after="200"/>
      </w:pPr>
      <w:r>
        <w:rPr>
          <w:rFonts w:ascii="Aptos" w:cs="Aptos" w:eastAsia="Aptos" w:hAnsi="Aptos"/>
          <w:sz w:val="24"/>
          <w:szCs w:val="24"/>
        </w:rPr>
        <w:t xml:space="preserve">The negotiation sequence described above (Identity, Trust, Contract, Oversight) does not need to execute in full on every request. For high-frequency interactions where the same two agents exchange many requests under stable conditions, performing a full handshake per request introduces unnecessary latency.</w:t>
      </w:r>
    </w:p>
    <w:p>
      <w:pPr>
        <w:spacing w:after="200"/>
      </w:pPr>
      <w:r>
        <w:rPr>
          <w:rFonts w:ascii="Aptos" w:cs="Aptos" w:eastAsia="Aptos" w:hAnsi="Aptos"/>
          <w:sz w:val="24"/>
          <w:szCs w:val="24"/>
        </w:rPr>
        <w:t xml:space="preserve">A compliant implementation may negotiate the behavioral contract once and establish a session that subsequent requests reuse. The session is bound to the original contract terms, the authenticated identities of both agents, and the oversight level selected during the initial negotiation. Subsequent requests within the session skip contract negotiation and oversight selection, but must still carry the trace ID and are still subject to contract compliance verification at Layer 6.</w:t>
      </w:r>
    </w:p>
    <w:p>
      <w:pPr>
        <w:spacing w:after="200"/>
      </w:pPr>
      <w:r>
        <w:rPr>
          <w:rFonts w:ascii="Aptos" w:cs="Aptos" w:eastAsia="Aptos" w:hAnsi="Aptos"/>
          <w:sz w:val="24"/>
          <w:szCs w:val="24"/>
        </w:rPr>
        <w:t xml:space="preserve">Sessions must be re-negotiated when any of the following conditions occur: the data classification of the request changes from what was originally contracted, the requesting agent's scope expands beyond the original permitted_actions, the session token expires (sessions should have a maximum lifetime, typically matching the SVID TTL), either agent's credentials are rotated or revoked, or the receiving agent's Layer 6 detects behavioral drift that changes the risk profile of the interaction.</w:t>
      </w:r>
    </w:p>
    <w:p>
      <w:pPr>
        <w:spacing w:after="200"/>
      </w:pPr>
      <w:r>
        <w:rPr>
          <w:rFonts w:ascii="Aptos" w:cs="Aptos" w:eastAsia="Aptos" w:hAnsi="Aptos"/>
          <w:sz w:val="24"/>
          <w:szCs w:val="24"/>
        </w:rPr>
        <w:t xml:space="preserve">The session token should be a short-lived JWT or equivalent bearer credential that is sender-constrained (bound to the mTLS certificate of the requesting agent per RFC 8705 or DPoP per RFC 9449). The token encodes the contract ID, the agreed oversight level, the permitted scope, and the session expiration. The receiving agent's Layer 6 validates the token on each request and can reject it if conditions have changed. Policy decisions from the OPA engine or equivalent can be cached for the session duration, with cache invalidation triggered by the re-negotiation conditions listed above.</w:t>
      </w:r>
    </w:p>
    <w:p>
      <w:pPr>
        <w:spacing w:after="200"/>
      </w:pPr>
      <w:r>
        <w:rPr>
          <w:rFonts w:ascii="Aptos" w:cs="Aptos" w:eastAsia="Aptos" w:hAnsi="Aptos"/>
          <w:sz w:val="24"/>
          <w:szCs w:val="24"/>
        </w:rPr>
        <w:t xml:space="preserve">Session-based negotiation is optional. Implementations that perform per-request negotiation are fully compliant. The session pattern is a performance optimization, not a relaxation of security requirements. Every request within a session is still logged, traced, and subject to contract violation detection.</w:t>
      </w:r>
    </w:p>
    <w:p>
      <w:pPr>
        <w:pStyle w:val="Heading2"/>
        <w:spacing w:after="180" w:before="240"/>
      </w:pPr>
      <w:r>
        <w:rPr>
          <w:rFonts w:ascii="Aptos" w:cs="Aptos" w:eastAsia="Aptos" w:hAnsi="Aptos"/>
          <w:b/>
          <w:bCs/>
          <w:sz w:val="28"/>
          <w:szCs w:val="28"/>
        </w:rPr>
        <w:t xml:space="preserve">Data Classification Enforcement</w:t>
      </w:r>
    </w:p>
    <w:p>
      <w:pPr>
        <w:spacing w:after="200"/>
      </w:pPr>
      <w:r>
        <w:rPr>
          <w:rFonts w:ascii="Aptos" w:cs="Aptos" w:eastAsia="Aptos" w:hAnsi="Aptos"/>
          <w:sz w:val="24"/>
          <w:szCs w:val="24"/>
        </w:rPr>
        <w:t xml:space="preserve">The data_classification term in a behavioral contract is only useful if every layer in the receiving agent’s stack enforces it. Setting classification to “internal” in a contract does nothing if the agent’s RAG pipeline can retrieve “restricted” documents and return them in a response. Enforcement must be layered:</w:t>
      </w:r>
    </w:p>
    <w:p>
      <w:pPr>
        <w:pStyle w:val="ListParagraph"/>
        <w:numPr>
          <w:ilvl w:val="0"/>
          <w:numId w:val="3"/>
        </w:numPr>
        <w:spacing w:after="120"/>
      </w:pPr>
      <w:r>
        <w:rPr>
          <w:rFonts w:ascii="Aptos" w:cs="Aptos" w:eastAsia="Aptos" w:hAnsi="Aptos"/>
          <w:b/>
          <w:bCs/>
          <w:sz w:val="24"/>
          <w:szCs w:val="24"/>
        </w:rPr>
        <w:t xml:space="preserve">Layer 7 (Interface).</w:t>
      </w:r>
      <w:r>
        <w:rPr>
          <w:rFonts w:ascii="Aptos" w:cs="Aptos" w:eastAsia="Aptos" w:hAnsi="Aptos"/>
          <w:sz w:val="24"/>
          <w:szCs w:val="24"/>
        </w:rPr>
        <w:t xml:space="preserve"> Scan outbound responses against the contracted classification before returning to the caller. If the response contains data above the agreed level (e.g., PII in a “public” contract), block the response and log a contract violation. This is the last enforcement point before data leaves the system boundary.</w:t>
      </w:r>
    </w:p>
    <w:p>
      <w:pPr>
        <w:pStyle w:val="ListParagraph"/>
        <w:numPr>
          <w:ilvl w:val="0"/>
          <w:numId w:val="3"/>
        </w:numPr>
        <w:spacing w:after="120"/>
      </w:pPr>
      <w:r>
        <w:rPr>
          <w:rFonts w:ascii="Aptos" w:cs="Aptos" w:eastAsia="Aptos" w:hAnsi="Aptos"/>
          <w:b/>
          <w:bCs/>
          <w:sz w:val="24"/>
          <w:szCs w:val="24"/>
        </w:rPr>
        <w:t xml:space="preserve">Layer 6 (Orchestration).</w:t>
      </w:r>
      <w:r>
        <w:rPr>
          <w:rFonts w:ascii="Aptos" w:cs="Aptos" w:eastAsia="Aptos" w:hAnsi="Aptos"/>
          <w:sz w:val="24"/>
          <w:szCs w:val="24"/>
        </w:rPr>
        <w:t xml:space="preserve"> When the orchestration layer delegates to downstream agents (sub-delegation), it must propagate the data_classification constraint. A downstream agent must not receive a less restrictive classification than the original contract specifies. This follows the same monotonically decreasing principle as scope enforcement.</w:t>
      </w:r>
    </w:p>
    <w:p>
      <w:pPr>
        <w:pStyle w:val="ListParagraph"/>
        <w:numPr>
          <w:ilvl w:val="0"/>
          <w:numId w:val="3"/>
        </w:numPr>
        <w:spacing w:after="120"/>
      </w:pPr>
      <w:r>
        <w:rPr>
          <w:rFonts w:ascii="Aptos" w:cs="Aptos" w:eastAsia="Aptos" w:hAnsi="Aptos"/>
          <w:b/>
          <w:bCs/>
          <w:sz w:val="24"/>
          <w:szCs w:val="24"/>
        </w:rPr>
        <w:t xml:space="preserve">Layer 5 (Agent Logic).</w:t>
      </w:r>
      <w:r>
        <w:rPr>
          <w:rFonts w:ascii="Aptos" w:cs="Aptos" w:eastAsia="Aptos" w:hAnsi="Aptos"/>
          <w:sz w:val="24"/>
          <w:szCs w:val="24"/>
        </w:rPr>
        <w:t xml:space="preserve"> If the agent performs PII detection or content redaction as part of its reasoning pipeline, apply it before the model generates its final response. Redaction after generation risks the model leaking sensitive tokens in its reasoning trace even if the final output is scrubbed.</w:t>
      </w:r>
    </w:p>
    <w:p>
      <w:pPr>
        <w:pStyle w:val="ListParagraph"/>
        <w:numPr>
          <w:ilvl w:val="0"/>
          <w:numId w:val="3"/>
        </w:numPr>
        <w:spacing w:after="120"/>
      </w:pPr>
      <w:r>
        <w:rPr>
          <w:rFonts w:ascii="Aptos" w:cs="Aptos" w:eastAsia="Aptos" w:hAnsi="Aptos"/>
          <w:b/>
          <w:bCs/>
          <w:sz w:val="24"/>
          <w:szCs w:val="24"/>
        </w:rPr>
        <w:t xml:space="preserve">Layer 4 (Data).</w:t>
      </w:r>
      <w:r>
        <w:rPr>
          <w:rFonts w:ascii="Aptos" w:cs="Aptos" w:eastAsia="Aptos" w:hAnsi="Aptos"/>
          <w:sz w:val="24"/>
          <w:szCs w:val="24"/>
        </w:rPr>
        <w:t xml:space="preserve"> Tag vector store documents and RAG index entries with their classification at ingest time. When the agent retrieves context for a request governed by a behavioral contract, filter retrieval results to exclude documents above the contracted classification. This prevents the model from ever seeing data it should not reason over for this interaction.</w:t>
      </w:r>
    </w:p>
    <w:p>
      <w:pPr>
        <w:spacing w:after="200"/>
      </w:pPr>
      <w:r>
        <w:rPr>
          <w:rFonts w:ascii="Aptos" w:cs="Aptos" w:eastAsia="Aptos" w:hAnsi="Aptos"/>
          <w:sz w:val="24"/>
          <w:szCs w:val="24"/>
        </w:rPr>
        <w:t xml:space="preserve">Traditional DLP tools inspect HTTP traffic for regex patterns. A2A payloads are structured JSON with embedded model-generated content. Organizations deploying A2A systems should evaluate whether their existing DLP tooling can parse agent response payloads and detect sensitive content within nested fields, or whether agent-native classification (applied at Layers 4 and 5 before the data reaches the wire) is the more effective enforcement point.</w:t>
      </w:r>
    </w:p>
    <w:p>
      <w:pPr>
        <w:pStyle w:val="Heading2"/>
        <w:spacing w:after="180" w:before="240"/>
      </w:pPr>
      <w:r>
        <w:rPr>
          <w:rFonts w:ascii="Aptos" w:cs="Aptos" w:eastAsia="Aptos" w:hAnsi="Aptos"/>
          <w:b/>
          <w:bCs/>
          <w:sz w:val="28"/>
          <w:szCs w:val="28"/>
        </w:rPr>
        <w:t xml:space="preserve">Budget Enforcement</w:t>
      </w:r>
    </w:p>
    <w:p>
      <w:pPr>
        <w:spacing w:after="200"/>
      </w:pPr>
      <w:r>
        <w:rPr>
          <w:rFonts w:ascii="Aptos" w:cs="Aptos" w:eastAsia="Aptos" w:hAnsi="Aptos"/>
          <w:sz w:val="24"/>
          <w:szCs w:val="24"/>
        </w:rPr>
        <w:t xml:space="preserve">When a behavioral contract includes a budget_limit, the receiving agent must track cumulative cost and enforce the ceiling. Cost tracking is the receiving agent's responsibility because only the receiver knows the actual cost of its operations: the model inference cost, tool call fees, and any downstream sub-delegation charges.</w:t>
      </w:r>
    </w:p>
    <w:p>
      <w:pPr>
        <w:spacing w:after="200"/>
      </w:pPr>
      <w:r>
        <w:rPr>
          <w:rFonts w:ascii="Aptos" w:cs="Aptos" w:eastAsia="Aptos" w:hAnsi="Aptos"/>
          <w:sz w:val="24"/>
          <w:szCs w:val="24"/>
        </w:rPr>
        <w:t xml:space="preserve">For per_request budgets, the agent must estimate the cost of completing the request before executing. If the estimate exceeds max_amount, the agent must return a budget_exceeded error without executing the operation. For per_session budgets, the agent must maintain a running total across all requests in the session and halt when the cumulative cost would exceed the ceiling.</w:t>
      </w:r>
    </w:p>
    <w:p>
      <w:pPr>
        <w:spacing w:after="200"/>
      </w:pPr>
      <w:r>
        <w:rPr>
          <w:rFonts w:ascii="Aptos" w:cs="Aptos" w:eastAsia="Aptos" w:hAnsi="Aptos"/>
          <w:sz w:val="24"/>
          <w:szCs w:val="24"/>
        </w:rPr>
        <w:t xml:space="preserve">Sub-delegation complicates budget tracking. When the receiving agent delegates to a downstream agent, that downstream agent's cost counts against the originating contract's budget. If the downstream agent also has a budget_limit in its own contract, the receiving agent must set that limit to no more than the remaining balance of the originating budget minus a reserve for its own completion costs. This follows the same monotonically decreasing principle as scope enforcement: cost authority can only narrow through delegation, never widen.</w:t>
      </w:r>
    </w:p>
    <w:p>
      <w:pPr>
        <w:spacing w:after="200"/>
      </w:pPr>
      <w:r>
        <w:rPr>
          <w:rFonts w:ascii="Aptos" w:cs="Aptos" w:eastAsia="Aptos" w:hAnsi="Aptos"/>
          <w:sz w:val="24"/>
          <w:szCs w:val="24"/>
        </w:rPr>
        <w:t xml:space="preserve">When cost_reporting is enabled, every response must include a cost_incurred field with the actual cost of that request (for per_request scope) or the cumulative session cost (for per_session scope). The currency must match the budget_limit currency. This gives the requester independent visibility into spend accumulation without relying solely on the receiver's enforcement to catch overruns.</w:t>
      </w:r>
    </w:p>
    <w:p>
      <w:pPr>
        <w:spacing w:after="200"/>
      </w:pPr>
      <w:r>
        <w:rPr>
          <w:rFonts w:ascii="Aptos" w:cs="Aptos" w:eastAsia="Aptos" w:hAnsi="Aptos"/>
          <w:sz w:val="24"/>
          <w:szCs w:val="24"/>
        </w:rPr>
        <w:t xml:space="preserve">Budget enforcement is optional. Agents operating within a single organization where cost is managed through infrastructure billing (cloud accounts, team chargeback) may not need contract-level budgets. The primary use case is cross-team or cross-organization meshes where the requester needs to cap spend on a per-interaction basis. See the Operations and Lifecycle Reference, Section 5 for operational cost monitoring and alerting patterns.</w:t>
      </w:r>
    </w:p>
    <w:p>
      <w:pPr>
        <w:pStyle w:val="Heading2"/>
        <w:spacing w:after="180" w:before="240"/>
      </w:pPr>
      <w:r>
        <w:rPr>
          <w:rFonts w:ascii="Aptos" w:cs="Aptos" w:eastAsia="Aptos" w:hAnsi="Aptos"/>
          <w:b/>
          <w:bCs/>
          <w:sz w:val="28"/>
          <w:szCs w:val="28"/>
        </w:rPr>
        <w:t xml:space="preserve">Retention Policy Enforcement</w:t>
      </w:r>
    </w:p>
    <w:p>
      <w:pPr>
        <w:spacing w:after="200"/>
      </w:pPr>
      <w:r>
        <w:rPr>
          <w:rFonts w:ascii="Aptos" w:cs="Aptos" w:eastAsia="Aptos" w:hAnsi="Aptos"/>
          <w:sz w:val="24"/>
          <w:szCs w:val="24"/>
        </w:rPr>
        <w:t xml:space="preserve">The retention_policy term specifies how long the receiving agent may retain data from the interaction. Enforcement is more complex than a simple TTL because agents can store data in multiple locations across the stack. A compliant implementation must enforce retention across all of them:</w:t>
      </w:r>
    </w:p>
    <w:p>
      <w:pPr>
        <w:pStyle w:val="ListParagraph"/>
        <w:numPr>
          <w:ilvl w:val="0"/>
          <w:numId w:val="3"/>
        </w:numPr>
        <w:spacing w:after="120"/>
      </w:pPr>
      <w:r>
        <w:rPr>
          <w:rFonts w:ascii="Aptos" w:cs="Aptos" w:eastAsia="Aptos" w:hAnsi="Aptos"/>
          <w:b/>
          <w:bCs/>
          <w:sz w:val="24"/>
          <w:szCs w:val="24"/>
        </w:rPr>
        <w:t xml:space="preserve">Request/response logs.</w:t>
      </w:r>
      <w:r>
        <w:rPr>
          <w:rFonts w:ascii="Aptos" w:cs="Aptos" w:eastAsia="Aptos" w:hAnsi="Aptos"/>
          <w:sz w:val="24"/>
          <w:szCs w:val="24"/>
        </w:rPr>
        <w:t xml:space="preserve"> The raw request and response payloads logged at Layer 7. These are the most obvious retention target. Set a TTL on the log store and enforce automated deletion. Retain only the trace metadata (trace ID, timestamps, contract compliance result) after the retention window expires.</w:t>
      </w:r>
    </w:p>
    <w:p>
      <w:pPr>
        <w:pStyle w:val="ListParagraph"/>
        <w:numPr>
          <w:ilvl w:val="0"/>
          <w:numId w:val="3"/>
        </w:numPr>
        <w:spacing w:after="120"/>
      </w:pPr>
      <w:r>
        <w:rPr>
          <w:rFonts w:ascii="Aptos" w:cs="Aptos" w:eastAsia="Aptos" w:hAnsi="Aptos"/>
          <w:b/>
          <w:bCs/>
          <w:sz w:val="24"/>
          <w:szCs w:val="24"/>
        </w:rPr>
        <w:t xml:space="preserve">Persistent agent memory.</w:t>
      </w:r>
      <w:r>
        <w:rPr>
          <w:rFonts w:ascii="Aptos" w:cs="Aptos" w:eastAsia="Aptos" w:hAnsi="Aptos"/>
          <w:sz w:val="24"/>
          <w:szCs w:val="24"/>
        </w:rPr>
        <w:t xml:space="preserve"> If the agent stores interaction context in a memory system (Layer 5) for use in future requests, that memory is subject to the retention_policy. When the retention window expires, the agent must purge or anonymize the stored context. This includes conversation history, extracted facts, and any user-specific state derived from the interaction.</w:t>
      </w:r>
    </w:p>
    <w:p>
      <w:pPr>
        <w:pStyle w:val="ListParagraph"/>
        <w:numPr>
          <w:ilvl w:val="0"/>
          <w:numId w:val="3"/>
        </w:numPr>
        <w:spacing w:after="120"/>
      </w:pPr>
      <w:r>
        <w:rPr>
          <w:rFonts w:ascii="Aptos" w:cs="Aptos" w:eastAsia="Aptos" w:hAnsi="Aptos"/>
          <w:b/>
          <w:bCs/>
          <w:sz w:val="24"/>
          <w:szCs w:val="24"/>
        </w:rPr>
        <w:t xml:space="preserve">Cached embeddings and derived data.</w:t>
      </w:r>
      <w:r>
        <w:rPr>
          <w:rFonts w:ascii="Aptos" w:cs="Aptos" w:eastAsia="Aptos" w:hAnsi="Aptos"/>
          <w:sz w:val="24"/>
          <w:szCs w:val="24"/>
        </w:rPr>
        <w:t xml:space="preserve"> If the agent indexes request data into a vector store or knowledge graph (Layer 4) for retrieval-augmented generation, those embeddings are derived artifacts subject to retention. Deleting the source record but leaving its embeddings in the index is not compliant, because the embeddings can be used to reconstruct or approximate the original content.</w:t>
      </w:r>
    </w:p>
    <w:p>
      <w:pPr>
        <w:pStyle w:val="ListParagraph"/>
        <w:numPr>
          <w:ilvl w:val="0"/>
          <w:numId w:val="3"/>
        </w:numPr>
        <w:spacing w:after="120"/>
      </w:pPr>
      <w:r>
        <w:rPr>
          <w:rFonts w:ascii="Aptos" w:cs="Aptos" w:eastAsia="Aptos" w:hAnsi="Aptos"/>
          <w:b/>
          <w:bCs/>
          <w:sz w:val="24"/>
          <w:szCs w:val="24"/>
        </w:rPr>
        <w:t xml:space="preserve">Audit trail preservation.</w:t>
      </w:r>
      <w:r>
        <w:rPr>
          <w:rFonts w:ascii="Aptos" w:cs="Aptos" w:eastAsia="Aptos" w:hAnsi="Aptos"/>
          <w:sz w:val="24"/>
          <w:szCs w:val="24"/>
        </w:rPr>
        <w:t xml:space="preserve"> Retention policy governs the data payload, not the audit record. Trace metadata, contract compliance results, and oversight decisions must be retained independently of the data retention window to support incident investigation and compliance evidence (see Baseline Controls SEC-10). The purge mechanism should delete the content but preserve the trace skeleton.</w:t>
      </w:r>
    </w:p>
    <w:p>
      <w:pPr>
        <w:spacing w:after="200"/>
      </w:pPr>
      <w:r>
        <w:rPr>
          <w:rFonts w:ascii="Aptos" w:cs="Aptos" w:eastAsia="Aptos" w:hAnsi="Aptos"/>
          <w:sz w:val="24"/>
          <w:szCs w:val="24"/>
        </w:rPr>
        <w:t xml:space="preserve">Retention compliance should be auditable. The receiving agent should be able to demonstrate, on request, that data from a specific interaction (identified by trace ID) has been purged from all storage locations after the retention window expired. Under the EU AI Act, multiple articles establish retention obligations: Article 12 requires high-risk systems to have logging capability, Article 19 requires GPAI providers to retain automatically generated logs under their control, and Article 26(6) requires deployers to retain logs for at least six months where the logs are under the deployer's control. Any of these may set a floor that overrides shorter retention_policy values in behavioral contracts. Which article applies depends on whether your organization is acting as provider or deployer.</w:t>
      </w:r>
    </w:p>
    <w:p>
      <w:pPr>
        <w:spacing w:after="200"/>
      </w:pPr>
      <w:r>
        <w:rPr>
          <w:rFonts w:ascii="Aptos" w:cs="Aptos" w:eastAsia="Aptos" w:hAnsi="Aptos"/>
          <w:sz w:val="24"/>
          <w:szCs w:val="24"/>
        </w:rPr>
        <w:t xml:space="preserve">For the operational mechanics of enforcing retention across agent storage layers (contract-aware purge, conflicting retention policies, PII scrubbing, and audit trail preservation), see the Operations and Lifecycle Reference, Section 5: Agent Memory and Context Hygiene.</w:t>
      </w:r>
    </w:p>
    <w:p>
      <w:pPr>
        <w:pStyle w:val="Heading1"/>
        <w:spacing w:after="240" w:before="360"/>
      </w:pPr>
      <w:r>
        <w:rPr>
          <w:rFonts w:ascii="Aptos" w:cs="Aptos" w:eastAsia="Aptos" w:hAnsi="Aptos"/>
          <w:b/>
          <w:bCs/>
          <w:sz w:val="32"/>
          <w:szCs w:val="32"/>
        </w:rPr>
        <w:t xml:space="preserve">Authentication and Authorization</w:t>
      </w:r>
    </w:p>
    <w:p>
      <w:pPr>
        <w:spacing w:after="200"/>
      </w:pPr>
      <w:r>
        <w:rPr>
          <w:rFonts w:ascii="Aptos" w:cs="Aptos" w:eastAsia="Aptos" w:hAnsi="Aptos"/>
          <w:sz w:val="24"/>
          <w:szCs w:val="24"/>
        </w:rPr>
        <w:t xml:space="preserve">The AISI Model places authentication at Layer 7 (credential presentation during the handshake) and authorization at Layer 6 (permission enforcement and scope management). This separation ensures that identity is established before any policy evaluation begins, and that authorization decisions are made by the orchestration layer independently of the requesting agent’s claims.</w:t>
      </w:r>
    </w:p>
    <w:p>
      <w:pPr>
        <w:pStyle w:val="Heading2"/>
        <w:spacing w:after="180" w:before="240"/>
      </w:pPr>
      <w:r>
        <w:rPr>
          <w:rFonts w:ascii="Aptos" w:cs="Aptos" w:eastAsia="Aptos" w:hAnsi="Aptos"/>
          <w:b/>
          <w:bCs/>
          <w:sz w:val="28"/>
          <w:szCs w:val="28"/>
        </w:rPr>
        <w:t xml:space="preserve">Authentication (Layer 7)</w:t>
      </w:r>
    </w:p>
    <w:p>
      <w:pPr>
        <w:spacing w:after="200"/>
      </w:pPr>
      <w:r>
        <w:rPr>
          <w:rFonts w:ascii="Aptos" w:cs="Aptos" w:eastAsia="Aptos" w:hAnsi="Aptos"/>
          <w:sz w:val="24"/>
          <w:szCs w:val="24"/>
        </w:rPr>
        <w:t xml:space="preserve">Every agent must present a cryptographically verifiable identity before any request is processed. The identity mechanism must satisfy three requirements: it must be bound to the agent’s runtime environment, it must be independently verifiable by the receiving agent, and it must support chain-of-custody verification across multi-agent hops.</w:t>
      </w:r>
    </w:p>
    <w:p>
      <w:pPr>
        <w:pStyle w:val="Heading3"/>
        <w:spacing w:after="120" w:before="200"/>
      </w:pPr>
      <w:r>
        <w:rPr>
          <w:rFonts w:ascii="Aptos" w:cs="Aptos" w:eastAsia="Aptos" w:hAnsi="Aptos"/>
          <w:b/>
          <w:bCs/>
          <w:sz w:val="26"/>
          <w:szCs w:val="26"/>
        </w:rPr>
        <w:t xml:space="preserve">Baseline: SPIFFE/SPIRE Workload Identity</w:t>
      </w:r>
    </w:p>
    <w:p>
      <w:pPr>
        <w:spacing w:after="200"/>
      </w:pPr>
      <w:r>
        <w:rPr>
          <w:rFonts w:ascii="Aptos" w:cs="Aptos" w:eastAsia="Aptos" w:hAnsi="Aptos"/>
          <w:sz w:val="24"/>
          <w:szCs w:val="24"/>
        </w:rPr>
        <w:t xml:space="preserve">The baseline recommendation is workload identity via SPIFFE/SPIRE. Each running agent instance gets a SPIFFE ID (e.g., spiffe://org.example/agent/research-v2) issued and attested by a SPIRE server. SPIRE performs node and workload attestation to bind the identity to the specific process, container, and host—not just a credential that could be copied elsewhere.</w:t>
      </w:r>
    </w:p>
    <w:p>
      <w:pPr>
        <w:pStyle w:val="Heading3"/>
        <w:spacing w:after="120" w:before="200"/>
      </w:pPr>
      <w:r>
        <w:rPr>
          <w:rFonts w:ascii="Aptos" w:cs="Aptos" w:eastAsia="Aptos" w:hAnsi="Aptos"/>
          <w:b/>
          <w:bCs/>
          <w:sz w:val="26"/>
          <w:szCs w:val="26"/>
        </w:rPr>
        <w:t xml:space="preserve">Transport: Mutual TLS</w:t>
      </w:r>
    </w:p>
    <w:p>
      <w:pPr>
        <w:spacing w:after="200"/>
      </w:pPr>
      <w:r>
        <w:rPr>
          <w:rFonts w:ascii="Aptos" w:cs="Aptos" w:eastAsia="Aptos" w:hAnsi="Aptos"/>
          <w:sz w:val="24"/>
          <w:szCs w:val="24"/>
        </w:rPr>
        <w:t xml:space="preserve">All A2A channels must use mutual TLS (mTLS) so both sides are verified, not just the initiator. The TLS certificates are the short-lived SVIDs (SPIFFE Verifiable Identity Documents) issued by SPIRE. These can be X.509 certificates for transport-layer authentication or JWTs for application-layer claims. Short-lived SVIDs (minutes to hours, not days) support ephemeral agents that spin up for a single task and are destroyed.</w:t>
      </w:r>
    </w:p>
    <w:p>
      <w:pPr>
        <w:pStyle w:val="Heading3"/>
        <w:spacing w:after="120" w:before="200"/>
      </w:pPr>
      <w:r>
        <w:rPr>
          <w:rFonts w:ascii="Aptos" w:cs="Aptos" w:eastAsia="Aptos" w:hAnsi="Aptos"/>
          <w:b/>
          <w:bCs/>
          <w:sz w:val="26"/>
          <w:szCs w:val="26"/>
        </w:rPr>
        <w:t xml:space="preserve">Identity Chain Verification</w:t>
      </w:r>
    </w:p>
    <w:p>
      <w:pPr>
        <w:spacing w:after="200"/>
      </w:pPr>
      <w:r>
        <w:rPr>
          <w:rFonts w:ascii="Aptos" w:cs="Aptos" w:eastAsia="Aptos" w:hAnsi="Aptos"/>
          <w:sz w:val="24"/>
          <w:szCs w:val="24"/>
        </w:rPr>
        <w:t xml:space="preserve">At every hop in a multi-agent chain, Layer 6 must validate the full identity chain back to the originating agent and the human or system that authorized the initial request. This means the receiving agent doesn’t just verify who is calling it directly—it verifies the entire delegation path. If any link in the chain has been revoked or cannot be verified, the request is rejected.</w:t>
      </w:r>
    </w:p>
    <w:p>
      <w:pPr>
        <w:pStyle w:val="Heading2"/>
        <w:spacing w:after="180" w:before="240"/>
      </w:pPr>
      <w:r>
        <w:rPr>
          <w:rFonts w:ascii="Aptos" w:cs="Aptos" w:eastAsia="Aptos" w:hAnsi="Aptos"/>
          <w:b/>
          <w:bCs/>
          <w:sz w:val="28"/>
          <w:szCs w:val="28"/>
        </w:rPr>
        <w:t xml:space="preserve">Authorization (Layer 6)</w:t>
      </w:r>
    </w:p>
    <w:p>
      <w:pPr>
        <w:pStyle w:val="Heading3"/>
        <w:spacing w:after="120" w:before="200"/>
      </w:pPr>
      <w:r>
        <w:rPr>
          <w:rFonts w:ascii="Aptos" w:cs="Aptos" w:eastAsia="Aptos" w:hAnsi="Aptos"/>
          <w:b/>
          <w:bCs/>
          <w:sz w:val="26"/>
          <w:szCs w:val="26"/>
        </w:rPr>
        <w:t xml:space="preserve">Sender-Constrained Tokens</w:t>
      </w:r>
    </w:p>
    <w:p>
      <w:pPr>
        <w:spacing w:after="200"/>
      </w:pPr>
      <w:r>
        <w:rPr>
          <w:rFonts w:ascii="Aptos" w:cs="Aptos" w:eastAsia="Aptos" w:hAnsi="Aptos"/>
          <w:sz w:val="24"/>
          <w:szCs w:val="24"/>
        </w:rPr>
        <w:t xml:space="preserve">OAuth tokens must be sender-constrained using one of two mechanisms: mTLS certificate binding (RFC 8705), which binds the token to the client’s TLS certificate, or DPoP proof-of-possession (RFC 9449), which binds the token to a key pair held by the client. Bearer tokens alone are insufficient for A2A because a stolen token can be replayed by any party. Sender-constraining ensures that even if a token is intercepted, it cannot be used from a different agent.</w:t>
      </w:r>
    </w:p>
    <w:p>
      <w:pPr>
        <w:pStyle w:val="Heading3"/>
        <w:spacing w:after="120" w:before="200"/>
      </w:pPr>
      <w:r>
        <w:rPr>
          <w:rFonts w:ascii="Aptos" w:cs="Aptos" w:eastAsia="Aptos" w:hAnsi="Aptos"/>
          <w:b/>
          <w:bCs/>
          <w:sz w:val="26"/>
          <w:szCs w:val="26"/>
        </w:rPr>
        <w:t xml:space="preserve">Scope Enforcement</w:t>
      </w:r>
    </w:p>
    <w:p>
      <w:pPr>
        <w:spacing w:after="200"/>
      </w:pPr>
      <w:r>
        <w:rPr>
          <w:rFonts w:ascii="Aptos" w:cs="Aptos" w:eastAsia="Aptos" w:hAnsi="Aptos"/>
          <w:sz w:val="24"/>
          <w:szCs w:val="24"/>
        </w:rPr>
        <w:t xml:space="preserve">Authorization scopes are explicitly passed and constrained at each hop. The core principle is monotonically decreasing authority: an agent cannot grant more authority than it was given. Layer 6 evaluates permissions per-request against the behavioral contract and the originating context. If the requesting agent asks for permissions broader than its own authorization, the request is rejected.</w:t>
      </w:r>
    </w:p>
    <w:p>
      <w:pPr>
        <w:pStyle w:val="Heading3"/>
        <w:spacing w:after="120" w:before="200"/>
      </w:pPr>
      <w:r>
        <w:rPr>
          <w:rFonts w:ascii="Aptos" w:cs="Aptos" w:eastAsia="Aptos" w:hAnsi="Aptos"/>
          <w:b/>
          <w:bCs/>
          <w:sz w:val="26"/>
          <w:szCs w:val="26"/>
        </w:rPr>
        <w:t xml:space="preserve">Replay Protection</w:t>
      </w:r>
    </w:p>
    <w:p>
      <w:pPr>
        <w:spacing w:after="200"/>
      </w:pPr>
      <w:r>
        <w:rPr>
          <w:rFonts w:ascii="Aptos" w:cs="Aptos" w:eastAsia="Aptos" w:hAnsi="Aptos"/>
          <w:sz w:val="24"/>
          <w:szCs w:val="24"/>
        </w:rPr>
        <w:t xml:space="preserve">Every request carries a nonce and a unique request identifier (jti). The receiving agent’s Layer 6 enforces duplicate rejection—any previously-seen request identifier is refused. This prevents replay attacks where a valid request is captured and re-submitted.</w:t>
      </w:r>
    </w:p>
    <w:p>
      <w:pPr>
        <w:pStyle w:val="Heading3"/>
        <w:spacing w:after="120" w:before="200"/>
      </w:pPr>
      <w:r>
        <w:rPr>
          <w:rFonts w:ascii="Aptos" w:cs="Aptos" w:eastAsia="Aptos" w:hAnsi="Aptos"/>
          <w:b/>
          <w:bCs/>
          <w:sz w:val="26"/>
          <w:szCs w:val="26"/>
        </w:rPr>
        <w:t xml:space="preserve">Credential Lifecycle</w:t>
      </w:r>
    </w:p>
    <w:p>
      <w:pPr>
        <w:spacing w:after="200"/>
      </w:pPr>
      <w:r>
        <w:rPr>
          <w:rFonts w:ascii="Aptos" w:cs="Aptos" w:eastAsia="Aptos" w:hAnsi="Aptos"/>
          <w:sz w:val="24"/>
          <w:szCs w:val="24"/>
        </w:rPr>
        <w:t xml:space="preserve">Credentials must be short-lived: minutes, not hours. Explicit revocation propagation must be supported so that in-flight agent chains can be halted if trust is revoked mid-execution. Layer 6 checks revocation status at each governance checkpoint, not just at the initial handshake. The Baseline Controls document specifies this under A2A-12.</w:t>
      </w:r>
    </w:p>
    <w:p>
      <w:pPr>
        <w:pStyle w:val="Heading3"/>
        <w:spacing w:after="120" w:before="200"/>
      </w:pPr>
      <w:r>
        <w:rPr>
          <w:rFonts w:ascii="Aptos" w:cs="Aptos" w:eastAsia="Aptos" w:hAnsi="Aptos"/>
          <w:b/>
          <w:bCs/>
          <w:sz w:val="26"/>
          <w:szCs w:val="26"/>
        </w:rPr>
        <w:t xml:space="preserve">Agent Card Identity Binding</w:t>
      </w:r>
    </w:p>
    <w:p>
      <w:pPr>
        <w:spacing w:after="200"/>
      </w:pPr>
      <w:r>
        <w:rPr>
          <w:rFonts w:ascii="Aptos" w:cs="Aptos" w:eastAsia="Aptos" w:hAnsi="Aptos"/>
          <w:sz w:val="24"/>
          <w:szCs w:val="24"/>
        </w:rPr>
        <w:t xml:space="preserve">Agent Cards must be cryptographically signed and bound to the agent’s runtime identity (such as a SPIFFE ID) with a short expiration. This prevents a valid Agent Card from being detached from its legitimate agent and attached to an impersonator. The signature covers all card fields and must be verified against the presenting agent’s current identity—not just against any valid key.</w:t>
      </w:r>
    </w:p>
    <w:p>
      <w:pPr>
        <w:pStyle w:val="Heading1"/>
        <w:spacing w:after="240" w:before="360"/>
      </w:pPr>
      <w:r>
        <w:rPr>
          <w:rFonts w:ascii="Aptos" w:cs="Aptos" w:eastAsia="Aptos" w:hAnsi="Aptos"/>
          <w:b/>
          <w:bCs/>
          <w:sz w:val="32"/>
          <w:szCs w:val="32"/>
        </w:rPr>
        <w:t xml:space="preserve">Graduated Oversight</w:t>
      </w:r>
    </w:p>
    <w:p>
      <w:pPr>
        <w:spacing w:after="200"/>
      </w:pPr>
      <w:r>
        <w:rPr>
          <w:rFonts w:ascii="Aptos" w:cs="Aptos" w:eastAsia="Aptos" w:hAnsi="Aptos"/>
          <w:sz w:val="24"/>
          <w:szCs w:val="24"/>
        </w:rPr>
        <w:t xml:space="preserve">Not every A2A interaction needs the same level of human involvement. At scale, putting a human in every loop is infeasible. Layer 6 selects from four oversight levels based on the risk profile of each request. The selection happens at Phase 5 of the negotiation sequence, after trust verification and contract negotiation.</w:t>
      </w:r>
    </w:p>
    <w:p>
      <w:pPr>
        <w:pStyle w:val="Heading2"/>
        <w:spacing w:after="180" w:before="240"/>
      </w:pPr>
      <w:r>
        <w:rPr>
          <w:rFonts w:ascii="Aptos" w:cs="Aptos" w:eastAsia="Aptos" w:hAnsi="Aptos"/>
          <w:b/>
          <w:bCs/>
          <w:sz w:val="28"/>
          <w:szCs w:val="28"/>
        </w:rPr>
        <w:t xml:space="preserve">Oversight Levels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3600"/>
        <w:gridCol w:w="3260"/>
      </w:tblGrid>
      <w:tr>
        <w:tc>
          <w:tcPr>
            <w:tcW w:type="dxa" w:w="15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Level</w:t>
            </w:r>
          </w:p>
        </w:tc>
        <w:tc>
          <w:tcPr>
            <w:tcW w:type="dxa" w:w="10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Risk</w:t>
            </w:r>
          </w:p>
        </w:tc>
        <w:tc>
          <w:tcPr>
            <w:tcW w:type="dxa" w:w="360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Behavior</w:t>
            </w:r>
          </w:p>
        </w:tc>
        <w:tc>
          <w:tcPr>
            <w:tcW w:type="dxa" w:w="3260"/>
            <w:tcBorders>
              <w:top w:val="single" w:color="CCCCCC" w:sz="1"/>
              <w:left w:val="single" w:color="CCCCCC" w:sz="1"/>
              <w:bottom w:val="single" w:color="CCCCCC" w:sz="1"/>
              <w:right w:val="single" w:color="CCCCCC" w:sz="1"/>
            </w:tcBorders>
            <w:shd w:fill="2E75B6" w:val="clear"/>
            <w:tcMar>
              <w:top w:type="dxa" w:w="60"/>
              <w:left w:type="dxa" w:w="100"/>
              <w:bottom w:type="dxa" w:w="60"/>
              <w:right w:type="dxa" w:w="100"/>
            </w:tcMar>
          </w:tcPr>
          <w:p>
            <w:r>
              <w:rPr>
                <w:rFonts w:ascii="Aptos" w:cs="Aptos" w:eastAsia="Aptos" w:hAnsi="Aptos"/>
                <w:b/>
                <w:bCs/>
                <w:color w:val="FFFFFF"/>
                <w:sz w:val="22"/>
                <w:szCs w:val="22"/>
              </w:rPr>
              <w:t xml:space="preserve">When to Use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Autonomous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Low</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Agent executes without waiting for approval. Layer 6 logs the action and moves 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Pre-approved action classes, read-only queries, routine lookups.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Monitored</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Medium</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Agent executes, but Layer 6 alerts a human monitor in real-time who can intervene.</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Data retrieval with filtering, standard API calls, moderate-cost operations.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bCs/>
                <w:sz w:val="22"/>
                <w:szCs w:val="22"/>
              </w:rPr>
              <w:t xml:space="preserve">Gated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High</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Agent prepares the action but Layer 6 holds it for explicit human approval before execution.</w:t>
            </w:r>
          </w:p>
        </w:tc>
        <w:tc>
          <w:tcPr>
            <w:tcW w:type="dxa" w:w="3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ptos" w:cs="Aptos" w:eastAsia="Aptos" w:hAnsi="Aptos"/>
                <w:b w:val="false"/>
                <w:bCs w:val="false"/>
                <w:sz w:val="22"/>
                <w:szCs w:val="22"/>
              </w:rPr>
              <w:t xml:space="preserve">Data modifications, financial transactions, actions with compliance implications.</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bCs/>
                <w:sz w:val="22"/>
                <w:szCs w:val="22"/>
              </w:rPr>
              <w:t xml:space="preserve">Manual</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Critical</w:t>
            </w:r>
          </w:p>
        </w:tc>
        <w:tc>
          <w:tcPr>
            <w:tcW w:type="dxa" w:w="3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Human takes over entirely. Agent provides recommendations but does not act.</w:t>
            </w:r>
          </w:p>
        </w:tc>
        <w:tc>
          <w:tcPr>
            <w:tcW w:type="dxa" w:w="32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ptos" w:cs="Aptos" w:eastAsia="Aptos" w:hAnsi="Aptos"/>
                <w:b w:val="false"/>
                <w:bCs w:val="false"/>
                <w:sz w:val="22"/>
                <w:szCs w:val="22"/>
              </w:rPr>
              <w:t xml:space="preserve">Novel action types, cross-domain escalations, actions with legal or safety implications.</w:t>
            </w:r>
          </w:p>
        </w:tc>
      </w:tr>
    </w:tbl>
    <w:p>
      <w:pPr>
        <w:spacing w:after="200"/>
      </w:pPr>
    </w:p>
    <w:p>
      <w:pPr>
        <w:pStyle w:val="Heading2"/>
        <w:spacing w:after="180" w:before="240"/>
      </w:pPr>
      <w:r>
        <w:rPr>
          <w:rFonts w:ascii="Aptos" w:cs="Aptos" w:eastAsia="Aptos" w:hAnsi="Aptos"/>
          <w:b/>
          <w:bCs/>
          <w:sz w:val="28"/>
          <w:szCs w:val="28"/>
        </w:rPr>
        <w:t xml:space="preserve">Selection Criteria</w:t>
      </w:r>
    </w:p>
    <w:p>
      <w:pPr>
        <w:spacing w:after="200"/>
      </w:pPr>
      <w:r>
        <w:rPr>
          <w:rFonts w:ascii="Aptos" w:cs="Aptos" w:eastAsia="Aptos" w:hAnsi="Aptos"/>
          <w:sz w:val="24"/>
          <w:szCs w:val="24"/>
        </w:rPr>
        <w:t xml:space="preserve">The oversight level is not static—the same agent might operate autonomously for routine queries and require gated approval for actions that modify data or commit resources. Layer 6 makes this decision per-request based on:</w:t>
      </w:r>
    </w:p>
    <w:p>
      <w:pPr>
        <w:pStyle w:val="ListParagraph"/>
        <w:numPr>
          <w:ilvl w:val="0"/>
          <w:numId w:val="4"/>
        </w:numPr>
        <w:spacing w:after="120"/>
      </w:pPr>
      <w:r>
        <w:rPr>
          <w:rFonts w:ascii="Aptos" w:cs="Aptos" w:eastAsia="Aptos" w:hAnsi="Aptos"/>
          <w:sz w:val="24"/>
          <w:szCs w:val="24"/>
        </w:rPr>
        <w:t xml:space="preserve">The action type and its risk classification in the policy engine.</w:t>
      </w:r>
    </w:p>
    <w:p>
      <w:pPr>
        <w:pStyle w:val="ListParagraph"/>
        <w:numPr>
          <w:ilvl w:val="0"/>
          <w:numId w:val="4"/>
        </w:numPr>
        <w:spacing w:after="120"/>
      </w:pPr>
      <w:r>
        <w:rPr>
          <w:rFonts w:ascii="Aptos" w:cs="Aptos" w:eastAsia="Aptos" w:hAnsi="Aptos"/>
          <w:sz w:val="24"/>
          <w:szCs w:val="24"/>
        </w:rPr>
        <w:t xml:space="preserve">The data classification level (from the behavioral contract).</w:t>
      </w:r>
    </w:p>
    <w:p>
      <w:pPr>
        <w:pStyle w:val="ListParagraph"/>
        <w:numPr>
          <w:ilvl w:val="0"/>
          <w:numId w:val="4"/>
        </w:numPr>
        <w:spacing w:after="120"/>
      </w:pPr>
      <w:r>
        <w:rPr>
          <w:rFonts w:ascii="Aptos" w:cs="Aptos" w:eastAsia="Aptos" w:hAnsi="Aptos"/>
          <w:sz w:val="24"/>
          <w:szCs w:val="24"/>
        </w:rPr>
        <w:t xml:space="preserve">The identity and trust level of the requesting agent.</w:t>
      </w:r>
    </w:p>
    <w:p>
      <w:pPr>
        <w:pStyle w:val="ListParagraph"/>
        <w:numPr>
          <w:ilvl w:val="0"/>
          <w:numId w:val="4"/>
        </w:numPr>
        <w:spacing w:after="120"/>
      </w:pPr>
      <w:r>
        <w:rPr>
          <w:rFonts w:ascii="Aptos" w:cs="Aptos" w:eastAsia="Aptos" w:hAnsi="Aptos"/>
          <w:sz w:val="24"/>
          <w:szCs w:val="24"/>
        </w:rPr>
        <w:t xml:space="preserve">The chain depth—requests that have traversed many hops may warrant higher oversight.</w:t>
      </w:r>
    </w:p>
    <w:p>
      <w:pPr>
        <w:pStyle w:val="ListParagraph"/>
        <w:numPr>
          <w:ilvl w:val="0"/>
          <w:numId w:val="4"/>
        </w:numPr>
        <w:spacing w:after="120"/>
      </w:pPr>
      <w:r>
        <w:rPr>
          <w:rFonts w:ascii="Aptos" w:cs="Aptos" w:eastAsia="Aptos" w:hAnsi="Aptos"/>
          <w:sz w:val="24"/>
          <w:szCs w:val="24"/>
        </w:rPr>
        <w:t xml:space="preserve">The caller’s oversight_minimum (from the Agent Card)—this cannot be downgraded.</w:t>
      </w:r>
    </w:p>
    <w:p>
      <w:pPr>
        <w:pStyle w:val="ListParagraph"/>
        <w:numPr>
          <w:ilvl w:val="0"/>
          <w:numId w:val="4"/>
        </w:numPr>
        <w:spacing w:after="120"/>
      </w:pPr>
      <w:r>
        <w:rPr>
          <w:rFonts w:ascii="Aptos" w:cs="Aptos" w:eastAsia="Aptos" w:hAnsi="Aptos"/>
          <w:sz w:val="24"/>
          <w:szCs w:val="24"/>
        </w:rPr>
        <w:t xml:space="preserve">Anomaly signals: unusual request patterns, velocity changes, or behavioral drift.</w:t>
      </w:r>
    </w:p>
    <w:p>
      <w:pPr>
        <w:pStyle w:val="Heading2"/>
        <w:spacing w:after="180" w:before="240"/>
      </w:pPr>
      <w:r>
        <w:rPr>
          <w:rFonts w:ascii="Aptos" w:cs="Aptos" w:eastAsia="Aptos" w:hAnsi="Aptos"/>
          <w:b/>
          <w:bCs/>
          <w:sz w:val="28"/>
          <w:szCs w:val="28"/>
        </w:rPr>
        <w:t xml:space="preserve">Implementation Requirements</w:t>
      </w:r>
    </w:p>
    <w:p>
      <w:pPr>
        <w:pStyle w:val="ListParagraph"/>
        <w:numPr>
          <w:ilvl w:val="0"/>
          <w:numId w:val="5"/>
        </w:numPr>
        <w:spacing w:after="120"/>
      </w:pPr>
      <w:r>
        <w:rPr>
          <w:rFonts w:ascii="Aptos" w:cs="Aptos" w:eastAsia="Aptos" w:hAnsi="Aptos"/>
          <w:sz w:val="24"/>
          <w:szCs w:val="24"/>
        </w:rPr>
        <w:t xml:space="preserve">Agents cannot select their own oversight level. The decision is made by Layer 6 on the receiving side, independently of the requesting agent’s preference.</w:t>
      </w:r>
    </w:p>
    <w:p>
      <w:pPr>
        <w:pStyle w:val="ListParagraph"/>
        <w:numPr>
          <w:ilvl w:val="0"/>
          <w:numId w:val="5"/>
        </w:numPr>
        <w:spacing w:after="120"/>
      </w:pPr>
      <w:r>
        <w:rPr>
          <w:rFonts w:ascii="Aptos" w:cs="Aptos" w:eastAsia="Aptos" w:hAnsi="Aptos"/>
          <w:sz w:val="24"/>
          <w:szCs w:val="24"/>
        </w:rPr>
        <w:t xml:space="preserve">Callers may set a non-downgradeable minimum oversight level via their Agent Card’s oversight_minimum field or within the behavioral contract.</w:t>
      </w:r>
    </w:p>
    <w:p>
      <w:pPr>
        <w:pStyle w:val="ListParagraph"/>
        <w:numPr>
          <w:ilvl w:val="0"/>
          <w:numId w:val="5"/>
        </w:numPr>
        <w:spacing w:after="120"/>
      </w:pPr>
      <w:r>
        <w:rPr>
          <w:rFonts w:ascii="Aptos" w:cs="Aptos" w:eastAsia="Aptos" w:hAnsi="Aptos"/>
          <w:sz w:val="24"/>
          <w:szCs w:val="24"/>
        </w:rPr>
        <w:t xml:space="preserve">Every oversight decision must be logged against the trace ID: the level selected, the criteria that drove the selection, and whether any override occurred.</w:t>
      </w:r>
    </w:p>
    <w:p>
      <w:pPr>
        <w:pStyle w:val="ListParagraph"/>
        <w:numPr>
          <w:ilvl w:val="0"/>
          <w:numId w:val="5"/>
        </w:numPr>
        <w:spacing w:after="120"/>
      </w:pPr>
      <w:r>
        <w:rPr>
          <w:rFonts w:ascii="Aptos" w:cs="Aptos" w:eastAsia="Aptos" w:hAnsi="Aptos"/>
          <w:sz w:val="24"/>
          <w:szCs w:val="24"/>
        </w:rPr>
        <w:t xml:space="preserve">Gated and manual levels must have defined timeout behavior—what happens if the human doesn’t respond within the max_latency window.</w:t>
      </w:r>
    </w:p>
    <w:p>
      <w:pPr>
        <w:pStyle w:val="ListParagraph"/>
        <w:numPr>
          <w:ilvl w:val="0"/>
          <w:numId w:val="5"/>
        </w:numPr>
        <w:spacing w:after="120"/>
      </w:pPr>
      <w:r>
        <w:rPr>
          <w:rFonts w:ascii="Aptos" w:cs="Aptos" w:eastAsia="Aptos" w:hAnsi="Aptos"/>
          <w:sz w:val="24"/>
          <w:szCs w:val="24"/>
        </w:rPr>
        <w:t xml:space="preserve">Oversight level changes within a session (escalation from autonomous to gated due to an anomaly) must be logged and must not be silently downgraded.</w:t>
      </w:r>
    </w:p>
    <w:p>
      <w:pPr>
        <w:pStyle w:val="ListParagraph"/>
        <w:numPr>
          <w:ilvl w:val="0"/>
          <w:numId w:val="5"/>
        </w:numPr>
        <w:spacing w:after="120"/>
      </w:pPr>
      <w:r>
        <w:rPr>
          <w:rFonts w:ascii="Aptos" w:cs="Aptos" w:eastAsia="Aptos" w:hAnsi="Aptos"/>
          <w:sz w:val="24"/>
          <w:szCs w:val="24"/>
        </w:rPr>
        <w:t xml:space="preserve">See Baseline Controls A2A-6 for the specific control requirements.</w:t>
      </w:r>
    </w:p>
    <w:p>
      <w:pPr>
        <w:pStyle w:val="Heading2"/>
        <w:spacing w:after="180" w:before="240"/>
      </w:pPr>
      <w:r>
        <w:rPr>
          <w:rFonts w:ascii="Aptos" w:cs="Aptos" w:eastAsia="Aptos" w:hAnsi="Aptos"/>
          <w:b/>
          <w:bCs/>
          <w:sz w:val="28"/>
          <w:szCs w:val="28"/>
        </w:rPr>
        <w:t xml:space="preserve">Oversight Hold Response</w:t>
      </w:r>
    </w:p>
    <w:p>
      <w:pPr>
        <w:spacing w:after="200"/>
      </w:pPr>
      <w:r>
        <w:rPr>
          <w:rFonts w:ascii="Aptos" w:cs="Aptos" w:eastAsia="Aptos" w:hAnsi="Aptos"/>
          <w:sz w:val="24"/>
          <w:szCs w:val="24"/>
        </w:rPr>
        <w:t xml:space="preserve">When an agent operating under gated or manual oversight reaches a decision point that requires human approval, it must pause execution and return a structured hold response to the caller. Without a defined response schema, callers have no reliable way to distinguish "waiting for a human" from "processing slowly" or "failed silently."</w:t>
      </w:r>
    </w:p>
    <w:p>
      <w:pPr>
        <w:spacing w:after="200"/>
      </w:pPr>
      <w:r>
        <w:rPr>
          <w:rFonts w:ascii="Aptos" w:cs="Aptos" w:eastAsia="Aptos" w:hAnsi="Aptos"/>
          <w:sz w:val="24"/>
          <w:szCs w:val="24"/>
        </w:rPr>
        <w:t xml:space="preserve">The hold response must include: a status field set to "pending_approval", the trace_id of the current request, the oversight_level that triggered the hold (gated or manual), a reason string describing what decision is awaiting approval, and an estimated_wait field indicating the max_latency window from the behavioral contract. If the agent can provide a callback or polling endpoint for status updates, it should include that as a resume_url field.</w:t>
      </w:r>
    </w:p>
    <w:p>
      <w:pPr>
        <w:spacing w:after="200"/>
      </w:pPr>
      <w:r>
        <w:rPr>
          <w:rFonts w:ascii="Aptos" w:cs="Aptos" w:eastAsia="Aptos" w:hAnsi="Aptos"/>
          <w:sz w:val="24"/>
          <w:szCs w:val="24"/>
        </w:rPr>
        <w:t xml:space="preserve">Callers receiving a hold response must not retry the request. Retrying would create duplicate approval queues and potentially trigger duplicate execution if the original is approved. The caller should either poll the resume_url, wait for a callback, or time out after the estimated_wait window and treat the request as failed.</w:t>
      </w:r>
    </w:p>
    <w:p>
      <w:pPr>
        <w:spacing w:after="200"/>
      </w:pPr>
      <w:r>
        <w:rPr>
          <w:rFonts w:ascii="Aptos" w:cs="Aptos" w:eastAsia="Aptos" w:hAnsi="Aptos"/>
          <w:sz w:val="24"/>
          <w:szCs w:val="24"/>
        </w:rPr>
        <w:t xml:space="preserve">If the human reviewer approves, the agent resumes execution and returns the normal response. If the reviewer rejects, the agent returns a rejection response with status "rejected" and the reviewer's reason. If the max_latency window expires without a decision, the agent must follow the timeout behavior defined in the contract: either fail closed (reject by default) or escalate to the next oversight tier.</w:t>
      </w:r>
    </w:p>
    <w:p>
      <w:pPr>
        <w:spacing w:after="200"/>
      </w:pPr>
      <w:r>
        <w:rPr>
          <w:rFonts w:ascii="Aptos" w:cs="Aptos" w:eastAsia="Aptos" w:hAnsi="Aptos"/>
          <w:sz w:val="24"/>
          <w:szCs w:val="24"/>
        </w:rPr>
        <w:t xml:space="preserve">All hold events, approvals, rejections, and timeouts must be logged against the trace ID. The Operations and Lifecycle Reference covers drift detection alerting (Section 1) and change control escalation paths (Section 6) that apply to oversight queue monitoring.</w:t>
      </w:r>
    </w:p>
    <w:p>
      <w:pPr>
        <w:pStyle w:val="Heading1"/>
        <w:spacing w:after="240" w:before="360"/>
      </w:pPr>
      <w:r>
        <w:rPr>
          <w:rFonts w:ascii="Aptos" w:cs="Aptos" w:eastAsia="Aptos" w:hAnsi="Aptos"/>
          <w:b/>
          <w:bCs/>
          <w:sz w:val="32"/>
          <w:szCs w:val="32"/>
        </w:rPr>
        <w:t xml:space="preserve">Implementation Checklist</w:t>
      </w:r>
    </w:p>
    <w:p>
      <w:pPr>
        <w:spacing w:after="200"/>
      </w:pPr>
      <w:r>
        <w:rPr>
          <w:rFonts w:ascii="Aptos" w:cs="Aptos" w:eastAsia="Aptos" w:hAnsi="Aptos"/>
          <w:sz w:val="24"/>
          <w:szCs w:val="24"/>
        </w:rPr>
        <w:t xml:space="preserve">The following is a summary of what a compliant A2A implementation must support. This is not a substitute for the Baseline Controls document, which defines the full control set with priorities and descriptions.</w:t>
      </w:r>
    </w:p>
    <w:p>
      <w:pPr>
        <w:pStyle w:val="ListParagraph"/>
        <w:numPr>
          <w:ilvl w:val="0"/>
          <w:numId w:val="6"/>
        </w:numPr>
        <w:spacing w:after="120"/>
      </w:pPr>
      <w:r>
        <w:rPr>
          <w:rFonts w:ascii="Aptos" w:cs="Aptos" w:eastAsia="Aptos" w:hAnsi="Aptos"/>
          <w:sz w:val="24"/>
          <w:szCs w:val="24"/>
        </w:rPr>
        <w:t xml:space="preserve">Every agent publishes a signed Agent Card with all required fields.</w:t>
      </w:r>
    </w:p>
    <w:p>
      <w:pPr>
        <w:pStyle w:val="ListParagraph"/>
        <w:numPr>
          <w:ilvl w:val="0"/>
          <w:numId w:val="6"/>
        </w:numPr>
        <w:spacing w:after="120"/>
      </w:pPr>
      <w:r>
        <w:rPr>
          <w:rFonts w:ascii="Aptos" w:cs="Aptos" w:eastAsia="Aptos" w:hAnsi="Aptos"/>
          <w:sz w:val="24"/>
          <w:szCs w:val="24"/>
        </w:rPr>
        <w:t xml:space="preserve">Agent Cards are bound to runtime identity (SPIFFE ID or equivalent) and short-lived.</w:t>
      </w:r>
    </w:p>
    <w:p>
      <w:pPr>
        <w:pStyle w:val="ListParagraph"/>
        <w:numPr>
          <w:ilvl w:val="0"/>
          <w:numId w:val="6"/>
        </w:numPr>
        <w:spacing w:after="120"/>
      </w:pPr>
      <w:r>
        <w:rPr>
          <w:rFonts w:ascii="Aptos" w:cs="Aptos" w:eastAsia="Aptos" w:hAnsi="Aptos"/>
          <w:sz w:val="24"/>
          <w:szCs w:val="24"/>
        </w:rPr>
        <w:t xml:space="preserve">All A2A channels use mTLS with workload identities.</w:t>
      </w:r>
    </w:p>
    <w:p>
      <w:pPr>
        <w:pStyle w:val="ListParagraph"/>
        <w:numPr>
          <w:ilvl w:val="0"/>
          <w:numId w:val="6"/>
        </w:numPr>
        <w:spacing w:after="120"/>
      </w:pPr>
      <w:r>
        <w:rPr>
          <w:rFonts w:ascii="Aptos" w:cs="Aptos" w:eastAsia="Aptos" w:hAnsi="Aptos"/>
          <w:sz w:val="24"/>
          <w:szCs w:val="24"/>
        </w:rPr>
        <w:t xml:space="preserve">OAuth tokens are sender-constrained (RFC 8705 or RFC 9449).</w:t>
      </w:r>
    </w:p>
    <w:p>
      <w:pPr>
        <w:pStyle w:val="ListParagraph"/>
        <w:numPr>
          <w:ilvl w:val="0"/>
          <w:numId w:val="6"/>
        </w:numPr>
        <w:spacing w:after="120"/>
      </w:pPr>
      <w:r>
        <w:rPr>
          <w:rFonts w:ascii="Aptos" w:cs="Aptos" w:eastAsia="Aptos" w:hAnsi="Aptos"/>
          <w:sz w:val="24"/>
          <w:szCs w:val="24"/>
        </w:rPr>
        <w:t xml:space="preserve">Identity chain verification traces delegation back to the human principal.</w:t>
      </w:r>
    </w:p>
    <w:p>
      <w:pPr>
        <w:pStyle w:val="ListParagraph"/>
        <w:numPr>
          <w:ilvl w:val="0"/>
          <w:numId w:val="6"/>
        </w:numPr>
        <w:spacing w:after="120"/>
      </w:pPr>
      <w:r>
        <w:rPr>
          <w:rFonts w:ascii="Aptos" w:cs="Aptos" w:eastAsia="Aptos" w:hAnsi="Aptos"/>
          <w:sz w:val="24"/>
          <w:szCs w:val="24"/>
        </w:rPr>
        <w:t xml:space="preserve">Behavioral contracts are negotiated and logged for every A2A interaction.</w:t>
      </w:r>
    </w:p>
    <w:p>
      <w:pPr>
        <w:pStyle w:val="ListParagraph"/>
        <w:numPr>
          <w:ilvl w:val="0"/>
          <w:numId w:val="6"/>
        </w:numPr>
        <w:spacing w:after="120"/>
      </w:pPr>
      <w:r>
        <w:rPr>
          <w:rFonts w:ascii="Aptos" w:cs="Aptos" w:eastAsia="Aptos" w:hAnsi="Aptos"/>
          <w:sz w:val="24"/>
          <w:szCs w:val="24"/>
        </w:rPr>
        <w:t xml:space="preserve">Scope can only narrow through delegation—never widen.</w:t>
      </w:r>
    </w:p>
    <w:p>
      <w:pPr>
        <w:pStyle w:val="ListParagraph"/>
        <w:numPr>
          <w:ilvl w:val="0"/>
          <w:numId w:val="6"/>
        </w:numPr>
        <w:spacing w:after="120"/>
      </w:pPr>
      <w:r>
        <w:rPr>
          <w:rFonts w:ascii="Aptos" w:cs="Aptos" w:eastAsia="Aptos" w:hAnsi="Aptos"/>
          <w:sz w:val="24"/>
          <w:szCs w:val="24"/>
        </w:rPr>
        <w:t xml:space="preserve">Oversight levels are selected by the receiving agent’s Layer 6, not the requester.</w:t>
      </w:r>
    </w:p>
    <w:p>
      <w:pPr>
        <w:pStyle w:val="ListParagraph"/>
        <w:numPr>
          <w:ilvl w:val="0"/>
          <w:numId w:val="6"/>
        </w:numPr>
        <w:spacing w:after="120"/>
      </w:pPr>
      <w:r>
        <w:rPr>
          <w:rFonts w:ascii="Aptos" w:cs="Aptos" w:eastAsia="Aptos" w:hAnsi="Aptos"/>
          <w:sz w:val="24"/>
          <w:szCs w:val="24"/>
        </w:rPr>
        <w:t xml:space="preserve">Trace IDs propagate through every hop with cryptographic signing.</w:t>
      </w:r>
    </w:p>
    <w:p>
      <w:pPr>
        <w:pStyle w:val="ListParagraph"/>
        <w:numPr>
          <w:ilvl w:val="0"/>
          <w:numId w:val="6"/>
        </w:numPr>
        <w:spacing w:after="120"/>
      </w:pPr>
      <w:r>
        <w:rPr>
          <w:rFonts w:ascii="Aptos" w:cs="Aptos" w:eastAsia="Aptos" w:hAnsi="Aptos"/>
          <w:sz w:val="24"/>
          <w:szCs w:val="24"/>
        </w:rPr>
        <w:t xml:space="preserve">Credentials are short-lived with explicit revocation propagation.</w:t>
      </w:r>
    </w:p>
    <w:p>
      <w:pPr>
        <w:pStyle w:val="ListParagraph"/>
        <w:numPr>
          <w:ilvl w:val="0"/>
          <w:numId w:val="6"/>
        </w:numPr>
        <w:spacing w:after="120"/>
      </w:pPr>
      <w:r>
        <w:rPr>
          <w:rFonts w:ascii="Aptos" w:cs="Aptos" w:eastAsia="Aptos" w:hAnsi="Aptos"/>
          <w:sz w:val="24"/>
          <w:szCs w:val="24"/>
        </w:rPr>
        <w:t xml:space="preserve">Contract violations are logged and may trigger circuit breakers.</w:t>
      </w:r>
    </w:p>
    <w:p>
      <w:pPr>
        <w:pStyle w:val="ListParagraph"/>
        <w:numPr>
          <w:ilvl w:val="0"/>
          <w:numId w:val="6"/>
        </w:numPr>
        <w:spacing w:after="120"/>
      </w:pPr>
      <w:r>
        <w:rPr>
          <w:rFonts w:ascii="Aptos" w:cs="Aptos" w:eastAsia="Aptos" w:hAnsi="Aptos"/>
          <w:sz w:val="24"/>
          <w:szCs w:val="24"/>
        </w:rPr>
        <w:t xml:space="preserve">When budget_limit is present, cumulative cost is tracked and execution halts before exceeding the ceiling. Sub-delegation costs count against the originating budget.</w:t>
      </w:r>
    </w:p>
    <w:p>
      <w:pPr>
        <w:pStyle w:val="Heading1"/>
        <w:spacing w:after="240" w:before="360"/>
      </w:pPr>
      <w:r>
        <w:rPr>
          <w:rFonts w:ascii="Aptos" w:cs="Aptos" w:eastAsia="Aptos" w:hAnsi="Aptos"/>
          <w:b/>
          <w:bCs/>
          <w:sz w:val="32"/>
          <w:szCs w:val="32"/>
        </w:rPr>
        <w:t>Companion Documents</w:t>
      </w:r>
    </w:p>
    <w:p>
      <w:pPr>
        <w:spacing w:after="200"/>
      </w:pPr>
      <w:r>
        <w:rPr>
          <w:rFonts w:ascii="Aptos" w:cs="Aptos" w:eastAsia="Aptos" w:hAnsi="Aptos"/>
          <w:sz w:val="24"/>
          <w:szCs w:val="24"/>
        </w:rPr>
        <w:t>This document is part of the AISI Model v1.0 document set:</w:t>
      </w:r>
    </w:p>
    <w:p>
      <w:pPr>
        <w:spacing w:after="120"/>
      </w:pPr>
      <w:r>
        <w:rPr>
          <w:rFonts w:ascii="Aptos" w:cs="Aptos" w:eastAsia="Aptos" w:hAnsi="Aptos"/>
          <w:b/>
          <w:bCs/>
          <w:sz w:val="24"/>
          <w:szCs w:val="24"/>
        </w:rPr>
        <w:t xml:space="preserve">AISI Model v1.0. </w:t>
      </w:r>
      <w:r>
        <w:rPr>
          <w:rFonts w:ascii="Aptos" w:cs="Aptos" w:eastAsia="Aptos" w:hAnsi="Aptos"/>
          <w:sz w:val="24"/>
          <w:szCs w:val="24"/>
        </w:rPr>
        <w:t>The seven-layer reference architecture and A2A negotiation sequence.</w:t>
      </w:r>
    </w:p>
    <w:p>
      <w:pPr>
        <w:spacing w:after="120"/>
      </w:pPr>
      <w:r>
        <w:rPr>
          <w:rFonts w:ascii="Aptos" w:cs="Aptos" w:eastAsia="Aptos" w:hAnsi="Aptos"/>
          <w:b/>
          <w:bCs/>
          <w:sz w:val="24"/>
          <w:szCs w:val="24"/>
        </w:rPr>
        <w:t xml:space="preserve">Security Reference. </w:t>
      </w:r>
      <w:r>
        <w:rPr>
          <w:rFonts w:ascii="Aptos" w:cs="Aptos" w:eastAsia="Aptos" w:hAnsi="Aptos"/>
          <w:sz w:val="24"/>
          <w:szCs w:val="24"/>
        </w:rPr>
        <w:t>OWASP and MITRE ATLAS mappings, A2A-specific threat vectors, agent supply chain controls, governance framework mapping.</w:t>
      </w:r>
    </w:p>
    <w:p>
      <w:pPr>
        <w:spacing w:after="120"/>
      </w:pPr>
      <w:r>
        <w:rPr>
          <w:rFonts w:ascii="Aptos" w:cs="Aptos" w:eastAsia="Aptos" w:hAnsi="Aptos"/>
          <w:b/>
          <w:bCs/>
          <w:sz w:val="24"/>
          <w:szCs w:val="24"/>
        </w:rPr>
        <w:t xml:space="preserve">Baseline Controls. </w:t>
      </w:r>
      <w:r>
        <w:rPr>
          <w:rFonts w:ascii="Aptos" w:cs="Aptos" w:eastAsia="Aptos" w:hAnsi="Aptos"/>
          <w:sz w:val="24"/>
          <w:szCs w:val="24"/>
        </w:rPr>
        <w:t>The minimum required controls for production A2A deployments, organized by team.</w:t>
      </w:r>
    </w:p>
    <w:p>
      <w:pPr>
        <w:spacing w:after="120"/>
      </w:pPr>
      <w:r>
        <w:rPr>
          <w:rFonts w:ascii="Aptos" w:cs="Aptos" w:eastAsia="Aptos" w:hAnsi="Aptos"/>
          <w:b/>
          <w:bCs/>
          <w:sz w:val="24"/>
          <w:szCs w:val="24"/>
        </w:rPr>
        <w:t xml:space="preserve">Implementation Guide. </w:t>
      </w:r>
      <w:r>
        <w:rPr>
          <w:rFonts w:ascii="Aptos" w:cs="Aptos" w:eastAsia="Aptos" w:hAnsi="Aptos"/>
          <w:sz w:val="24"/>
          <w:szCs w:val="24"/>
        </w:rPr>
        <w:t>How to deploy A2A systems on production infrastructure: namespaces, SPIRE, mTLS, NetworkPolicy, OPA, OpenTelemetry, Vault, and container supply chain.</w:t>
      </w:r>
    </w:p>
    <w:p>
      <w:pPr>
        <w:spacing w:after="120"/>
      </w:pPr>
      <w:r>
        <w:rPr>
          <w:rFonts w:ascii="Aptos" w:cs="Aptos" w:eastAsia="Aptos" w:hAnsi="Aptos"/>
          <w:b/>
          <w:bCs/>
          <w:sz w:val="24"/>
          <w:szCs w:val="24"/>
        </w:rPr>
        <w:t xml:space="preserve">Operations and Lifecycle Reference. </w:t>
      </w:r>
      <w:r>
        <w:rPr>
          <w:rFonts w:ascii="Aptos" w:cs="Aptos" w:eastAsia="Aptos" w:hAnsi="Aptos"/>
          <w:sz w:val="24"/>
          <w:szCs w:val="24"/>
        </w:rPr>
        <w:t>How to operate, monitor, and manage A2A systems after deployment: behavioral drift detection, shadow AI discovery, RAG index freshness, prompt versioning, agent memory hygiene, change control, and decommission.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ptos" w:cs="Aptos" w:eastAsia="Aptos" w:hAnsi="Aptos"/>
      <w:b/>
      <w:bCs/>
      <w:sz w:val="32"/>
      <w:szCs w:val="32"/>
    </w:rPr>
  </w:style>
  <w:style w:type="paragraph" w:styleId="Heading2">
    <w:name w:val="Heading 2"/>
    <w:basedOn w:val="Normal"/>
    <w:next w:val="Normal"/>
    <w:qFormat/>
    <w:pPr>
      <w:spacing w:after="180" w:before="240"/>
      <w:outlineLvl w:val="1"/>
    </w:pPr>
    <w:rPr>
      <w:rFonts w:ascii="Aptos" w:cs="Aptos" w:eastAsia="Aptos" w:hAnsi="Aptos"/>
      <w:b/>
      <w:bCs/>
      <w:sz w:val="28"/>
      <w:szCs w:val="28"/>
    </w:rPr>
  </w:style>
  <w:style w:type="paragraph" w:styleId="Heading3">
    <w:name w:val="Heading 3"/>
    <w:basedOn w:val="Normal"/>
    <w:next w:val="Normal"/>
    <w:qFormat/>
    <w:pPr>
      <w:spacing w:after="120" w:before="200"/>
      <w:outlineLvl w:val="2"/>
    </w:pPr>
    <w:rPr>
      <w:rFonts w:ascii="Aptos" w:cs="Aptos" w:eastAsia="Aptos" w:hAnsi="Aptos"/>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2026-03-29T19:59:51.432Z</dcterms:created>
  <dcterms:modified xsi:type="dcterms:W3CDTF">2026-03-29T19:59:51.432Z</dcterms:modified>
</cp:coreProperties>
</file>

<file path=docProps/custom.xml><?xml version="1.0" encoding="utf-8"?>
<Properties xmlns="http://schemas.openxmlformats.org/officeDocument/2006/custom-properties" xmlns:vt="http://schemas.openxmlformats.org/officeDocument/2006/docPropsVTypes"/>
</file>