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ptos" w:cs="Aptos" w:eastAsia="Aptos" w:hAnsi="Aptos"/>
          <w:b/>
          <w:bCs/>
          <w:sz w:val="36"/>
          <w:szCs w:val="36"/>
        </w:rPr>
        <w:t xml:space="preserve">AISI Model v1.0</w:t>
      </w:r>
    </w:p>
    <w:p>
      <w:pPr>
        <w:spacing w:after="80"/>
        <w:jc w:val="center"/>
      </w:pPr>
      <w:r>
        <w:rPr>
          <w:rFonts w:ascii="Aptos" w:cs="Aptos" w:eastAsia="Aptos" w:hAnsi="Aptos"/>
          <w:b/>
          <w:bCs/>
          <w:sz w:val="36"/>
          <w:szCs w:val="36"/>
        </w:rPr>
        <w:t xml:space="preserve">Implementation Guide</w:t>
      </w:r>
    </w:p>
    <w:p>
      <w:pPr>
        <w:spacing w:after="360"/>
        <w:jc w:val="center"/>
      </w:pPr>
      <w:r>
        <w:rPr>
          <w:rFonts w:ascii="Aptos" w:cs="Aptos" w:eastAsia="Aptos" w:hAnsi="Aptos"/>
          <w:i/>
          <w:iCs/>
          <w:sz w:val="22"/>
          <w:szCs w:val="22"/>
        </w:rPr>
        <w:t xml:space="preserve">How to Deploy Agent-to-Agent Systems on Production Infrastructure</w:t>
      </w:r>
    </w:p>
    <w:p>
      <w:pPr>
        <w:pStyle w:val="Heading1"/>
        <w:spacing w:after="240" w:before="360"/>
      </w:pPr>
      <w:r>
        <w:rPr>
          <w:rFonts w:ascii="Aptos" w:cs="Aptos" w:eastAsia="Aptos" w:hAnsi="Aptos"/>
          <w:b/>
          <w:bCs/>
          <w:sz w:val="32"/>
          <w:szCs w:val="32"/>
        </w:rPr>
        <w:t xml:space="preserve">How to Use This Document</w:t>
      </w:r>
    </w:p>
    <w:p>
      <w:pPr>
        <w:spacing w:after="200"/>
      </w:pPr>
      <w:r>
        <w:rPr>
          <w:rFonts w:ascii="Aptos" w:cs="Aptos" w:eastAsia="Aptos" w:hAnsi="Aptos"/>
          <w:sz w:val="24"/>
          <w:szCs w:val="24"/>
        </w:rPr>
        <w:t xml:space="preserve">This is the implementation companion to the AISI Model v1.0. The main document defines the seven-layer architecture. The Baseline Controls document defines what controls are required. This document shows how to implement those controls on real infrastructure.</w:t>
      </w:r>
    </w:p>
    <w:p>
      <w:pPr>
        <w:spacing w:after="200"/>
      </w:pPr>
      <w:r>
        <w:rPr>
          <w:rFonts w:ascii="Aptos" w:cs="Aptos" w:eastAsia="Aptos" w:hAnsi="Aptos"/>
          <w:sz w:val="24"/>
          <w:szCs w:val="24"/>
        </w:rPr>
        <w:t xml:space="preserve">Every section maps to one or more Baseline Controls (primarily P1 and P2, with selected P4 controls where they carry significant implementation complexity). Each section follows the same structure: the AISI controls it satisfies, what you need to build, how to build it with specific tooling, what done looks like, and what goes wrong if you skip it. Config examples target Kubernetes-native deployments with callouts for AWS EKS, Azure AKS, and GCP GKE where the implementation differs.</w:t>
      </w:r>
    </w:p>
    <w:p>
      <w:pPr>
        <w:spacing w:after="200"/>
      </w:pPr>
      <w:r>
        <w:rPr>
          <w:rFonts w:ascii="Aptos" w:cs="Aptos" w:eastAsia="Aptos" w:hAnsi="Aptos"/>
          <w:sz w:val="24"/>
          <w:szCs w:val="24"/>
        </w:rPr>
        <w:t xml:space="preserve">This is not a tutorial. It assumes your team runs containers in production, has a CI/CD pipeline, and knows their way around a service mesh. If you are evaluating whether to adopt the AISI Model, start with the main document. If you are building an A2A system and need to pass a controls review, this is the doc.</w:t>
      </w:r>
    </w:p>
    <w:p>
      <w:pPr>
        <w:pStyle w:val="Heading2"/>
        <w:spacing w:after="180" w:before="240"/>
      </w:pPr>
      <w:r>
        <w:rPr>
          <w:rFonts w:ascii="Aptos" w:cs="Aptos" w:eastAsia="Aptos" w:hAnsi="Aptos"/>
          <w:b/>
          <w:bCs/>
          <w:sz w:val="28"/>
          <w:szCs w:val="28"/>
        </w:rPr>
        <w:t xml:space="preserve">Before You Start</w:t>
      </w:r>
    </w:p>
    <w:p>
      <w:pPr>
        <w:spacing w:after="200"/>
      </w:pPr>
      <w:r>
        <w:rPr>
          <w:rFonts w:ascii="Aptos" w:cs="Aptos" w:eastAsia="Aptos" w:hAnsi="Aptos"/>
          <w:sz w:val="24"/>
          <w:szCs w:val="24"/>
        </w:rPr>
        <w:t xml:space="preserve">The AISI Model is a reference architecture, not a standard, a regulation, or a compliance requirement. It does not carry the force of law or certification authority. No organization is obligated to adopt it, and adopting it does not guarantee compliance with any regulatory framework.</w:t>
      </w:r>
    </w:p>
    <w:p>
      <w:pPr>
        <w:spacing w:after="200"/>
      </w:pPr>
      <w:r>
        <w:rPr>
          <w:rFonts w:ascii="Aptos" w:cs="Aptos" w:eastAsia="Aptos" w:hAnsi="Aptos"/>
          <w:sz w:val="24"/>
          <w:szCs w:val="24"/>
        </w:rPr>
        <w:t xml:space="preserve">Everything in this document set is a starting point. The layer definitions, protocol structures, control baselines, configs, code examples, and operational procedures are reference material that your organization must adapt to its own infrastructure, threat model, risk posture, and regulatory obligations. Nothing here is production-ready out of the box. Test in a non-production environment, adjust for your context, and validate before promoting to production.</w:t>
      </w:r>
    </w:p>
    <w:p>
      <w:pPr>
        <w:spacing w:after="200"/>
      </w:pPr>
      <w:r>
        <w:rPr>
          <w:rFonts w:ascii="Aptos" w:cs="Aptos" w:eastAsia="Aptos" w:hAnsi="Aptos"/>
          <w:sz w:val="24"/>
          <w:szCs w:val="24"/>
        </w:rPr>
        <w:t xml:space="preserve">Where these documents reference regulatory frameworks (EU AI Act, NIST AI RMF, ISO/IEC 42001), those references are informational mappings, not authoritative interpretations. Consult qualified legal, security, and compliance professionals for decisions specific to your environment.</w:t>
      </w:r>
    </w:p>
    <w:p>
      <w:pPr>
        <w:spacing w:after="12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360"/>
      </w:pPr>
      <w:r>
        <w:rPr>
          <w:rFonts w:ascii="Aptos" w:cs="Aptos" w:eastAsia="Aptos" w:hAnsi="Aptos"/>
          <w:b/>
          <w:bCs/>
          <w:sz w:val="32"/>
          <w:szCs w:val="32"/>
        </w:rPr>
        <w:t xml:space="preserve">1. Agent Runtime Isolation</w:t>
      </w:r>
    </w:p>
    <w:p>
      <w:pPr>
        <w:pBdr>
          <w:left w:val="single" w:color="2E6F40" w:sz="6" w:space="8"/>
        </w:pBdr>
        <w:spacing w:after="100"/>
        <w:ind w:left="360"/>
      </w:pPr>
      <w:r>
        <w:rPr>
          <w:rFonts w:ascii="Aptos" w:cs="Aptos" w:eastAsia="Aptos" w:hAnsi="Aptos"/>
          <w:b/>
          <w:bCs/>
          <w:sz w:val="22"/>
          <w:szCs w:val="22"/>
        </w:rPr>
        <w:t xml:space="preserve">IT-1: Container + runtime isolation</w:t>
      </w:r>
      <w:r>
        <w:rPr>
          <w:rFonts w:ascii="Aptos" w:cs="Aptos" w:eastAsia="Aptos" w:hAnsi="Aptos"/>
          <w:color w:val="666666"/>
          <w:sz w:val="20"/>
          <w:szCs w:val="20"/>
        </w:rPr>
        <w:t xml:space="preserve">  |  AISI Layer 2</w:t>
      </w:r>
    </w:p>
    <w:p>
      <w:pPr>
        <w:pBdr>
          <w:left w:val="single" w:color="2E6F40" w:sz="6" w:space="8"/>
        </w:pBdr>
        <w:spacing w:after="100"/>
        <w:ind w:left="360"/>
      </w:pPr>
      <w:r>
        <w:rPr>
          <w:rFonts w:ascii="Aptos" w:cs="Aptos" w:eastAsia="Aptos" w:hAnsi="Aptos"/>
          <w:b/>
          <w:bCs/>
          <w:sz w:val="22"/>
          <w:szCs w:val="22"/>
        </w:rPr>
        <w:t xml:space="preserve">IT-2: Network segmentation</w:t>
      </w:r>
      <w:r>
        <w:rPr>
          <w:rFonts w:ascii="Aptos" w:cs="Aptos" w:eastAsia="Aptos" w:hAnsi="Aptos"/>
          <w:color w:val="666666"/>
          <w:sz w:val="20"/>
          <w:szCs w:val="20"/>
        </w:rPr>
        <w:t xml:space="preserve">  |  AISI Layer 2</w:t>
      </w:r>
    </w:p>
    <w:p>
      <w:pPr>
        <w:pBdr>
          <w:left w:val="single" w:color="2E6F40" w:sz="6" w:space="8"/>
        </w:pBdr>
        <w:spacing w:after="100"/>
        <w:ind w:left="360"/>
      </w:pPr>
      <w:r>
        <w:rPr>
          <w:rFonts w:ascii="Aptos" w:cs="Aptos" w:eastAsia="Aptos" w:hAnsi="Aptos"/>
          <w:b/>
          <w:bCs/>
          <w:sz w:val="22"/>
          <w:szCs w:val="22"/>
        </w:rPr>
        <w:t xml:space="preserve">IT-4: Resource quotas + autoscaling limits</w:t>
      </w:r>
      <w:r>
        <w:rPr>
          <w:rFonts w:ascii="Aptos" w:cs="Aptos" w:eastAsia="Aptos" w:hAnsi="Aptos"/>
          <w:color w:val="666666"/>
          <w:sz w:val="20"/>
          <w:szCs w:val="20"/>
        </w:rPr>
        <w:t xml:space="preserve">  |  AISI Layer 2</w:t>
      </w:r>
    </w:p>
    <w:p>
      <w:pPr>
        <w:pBdr>
          <w:left w:val="single" w:color="2E6F40" w:sz="6" w:space="8"/>
        </w:pBdr>
        <w:spacing w:after="100"/>
        <w:ind w:left="360"/>
      </w:pPr>
      <w:r>
        <w:rPr>
          <w:rFonts w:ascii="Aptos" w:cs="Aptos" w:eastAsia="Aptos" w:hAnsi="Aptos"/>
          <w:b/>
          <w:bCs/>
          <w:sz w:val="22"/>
          <w:szCs w:val="22"/>
        </w:rPr>
        <w:t xml:space="preserve">IT-5: Infrastructure-as-Code</w:t>
      </w:r>
      <w:r>
        <w:rPr>
          <w:rFonts w:ascii="Aptos" w:cs="Aptos" w:eastAsia="Aptos" w:hAnsi="Aptos"/>
          <w:color w:val="666666"/>
          <w:sz w:val="20"/>
          <w:szCs w:val="20"/>
        </w:rPr>
        <w:t xml:space="preserve">  |  AISI Layers 1, 2</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Every agent runs in its own container with a restricted syscall profile, a network policy that defaults to deny, resource limits that prevent any single agent from consuming unbounded compute, and an IaC definition that makes the whole thing reproducible. Standard containers on the same node still share the host kernel. If your threat model requires kernel-level isolation between trust domains, use gVisor (GKE Sandbox), Kata Containers, or place agents from different trust domains on separate node pools.</w:t>
      </w:r>
    </w:p>
    <w:p>
      <w:pPr>
        <w:pStyle w:val="Heading2"/>
        <w:spacing w:after="180" w:before="240"/>
      </w:pPr>
      <w:r>
        <w:rPr>
          <w:rFonts w:ascii="Aptos" w:cs="Aptos" w:eastAsia="Aptos" w:hAnsi="Aptos"/>
          <w:b/>
          <w:bCs/>
          <w:sz w:val="28"/>
          <w:szCs w:val="28"/>
        </w:rPr>
        <w:t xml:space="preserve">Container Isolation</w:t>
      </w:r>
    </w:p>
    <w:p>
      <w:pPr>
        <w:spacing w:after="200"/>
      </w:pPr>
      <w:r>
        <w:rPr>
          <w:rFonts w:ascii="Aptos" w:cs="Aptos" w:eastAsia="Aptos" w:hAnsi="Aptos"/>
          <w:sz w:val="24"/>
          <w:szCs w:val="24"/>
        </w:rPr>
        <w:t xml:space="preserve">Each agent gets its own Kubernetes Deployment in a dedicated namespace. The namespace is the primary administrative boundary for a trust domain, reinforced with RBAC, NetworkPolicy, Pod Security, resource quotas, and node-placement controls. Agents that talk to each other across organizations go in separate namespaces. Agents within the same team can share a namespace if they share a trust domain, but separate Deployments are still required.</w:t>
      </w:r>
    </w:p>
    <w:p>
      <w:pPr>
        <w:pStyle w:val="Heading3"/>
        <w:spacing w:after="120" w:before="200"/>
      </w:pPr>
      <w:r>
        <w:rPr>
          <w:rFonts w:ascii="Aptos" w:cs="Aptos" w:eastAsia="Aptos" w:hAnsi="Aptos"/>
          <w:b/>
          <w:bCs/>
          <w:sz w:val="24"/>
          <w:szCs w:val="24"/>
        </w:rPr>
        <w:t xml:space="preserve">Seccomp Profile</w:t>
      </w:r>
    </w:p>
    <w:p>
      <w:pPr>
        <w:spacing w:after="200"/>
      </w:pPr>
      <w:r>
        <w:rPr>
          <w:rFonts w:ascii="Aptos" w:cs="Aptos" w:eastAsia="Aptos" w:hAnsi="Aptos"/>
          <w:sz w:val="24"/>
          <w:szCs w:val="24"/>
        </w:rPr>
        <w:t xml:space="preserve">Apply a seccomp profile that blocks unnecessary syscalls. The RuntimeDefault profile is the minimum. For agents that only do HTTP calls and model inference, a tighter custom profile is better: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seccomp-agent-restricted.json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"defaultAction": "SCMP_ACT_ERRNO",</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"architectures": ["SCMP_ARCH_X86_64"],</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"syscalls":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"read", "write", "openat", "close", "newfstatat", "fstat",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"lseek", "pread64", "pwrite64", "readv", "writev",</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"mmap", "mprotect", "munmap", "brk", "madvise",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"ioctl", "fcntl", "dup", "dup2",</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"socket", "connect", "sendto", "recvfrom", "bind",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"getsockname", "getpeername", "setsockopt", "getsockopt",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"epoll_create1", "epoll_ctl", "epoll_wait", "poll",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"pipe2", "eventfd2",</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"futex", "nanosleep", "clock_gettime", "clock_getres",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"getpid", "gettid", "getuid", "getgid", "geteuid", "getegid",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"arch_prctl", "set_tid_address", "set_robust_list",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"sigaltstack", "rt_sigaction", "rt_sigprocmask",</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"getrandom", "exit_group", "exit"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"action": "SCMP_ACT_ALLOW"</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spacing w:after="120"/>
      </w:pPr>
    </w:p>
    <w:p>
      <w:pPr>
        <w:spacing w:after="200"/>
      </w:pPr>
      <w:r>
        <w:rPr>
          <w:rFonts w:ascii="Aptos" w:cs="Aptos" w:eastAsia="Aptos" w:hAnsi="Aptos"/>
          <w:sz w:val="24"/>
          <w:szCs w:val="24"/>
        </w:rPr>
        <w:t xml:space="preserve">This profile uses openat and newfstatat (the modern replacements for open and stat on x86_64). Start with RuntimeDefault and strace your agent under load to identify the actual syscalls it needs before tightening to a custom profile. A profile that is too restrictive will crash the agent at runtime with EPERM errors that are difficult to diagnose.</w:t>
      </w:r>
    </w:p>
    <w:p>
      <w:pPr>
        <w:spacing w:after="120"/>
      </w:pPr>
    </w:p>
    <w:p>
      <w:pPr>
        <w:spacing w:after="200"/>
      </w:pPr>
      <w:r>
        <w:rPr>
          <w:rFonts w:ascii="Aptos" w:cs="Aptos" w:eastAsia="Aptos" w:hAnsi="Aptos"/>
          <w:sz w:val="24"/>
          <w:szCs w:val="24"/>
        </w:rPr>
        <w:t xml:space="preserve">On GKE, enable GKE Sandbox on the node pool (which uses gVisor for kernel-level isolation) instead of managing custom seccomp profiles. On EKS and AKS, apply the seccomp profile via the pod security context as shown below.</w:t>
      </w:r>
    </w:p>
    <w:p>
      <w:pPr>
        <w:pStyle w:val="Heading3"/>
        <w:spacing w:after="120" w:before="200"/>
      </w:pPr>
      <w:r>
        <w:rPr>
          <w:rFonts w:ascii="Aptos" w:cs="Aptos" w:eastAsia="Aptos" w:hAnsi="Aptos"/>
          <w:b/>
          <w:bCs/>
          <w:sz w:val="24"/>
          <w:szCs w:val="24"/>
        </w:rPr>
        <w:t xml:space="preserve">Pod Security Context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agent-deployment.yaml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apps/v1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Deployment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research-agent-v2</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replicas: 2</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selector: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matchLabels: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app: research-agent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template: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app: research-agent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securityContext: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runAsNonRoot: true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runAsUser: 1000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fsGroup: 2000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seccompProfile: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type: Localhost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localhostProfile: profiles/seccomp-agent-restricted.json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containers: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image: registry.example.com/agents/research@sha256:a1b2c3...  # Pin to digest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securityContext: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allowPrivilegeEscalation: false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readOnlyRootFilesystem: true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capabilities: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drop: ["ALL"]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resources: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requests: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cpu: "500m"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memory: "1Gi"</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nvidia.com/gpu: "1"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limits: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cpu: "2"</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memory: "4Gi"</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nvidia.com/gpu: "1"</w:t>
      </w:r>
    </w:p>
    <w:p>
      <w:pPr>
        <w:pStyle w:val="Heading2"/>
        <w:spacing w:after="180" w:before="240"/>
      </w:pPr>
      <w:r>
        <w:rPr>
          <w:rFonts w:ascii="Aptos" w:cs="Aptos" w:eastAsia="Aptos" w:hAnsi="Aptos"/>
          <w:b/>
          <w:bCs/>
          <w:sz w:val="28"/>
          <w:szCs w:val="28"/>
        </w:rPr>
        <w:t xml:space="preserve">Network Segmentation</w:t>
      </w:r>
    </w:p>
    <w:p>
      <w:pPr>
        <w:spacing w:after="200"/>
      </w:pPr>
      <w:r>
        <w:rPr>
          <w:rFonts w:ascii="Aptos" w:cs="Aptos" w:eastAsia="Aptos" w:hAnsi="Aptos"/>
          <w:sz w:val="24"/>
          <w:szCs w:val="24"/>
        </w:rPr>
        <w:t xml:space="preserve">Default deny. Every namespace gets a NetworkPolicy that blocks all ingress and egress, then you punch holes for exactly what the agent needs.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network-policy-default-deny.yaml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networking.k8s.io/v1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NetworkPolicy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default-deny-all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podSelector: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policyTypes: ["Ingress", "Egress"]</w:t>
      </w:r>
    </w:p>
    <w:p>
      <w:pPr>
        <w:spacing w:after="120"/>
      </w:pP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network-policy-allow-a2a.yaml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networking.k8s.io/v1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NetworkPolicy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allow-a2a-ingress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podSelector: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matchLabels: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app: research-agent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ingress: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from: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namespaceSelector: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matchLabels: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aisi-trust-domain: internal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protocol: TCP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 8443  # mTLS endpoint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egress: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to:</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namespaceSelector: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matchLabels: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aisi-trust-domain: internal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protocol: TCP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 8443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to:  # Allow DNS (CoreDNS in kube-system)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namespaceSelector: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matchLabels: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kubernetes.io/metadata.name: kube-system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protocol: UDP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 53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protocol: TCP   # DNS falls back to TCP for large responses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 53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to:  # Allow model inference endpoints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ipBlock:</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cidr: 10.0.0.0/8  # Internal model serving</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protocol: TCP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port: 443</w:t>
      </w:r>
    </w:p>
    <w:p>
      <w:pPr>
        <w:spacing w:after="120"/>
      </w:pPr>
    </w:p>
    <w:p>
      <w:pPr>
        <w:spacing w:after="200"/>
      </w:pPr>
      <w:r>
        <w:rPr>
          <w:rFonts w:ascii="Aptos" w:cs="Aptos" w:eastAsia="Aptos" w:hAnsi="Aptos"/>
          <w:sz w:val="24"/>
          <w:szCs w:val="24"/>
        </w:rPr>
        <w:t xml:space="preserve">Adjust the egress rules to match your model inference endpoints. If your agents call external APIs (OpenAI, Anthropic, cloud-hosted models), you will need egress to those specific IPs or CIDR ranges. Keep the allowlist tight: every open egress path is a potential exfiltration route.</w:t>
      </w:r>
    </w:p>
    <w:p>
      <w:pPr>
        <w:spacing w:after="120"/>
      </w:pPr>
    </w:p>
    <w:p>
      <w:pPr>
        <w:spacing w:after="200"/>
      </w:pPr>
      <w:r>
        <w:rPr>
          <w:rFonts w:ascii="Aptos" w:cs="Aptos" w:eastAsia="Aptos" w:hAnsi="Aptos"/>
          <w:sz w:val="24"/>
          <w:szCs w:val="24"/>
        </w:rPr>
        <w:t xml:space="preserve">On AWS, supplement with Security Groups for Pods (EKS) for VPC-level enforcement. On Azure, use Azure Network Policies or Calico. On GCP, use GKE Dataplane V2 which supports NetworkPolicy natively.</w:t>
      </w:r>
    </w:p>
    <w:p>
      <w:pPr>
        <w:pStyle w:val="Heading2"/>
        <w:spacing w:after="180" w:before="240"/>
      </w:pPr>
      <w:r>
        <w:rPr>
          <w:rFonts w:ascii="Aptos" w:cs="Aptos" w:eastAsia="Aptos" w:hAnsi="Aptos"/>
          <w:b/>
          <w:bCs/>
          <w:sz w:val="28"/>
          <w:szCs w:val="28"/>
        </w:rPr>
        <w:t xml:space="preserve">Resource Quotas</w:t>
      </w:r>
    </w:p>
    <w:p>
      <w:pPr>
        <w:spacing w:after="200"/>
      </w:pPr>
      <w:r>
        <w:rPr>
          <w:rFonts w:ascii="Aptos" w:cs="Aptos" w:eastAsia="Aptos" w:hAnsi="Aptos"/>
          <w:sz w:val="24"/>
          <w:szCs w:val="24"/>
        </w:rPr>
        <w:t xml:space="preserve">This prevents a runaway agent chain from eating your cluster. Set quotas at the namespace level and limits at the pod level. The pod limits (shown in the Deployment above) cap a single agent instance. The namespace quota caps the total footprint of all instances of that 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resource-quota.yaml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ResourceQuota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agent-research-quota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hard: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requests.cpu: "8"</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requests.memory: "16Gi"</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limits.cpu: "16"</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limits.memory: "32Gi"</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requests.nvidia.com/gpu: "4"</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pods: "10"</w:t>
      </w:r>
    </w:p>
    <w:p>
      <w:pPr>
        <w:spacing w:after="120"/>
      </w:pPr>
    </w:p>
    <w:p>
      <w:pPr>
        <w:spacing w:after="200"/>
      </w:pPr>
      <w:r>
        <w:rPr>
          <w:rFonts w:ascii="Aptos" w:cs="Aptos" w:eastAsia="Aptos" w:hAnsi="Aptos"/>
          <w:sz w:val="24"/>
          <w:szCs w:val="24"/>
        </w:rPr>
        <w:t xml:space="preserve">Set autoscaling bounds on the HorizontalPodAutoscaler. maxReplicas is the ceiling. Without it, a burst of A2A requests can scale an agent to consume the entire node pool.</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agent namespace has a default-deny NetworkPolicy applied. Every agent pod runs as non-root with a seccomp profile, read-only root filesystem, all capabilities dropped, and resource limits set. The namespace has a ResourceQuota. All of this is defined in version-controlled IaC (Terraform, Pulumi, Crossplane, or Helm charts) with drift detection enabled. No manual kubectl applies in production.</w:t>
      </w:r>
    </w:p>
    <w:p>
      <w:r>
        <w:br w:type="page"/>
      </w:r>
    </w:p>
    <w:p>
      <w:pPr>
        <w:pStyle w:val="Heading1"/>
        <w:spacing w:after="240" w:before="360"/>
      </w:pPr>
      <w:r>
        <w:rPr>
          <w:rFonts w:ascii="Aptos" w:cs="Aptos" w:eastAsia="Aptos" w:hAnsi="Aptos"/>
          <w:b/>
          <w:bCs/>
          <w:sz w:val="32"/>
          <w:szCs w:val="32"/>
        </w:rPr>
        <w:t xml:space="preserve">2. Workload Identity and mTLS</w:t>
      </w:r>
    </w:p>
    <w:p>
      <w:pPr>
        <w:pBdr>
          <w:left w:val="single" w:color="2E6F40" w:sz="6" w:space="8"/>
        </w:pBdr>
        <w:spacing w:after="100"/>
        <w:ind w:left="360"/>
      </w:pPr>
      <w:r>
        <w:rPr>
          <w:rFonts w:ascii="Aptos" w:cs="Aptos" w:eastAsia="Aptos" w:hAnsi="Aptos"/>
          <w:b/>
          <w:bCs/>
          <w:sz w:val="22"/>
          <w:szCs w:val="22"/>
        </w:rPr>
        <w:t xml:space="preserve">A2A-1: mTLS + workload identity</w:t>
      </w:r>
      <w:r>
        <w:rPr>
          <w:rFonts w:ascii="Aptos" w:cs="Aptos" w:eastAsia="Aptos" w:hAnsi="Aptos"/>
          <w:color w:val="666666"/>
          <w:sz w:val="20"/>
          <w:szCs w:val="20"/>
        </w:rPr>
        <w:t xml:space="preserve">  |  AISI Layer 7</w:t>
      </w:r>
    </w:p>
    <w:p>
      <w:pPr>
        <w:pBdr>
          <w:left w:val="single" w:color="2E6F40" w:sz="6" w:space="8"/>
        </w:pBdr>
        <w:spacing w:after="100"/>
        <w:ind w:left="360"/>
      </w:pPr>
      <w:r>
        <w:rPr>
          <w:rFonts w:ascii="Aptos" w:cs="Aptos" w:eastAsia="Aptos" w:hAnsi="Aptos"/>
          <w:b/>
          <w:bCs/>
          <w:sz w:val="22"/>
          <w:szCs w:val="22"/>
        </w:rPr>
        <w:t xml:space="preserve">A2A-4: Per-hop trust verification</w:t>
      </w:r>
      <w:r>
        <w:rPr>
          <w:rFonts w:ascii="Aptos" w:cs="Aptos" w:eastAsia="Aptos" w:hAnsi="Aptos"/>
          <w:color w:val="666666"/>
          <w:sz w:val="20"/>
          <w:szCs w:val="20"/>
        </w:rPr>
        <w:t xml:space="preserve">  |  AISI Layer 6</w:t>
      </w:r>
    </w:p>
    <w:p>
      <w:pPr>
        <w:pBdr>
          <w:left w:val="single" w:color="2E6F40" w:sz="6" w:space="8"/>
        </w:pBdr>
        <w:spacing w:after="100"/>
        <w:ind w:left="360"/>
      </w:pPr>
      <w:r>
        <w:rPr>
          <w:rFonts w:ascii="Aptos" w:cs="Aptos" w:eastAsia="Aptos" w:hAnsi="Aptos"/>
          <w:b/>
          <w:bCs/>
          <w:sz w:val="22"/>
          <w:szCs w:val="22"/>
        </w:rPr>
        <w:t xml:space="preserve">A2A-12: Revocation propagation</w:t>
      </w:r>
      <w:r>
        <w:rPr>
          <w:rFonts w:ascii="Aptos" w:cs="Aptos" w:eastAsia="Aptos" w:hAnsi="Aptos"/>
          <w:color w:val="666666"/>
          <w:sz w:val="20"/>
          <w:szCs w:val="20"/>
        </w:rPr>
        <w:t xml:space="preserve">  |  AISI Layers 6, 7</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Every agent gets a cryptographic identity issued by SPIRE, tied to its runtime environment (not a static credential). All agent-to-agent traffic uses mutual TLS. Credentials are short-lived (minutes, not days). Revocation propagates fast enough to halt in-flight chains.</w:t>
      </w:r>
    </w:p>
    <w:p>
      <w:pPr>
        <w:pStyle w:val="Heading2"/>
        <w:spacing w:after="180" w:before="240"/>
      </w:pPr>
      <w:r>
        <w:rPr>
          <w:rFonts w:ascii="Aptos" w:cs="Aptos" w:eastAsia="Aptos" w:hAnsi="Aptos"/>
          <w:b/>
          <w:bCs/>
          <w:sz w:val="28"/>
          <w:szCs w:val="28"/>
        </w:rPr>
        <w:t xml:space="preserve">SPIRE Server Setup</w:t>
      </w:r>
    </w:p>
    <w:p>
      <w:pPr>
        <w:spacing w:after="200"/>
      </w:pPr>
      <w:r>
        <w:rPr>
          <w:rFonts w:ascii="Aptos" w:cs="Aptos" w:eastAsia="Aptos" w:hAnsi="Aptos"/>
          <w:sz w:val="24"/>
          <w:szCs w:val="24"/>
        </w:rPr>
        <w:t xml:space="preserve">Deploy a SPIRE Server per trust domain. For most organizations, one SPIRE Server covers all internal agents. Cross-organization federation requires separate SPIRE Servers with bundle exchange.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spire-server.yaml (Helm values)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spire-server: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trustDomain: "agents.example.com"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ca_ttl: "24h"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default_x509_svid_ttl: "1h"    # Agent creds expire in 1 hour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default_jwt_svid_ttl: "5m"      # JWT tokens expire in 5 minutes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dataStore: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sql: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databaseType: "postgres"    # Production: use external Postgres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connectionString: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nodeAttestor: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k8sPsat:                       # Projected Service Account Tokens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enabled: true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allowedNodeLabelKeys: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audience: ["spire-server"]</w:t>
      </w:r>
    </w:p>
    <w:p>
      <w:pPr>
        <w:spacing w:after="120"/>
      </w:pPr>
    </w:p>
    <w:p>
      <w:pPr>
        <w:spacing w:after="200"/>
      </w:pPr>
      <w:r>
        <w:rPr>
          <w:rFonts w:ascii="Aptos" w:cs="Aptos" w:eastAsia="Aptos" w:hAnsi="Aptos"/>
          <w:sz w:val="24"/>
          <w:szCs w:val="24"/>
        </w:rPr>
        <w:t xml:space="preserve">The values above are illustrative. Adapt the key names to your Helm chart (the community spire-helm-charts and the official spiffe/helm-charts-hardened use different structures). On EKS, use the aws_iid (Instance Identity Document) node attestor for cloud-level node verification. On AKS, use the azure_msi attestor. On GKE, use the gcp_iit attestor. All three bind node identity to the cloud provider's attestation service rather than relying on Kubernetes tokens alone.</w:t>
      </w:r>
    </w:p>
    <w:p>
      <w:pPr>
        <w:pStyle w:val="Heading2"/>
        <w:spacing w:after="180" w:before="240"/>
      </w:pPr>
      <w:r>
        <w:rPr>
          <w:rFonts w:ascii="Aptos" w:cs="Aptos" w:eastAsia="Aptos" w:hAnsi="Aptos"/>
          <w:b/>
          <w:bCs/>
          <w:sz w:val="28"/>
          <w:szCs w:val="28"/>
        </w:rPr>
        <w:t xml:space="preserve">Agent Registration</w:t>
      </w:r>
    </w:p>
    <w:p>
      <w:pPr>
        <w:spacing w:after="200"/>
      </w:pPr>
      <w:r>
        <w:rPr>
          <w:rFonts w:ascii="Aptos" w:cs="Aptos" w:eastAsia="Aptos" w:hAnsi="Aptos"/>
          <w:sz w:val="24"/>
          <w:szCs w:val="24"/>
        </w:rPr>
        <w:t xml:space="preserve">Each agent type gets a SPIRE registration entry that binds its SPIFFE ID to its Kubernetes workload identity. Automate this in your CI/CD pipeline so new agent deployments are registered before they start accepting traffic.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Register the research 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spire-server entry create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-spiffeID spiffe://agents.example.com/agent/research-v2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-parentID spiffe://agents.example.com/spire/agent/k8s_psat/agent-node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-selector k8s:ns:agent-research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-selector k8s:sa:research-agent-sa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-selector k8s:container-name:agent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-x509SVIDTTL 3600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-jwtSVIDTTL 300</w:t>
      </w:r>
    </w:p>
    <w:p>
      <w:pPr>
        <w:spacing w:after="120"/>
      </w:pPr>
    </w:p>
    <w:p>
      <w:pPr>
        <w:spacing w:after="200"/>
      </w:pPr>
      <w:r>
        <w:rPr>
          <w:rFonts w:ascii="Aptos" w:cs="Aptos" w:eastAsia="Aptos" w:hAnsi="Aptos"/>
          <w:sz w:val="24"/>
          <w:szCs w:val="24"/>
        </w:rPr>
        <w:t xml:space="preserve">The selectors are the enforcement mechanism. A process can only receive this SPIFFE ID if it is running in the agent-research namespace, under the research-agent-sa service account, in a container named agent. A stolen credential from a different container or namespace will not match.</w:t>
      </w:r>
    </w:p>
    <w:p>
      <w:pPr>
        <w:pStyle w:val="Heading2"/>
        <w:spacing w:after="180" w:before="240"/>
      </w:pPr>
      <w:r>
        <w:rPr>
          <w:rFonts w:ascii="Aptos" w:cs="Aptos" w:eastAsia="Aptos" w:hAnsi="Aptos"/>
          <w:b/>
          <w:bCs/>
          <w:sz w:val="28"/>
          <w:szCs w:val="28"/>
        </w:rPr>
        <w:t xml:space="preserve">mTLS via Service Mesh</w:t>
      </w:r>
    </w:p>
    <w:p>
      <w:pPr>
        <w:spacing w:after="200"/>
      </w:pPr>
      <w:r>
        <w:rPr>
          <w:rFonts w:ascii="Aptos" w:cs="Aptos" w:eastAsia="Aptos" w:hAnsi="Aptos"/>
          <w:sz w:val="24"/>
          <w:szCs w:val="24"/>
        </w:rPr>
        <w:t xml:space="preserve">Istio's built-in identity system (istiod) already issues SPIFFE IDs to every sidecar and enforces mTLS without agent code changes. If your only goal is mesh-level mTLS within a single cluster, Istio alone is sufficient and no SPIRE integration is needed. SPIRE becomes necessary when you need cross-cluster federation, a trust root managed outside Istio, or a single identity provider shared with non-mesh workloads. Wiring SPIRE in as a custom CA for Istio is a non-trivial configuration; consult the Istio SPIFFE/SPIRE integration docs before committing to it.</w:t>
      </w:r>
    </w:p>
    <w:p>
      <w:pPr>
        <w:spacing w:after="200"/>
      </w:pPr>
      <w:r>
        <w:rPr>
          <w:rFonts w:ascii="Aptos" w:cs="Aptos" w:eastAsia="Aptos" w:hAnsi="Aptos"/>
          <w:sz w:val="24"/>
          <w:szCs w:val="24"/>
        </w:rPr>
        <w:t xml:space="preserve">The following Istio configuration enforces strict mTLS and restricts which SPIFFE identities can reach a given workload: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peer-authentication.yaml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security.istio.io/v1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PeerAuthentication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strict-mtls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mtls: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mode: STRICT   # Reject any non-mTLS traffic</w:t>
      </w:r>
    </w:p>
    <w:p>
      <w:pPr>
        <w:spacing w:after="120"/>
      </w:pP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authorization-policy.yaml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security.istio.io/v1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AuthorizationPolicy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allow-known-agents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selector: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matchLabels: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app: research-agent    # Target specific workload, not entire namespace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action: ALLOW</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rules: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from: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source: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principals: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"spiffe://agents.example.com/agent/customer-facing-v3"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"spiffe://agents.example.com/agent/orchestrator-v1"</w:t>
      </w:r>
    </w:p>
    <w:p>
      <w:pPr>
        <w:spacing w:after="120"/>
      </w:pPr>
    </w:p>
    <w:p>
      <w:pPr>
        <w:spacing w:after="200"/>
      </w:pPr>
      <w:r>
        <w:rPr>
          <w:rFonts w:ascii="Aptos" w:cs="Aptos" w:eastAsia="Aptos" w:hAnsi="Aptos"/>
          <w:sz w:val="24"/>
          <w:szCs w:val="24"/>
        </w:rPr>
        <w:t xml:space="preserve">With Linkerd, use the linkerd-identity system which supports SPIFFE natively. With Consul Connect, configure the SPIRE integration via the connect.ca.provider setting.</w:t>
      </w:r>
    </w:p>
    <w:p>
      <w:pPr>
        <w:pStyle w:val="Heading2"/>
        <w:spacing w:after="180" w:before="240"/>
      </w:pPr>
      <w:r>
        <w:rPr>
          <w:rFonts w:ascii="Aptos" w:cs="Aptos" w:eastAsia="Aptos" w:hAnsi="Aptos"/>
          <w:b/>
          <w:bCs/>
          <w:sz w:val="28"/>
          <w:szCs w:val="28"/>
        </w:rPr>
        <w:t xml:space="preserve">Credential Lifecycle</w:t>
      </w:r>
    </w:p>
    <w:p>
      <w:pPr>
        <w:spacing w:after="200"/>
      </w:pPr>
      <w:r>
        <w:rPr>
          <w:rFonts w:ascii="Aptos" w:cs="Aptos" w:eastAsia="Aptos" w:hAnsi="Aptos"/>
          <w:sz w:val="24"/>
          <w:szCs w:val="24"/>
        </w:rPr>
        <w:t xml:space="preserve">SPIRE rotates X.509 SVIDs automatically before they expire. Set the TTL short enough that a compromised credential is useless by the time an attacker can exploit it. One hour for X.509, five minutes for JWTs. SPIRE handles rotation transparently through the Workload API.</w:t>
      </w:r>
    </w:p>
    <w:p>
      <w:pPr>
        <w:spacing w:after="200"/>
      </w:pPr>
      <w:r>
        <w:rPr>
          <w:rFonts w:ascii="Aptos" w:cs="Aptos" w:eastAsia="Aptos" w:hAnsi="Aptos"/>
          <w:sz w:val="24"/>
          <w:szCs w:val="24"/>
        </w:rPr>
        <w:t xml:space="preserve">For revocation during an active incident, use the SPIRE Server's entry delete or entry update commands to remove or restrict the compromised agent's registration entry. Any agent using that identity will fail its next SVID rotation (within the TTL window) and be unable to establish new mTLS connections.</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agent pod has a SPIRE Agent sidecar or uses the CSI driver to mount SVIDs. All inter-agent traffic is mTLS with STRICT enforcement. SPIFFE IDs are registered in CI/CD and match the Kubernetes workload identity. SVIDs rotate automatically with sub-hour TTLs. You can revoke an agent's identity from the SPIRE Server and see its connections drop within the TTL window.</w:t>
      </w:r>
    </w:p>
    <w:p>
      <w:r>
        <w:br w:type="page"/>
      </w:r>
    </w:p>
    <w:p>
      <w:pPr>
        <w:pStyle w:val="Heading1"/>
        <w:spacing w:after="240" w:before="360"/>
      </w:pPr>
      <w:r>
        <w:rPr>
          <w:rFonts w:ascii="Aptos" w:cs="Aptos" w:eastAsia="Aptos" w:hAnsi="Aptos"/>
          <w:b/>
          <w:bCs/>
          <w:sz w:val="32"/>
          <w:szCs w:val="32"/>
        </w:rPr>
        <w:t xml:space="preserve">3. Model Registry and Deployment Pipeline</w:t>
      </w:r>
    </w:p>
    <w:p>
      <w:pPr>
        <w:pBdr>
          <w:left w:val="single" w:color="2E6F40" w:sz="6" w:space="8"/>
        </w:pBdr>
        <w:spacing w:after="100"/>
        <w:ind w:left="360"/>
      </w:pPr>
      <w:r>
        <w:rPr>
          <w:rFonts w:ascii="Aptos" w:cs="Aptos" w:eastAsia="Aptos" w:hAnsi="Aptos"/>
          <w:b/>
          <w:bCs/>
          <w:sz w:val="22"/>
          <w:szCs w:val="22"/>
        </w:rPr>
        <w:t xml:space="preserve">AI-1: Model registry + versioning</w:t>
      </w:r>
      <w:r>
        <w:rPr>
          <w:rFonts w:ascii="Aptos" w:cs="Aptos" w:eastAsia="Aptos" w:hAnsi="Aptos"/>
          <w:color w:val="666666"/>
          <w:sz w:val="20"/>
          <w:szCs w:val="20"/>
        </w:rPr>
        <w:t xml:space="preserve">  |  AISI Layer 3</w:t>
      </w:r>
    </w:p>
    <w:p>
      <w:pPr>
        <w:pBdr>
          <w:left w:val="single" w:color="2E6F40" w:sz="6" w:space="8"/>
        </w:pBdr>
        <w:spacing w:after="100"/>
        <w:ind w:left="360"/>
      </w:pPr>
      <w:r>
        <w:rPr>
          <w:rFonts w:ascii="Aptos" w:cs="Aptos" w:eastAsia="Aptos" w:hAnsi="Aptos"/>
          <w:b/>
          <w:bCs/>
          <w:sz w:val="22"/>
          <w:szCs w:val="22"/>
        </w:rPr>
        <w:t xml:space="preserve">AI-2: Model provenance attestation</w:t>
      </w:r>
      <w:r>
        <w:rPr>
          <w:rFonts w:ascii="Aptos" w:cs="Aptos" w:eastAsia="Aptos" w:hAnsi="Aptos"/>
          <w:color w:val="666666"/>
          <w:sz w:val="20"/>
          <w:szCs w:val="20"/>
        </w:rPr>
        <w:t xml:space="preserve">  |  AISI Layer 3</w:t>
      </w:r>
    </w:p>
    <w:p>
      <w:pPr>
        <w:pBdr>
          <w:left w:val="single" w:color="2E6F40" w:sz="6" w:space="8"/>
        </w:pBdr>
        <w:spacing w:after="100"/>
        <w:ind w:left="360"/>
      </w:pPr>
      <w:r>
        <w:rPr>
          <w:rFonts w:ascii="Aptos" w:cs="Aptos" w:eastAsia="Aptos" w:hAnsi="Aptos"/>
          <w:b/>
          <w:bCs/>
          <w:sz w:val="22"/>
          <w:szCs w:val="22"/>
        </w:rPr>
        <w:t xml:space="preserve">AI-3: Agent-BOM</w:t>
      </w:r>
      <w:r>
        <w:rPr>
          <w:rFonts w:ascii="Aptos" w:cs="Aptos" w:eastAsia="Aptos" w:hAnsi="Aptos"/>
          <w:color w:val="666666"/>
          <w:sz w:val="20"/>
          <w:szCs w:val="20"/>
        </w:rPr>
        <w:t xml:space="preserve">  |  AISI Layers 3, 5</w:t>
      </w:r>
    </w:p>
    <w:p>
      <w:pPr>
        <w:pBdr>
          <w:left w:val="single" w:color="2E6F40" w:sz="6" w:space="8"/>
        </w:pBdr>
        <w:spacing w:after="100"/>
        <w:ind w:left="360"/>
      </w:pPr>
      <w:r>
        <w:rPr>
          <w:rFonts w:ascii="Aptos" w:cs="Aptos" w:eastAsia="Aptos" w:hAnsi="Aptos"/>
          <w:b/>
          <w:bCs/>
          <w:sz w:val="22"/>
          <w:szCs w:val="22"/>
        </w:rPr>
        <w:t xml:space="preserve">AI-4: Prompt / system policy versioning</w:t>
      </w:r>
      <w:r>
        <w:rPr>
          <w:rFonts w:ascii="Aptos" w:cs="Aptos" w:eastAsia="Aptos" w:hAnsi="Aptos"/>
          <w:color w:val="666666"/>
          <w:sz w:val="20"/>
          <w:szCs w:val="20"/>
        </w:rPr>
        <w:t xml:space="preserve">  |  AISI Layer 5</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No unregistered models in production. Every model artifact is signed with provenance attestation. Every agent publishes a Bill of Materials. System prompts and policies are versioned and deployed as release artifacts alongside the agent. The deployment pipeline rejects anything unsigned or unverified.</w:t>
      </w:r>
    </w:p>
    <w:p>
      <w:pPr>
        <w:pStyle w:val="Heading2"/>
        <w:spacing w:after="180" w:before="240"/>
      </w:pPr>
      <w:r>
        <w:rPr>
          <w:rFonts w:ascii="Aptos" w:cs="Aptos" w:eastAsia="Aptos" w:hAnsi="Aptos"/>
          <w:b/>
          <w:bCs/>
          <w:sz w:val="28"/>
          <w:szCs w:val="28"/>
        </w:rPr>
        <w:t xml:space="preserve">Model Registry</w:t>
      </w:r>
    </w:p>
    <w:p>
      <w:pPr>
        <w:spacing w:after="200"/>
      </w:pPr>
      <w:r>
        <w:rPr>
          <w:rFonts w:ascii="Aptos" w:cs="Aptos" w:eastAsia="Aptos" w:hAnsi="Aptos"/>
          <w:sz w:val="24"/>
          <w:szCs w:val="24"/>
        </w:rPr>
        <w:t xml:space="preserve">Use MLflow Model Registry, Amazon SageMaker Model Registry, Azure ML Model Registry, or Vertex AI Model Registry. The registry is the single source of truth for what models exist, what version is deployed where, and what evaluation results each version produced.</w:t>
      </w:r>
    </w:p>
    <w:p>
      <w:pPr>
        <w:spacing w:after="200"/>
      </w:pPr>
      <w:r>
        <w:rPr>
          <w:rFonts w:ascii="Aptos" w:cs="Aptos" w:eastAsia="Aptos" w:hAnsi="Aptos"/>
          <w:sz w:val="24"/>
          <w:szCs w:val="24"/>
        </w:rPr>
        <w:t xml:space="preserve">Every model entry must include: model name and version (semantic versioning), training run ID (links back to the experiment tracker), evaluation results (accuracy, safety benchmarks, red-team results), provenance attestation (see below), and deployment status (staging, canary, production, retired).</w:t>
      </w:r>
    </w:p>
    <w:p>
      <w:pPr>
        <w:pStyle w:val="Heading3"/>
        <w:spacing w:after="120" w:before="200"/>
      </w:pPr>
      <w:r>
        <w:rPr>
          <w:rFonts w:ascii="Aptos" w:cs="Aptos" w:eastAsia="Aptos" w:hAnsi="Aptos"/>
          <w:b/>
          <w:bCs/>
          <w:sz w:val="24"/>
          <w:szCs w:val="24"/>
        </w:rPr>
        <w:t xml:space="preserve">Promotion Gates</w:t>
      </w:r>
    </w:p>
    <w:p>
      <w:pPr>
        <w:spacing w:after="200"/>
      </w:pPr>
      <w:r>
        <w:rPr>
          <w:rFonts w:ascii="Aptos" w:cs="Aptos" w:eastAsia="Aptos" w:hAnsi="Aptos"/>
          <w:sz w:val="24"/>
          <w:szCs w:val="24"/>
        </w:rPr>
        <w:t xml:space="preserve">Models move through stages with automated gates: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promotion-gate.yaml (CI/CD pipeline step)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model-promotion: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stage: staging -&gt; production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gates: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evaluation-threshold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check: model.metrics.accuracy &gt;= 0.95</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safety-benchmark</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check: model.metrics.safety_score &gt;= 0.99</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red-team-pass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check: model.artifacts.redteam_report.status == "passed"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provenance-valid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check: cosign.verify(model.artifact) == true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approval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check: approval.count &gt;= 2 AND approval.team == "ml-platform"</w:t>
      </w:r>
    </w:p>
    <w:p>
      <w:pPr>
        <w:pStyle w:val="Heading2"/>
        <w:spacing w:after="180" w:before="240"/>
      </w:pPr>
      <w:r>
        <w:rPr>
          <w:rFonts w:ascii="Aptos" w:cs="Aptos" w:eastAsia="Aptos" w:hAnsi="Aptos"/>
          <w:b/>
          <w:bCs/>
          <w:sz w:val="28"/>
          <w:szCs w:val="28"/>
        </w:rPr>
        <w:t xml:space="preserve">Provenance Attestation</w:t>
      </w:r>
    </w:p>
    <w:p>
      <w:pPr>
        <w:spacing w:after="200"/>
      </w:pPr>
      <w:r>
        <w:rPr>
          <w:rFonts w:ascii="Aptos" w:cs="Aptos" w:eastAsia="Aptos" w:hAnsi="Aptos"/>
          <w:sz w:val="24"/>
          <w:szCs w:val="24"/>
        </w:rPr>
        <w:t xml:space="preserve">Sign model artifacts with cosign (Sigstore) or Notary. The signature proves the artifact was produced by your pipeline and has not been tampered with since.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Resolve the tag to a digest first. All subsequent operations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use the digest so you are always signing the exact artifact.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DIGEST=$(crane digest registry.example.com/models/research-llm:2.1.0)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IMAGE=registry.example.com/models/research-llm@${DIGEST}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Sign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cosign sign --key cosign.key ${IMAGE}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Attach SLSA provenance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cosign attest --predicate slsa-provenance.json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--type slsaprovenance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--key cosign.key ${IMAGE}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Verify (admission controller)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cosign verify --key cosign.pub ${IMAGE}</w:t>
      </w:r>
    </w:p>
    <w:p>
      <w:pPr>
        <w:spacing w:after="120"/>
      </w:pPr>
    </w:p>
    <w:p>
      <w:pPr>
        <w:spacing w:after="200"/>
      </w:pPr>
      <w:r>
        <w:rPr>
          <w:rFonts w:ascii="Aptos" w:cs="Aptos" w:eastAsia="Aptos" w:hAnsi="Aptos"/>
          <w:sz w:val="24"/>
          <w:szCs w:val="24"/>
        </w:rPr>
        <w:t xml:space="preserve">Tags are mutable. Someone can push a different image to the same tag after you signed the original. Resolve to a digest once (using crane digest, skopeo inspect, or your registry API), then use that digest for signing, attestation, verification, and deployment. Your admission controller (Kyverno, OPA Gatekeeper) should enforce that all image references in production are digest-pinned.</w:t>
      </w:r>
    </w:p>
    <w:p>
      <w:pPr>
        <w:spacing w:after="120"/>
      </w:pPr>
    </w:p>
    <w:p>
      <w:pPr>
        <w:spacing w:after="200"/>
      </w:pPr>
      <w:r>
        <w:rPr>
          <w:rFonts w:ascii="Aptos" w:cs="Aptos" w:eastAsia="Aptos" w:hAnsi="Aptos"/>
          <w:sz w:val="24"/>
          <w:szCs w:val="24"/>
        </w:rPr>
        <w:t xml:space="preserve">The examples above use a static key pair. For CI/CD pipelines, consider keyless signing via Sigstore (Fulcio + Rekor), which eliminates key management entirely. The CI runner authenticates via OIDC, Fulcio issues a short-lived signing certificate, and Rekor provides a transparency log. Replace --key cosign.key with --identity-token from your CI provider (GitHub Actions, GitLab CI, and most major providers support this natively).</w:t>
      </w:r>
    </w:p>
    <w:p>
      <w:pPr>
        <w:spacing w:after="120"/>
      </w:pPr>
    </w:p>
    <w:p>
      <w:pPr>
        <w:spacing w:after="200"/>
      </w:pPr>
      <w:r>
        <w:rPr>
          <w:rFonts w:ascii="Aptos" w:cs="Aptos" w:eastAsia="Aptos" w:hAnsi="Aptos"/>
          <w:sz w:val="24"/>
          <w:szCs w:val="24"/>
        </w:rPr>
        <w:t xml:space="preserve">Use a Kubernetes admission controller (Kyverno or OPA Gatekeeper) to block deployment of unsigned images. This is the enforcement point: even if someone pushes an unsigned model to the registry, it cannot reach production.</w:t>
      </w:r>
    </w:p>
    <w:p>
      <w:pPr>
        <w:pStyle w:val="Heading2"/>
        <w:spacing w:after="180" w:before="240"/>
      </w:pPr>
      <w:r>
        <w:rPr>
          <w:rFonts w:ascii="Aptos" w:cs="Aptos" w:eastAsia="Aptos" w:hAnsi="Aptos"/>
          <w:b/>
          <w:bCs/>
          <w:sz w:val="28"/>
          <w:szCs w:val="28"/>
        </w:rPr>
        <w:t xml:space="preserve">Agent Bill of Materials</w:t>
      </w:r>
    </w:p>
    <w:p>
      <w:pPr>
        <w:spacing w:after="200"/>
      </w:pPr>
      <w:r>
        <w:rPr>
          <w:rFonts w:ascii="Aptos" w:cs="Aptos" w:eastAsia="Aptos" w:hAnsi="Aptos"/>
          <w:sz w:val="24"/>
          <w:szCs w:val="24"/>
        </w:rPr>
        <w:t xml:space="preserve">Every agent publishes a machine-readable BOM listing its model(s), tools, data sources, dependencies, and behavioral contract defaults. Store the BOM as a JSON artifact alongside the agent's container image. Verify it during the A2A handshake (the Agent Card's dependencies field references it).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 "research-agent-v2",</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"version": "2.1.0",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"model":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"research-llm",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"version": "2.1.0",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"registry": "registry.example.com/models/research-llm@sha256:a1b2c3...",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"provenance": "cosign:sha256:a1b2c3..."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"tools":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"document_reader", "version": "1.3.0", "permissions": ["read"]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"embedding_client", "version": "2.0.1", "permissions": ["read"]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"data_sources":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"name": "knowledge-base", "type": "vector_store", "classification": "internal"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"framework": "langchain:0.3.1",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"base_image": "python:3.12-slim"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Style w:val="Heading2"/>
        <w:spacing w:after="180" w:before="240"/>
      </w:pPr>
      <w:r>
        <w:rPr>
          <w:rFonts w:ascii="Aptos" w:cs="Aptos" w:eastAsia="Aptos" w:hAnsi="Aptos"/>
          <w:b/>
          <w:bCs/>
          <w:sz w:val="28"/>
          <w:szCs w:val="28"/>
        </w:rPr>
        <w:t xml:space="preserve">System Prompt Versioning</w:t>
      </w:r>
    </w:p>
    <w:p>
      <w:pPr>
        <w:spacing w:after="200"/>
      </w:pPr>
      <w:r>
        <w:rPr>
          <w:rFonts w:ascii="Aptos" w:cs="Aptos" w:eastAsia="Aptos" w:hAnsi="Aptos"/>
          <w:sz w:val="24"/>
          <w:szCs w:val="24"/>
        </w:rPr>
        <w:t xml:space="preserve">System prompts are code. Store them in version control alongside the agent source. Deploy them as ConfigMaps, never hardcoded in the container image. Tag each release with the prompt version so you can correlate agent behavior changes to prompt changes. If your prompt contains sensitive instructions that should not be visible in plain-text ConfigMap data, use a Secret instead, but do not conflate prompt versioning with secrets management.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system-prompt-configmap.yaml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ConfigMap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research-agent-prompt-v2-1-0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labels: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app: research-agent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prompt-version: "2.1.0"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system_prompt.txt: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You are a research agent. Your task is to analyze documents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and extract key findings with source citations.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rest of prompt ...]</w:t>
      </w:r>
    </w:p>
    <w:p>
      <w:pPr>
        <w:spacing w:after="120"/>
      </w:pPr>
    </w:p>
    <w:p>
      <w:pPr>
        <w:spacing w:after="200"/>
      </w:pPr>
      <w:r>
        <w:rPr>
          <w:rFonts w:ascii="Aptos" w:cs="Aptos" w:eastAsia="Aptos" w:hAnsi="Aptos"/>
          <w:sz w:val="24"/>
          <w:szCs w:val="24"/>
        </w:rPr>
        <w:t xml:space="preserve">In your Deployment, mount the ConfigMap and reference it by name so rollbacks are a Kubernetes rollout away, not a code change.</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Your CI/CD pipeline produces a signed model artifact, a signed container image, an Agent-BOM, and a versioned system prompt ConfigMap. An admission controller blocks unsigned artifacts. The model registry tracks every version with evaluation results and promotion history. You can answer the question: what exact model, prompt, and tool versions were running at 2am last Tuesday when the incident happened?</w:t>
      </w:r>
    </w:p>
    <w:p>
      <w:r>
        <w:br w:type="page"/>
      </w:r>
    </w:p>
    <w:p>
      <w:pPr>
        <w:pStyle w:val="Heading1"/>
        <w:spacing w:after="240" w:before="360"/>
      </w:pPr>
      <w:r>
        <w:rPr>
          <w:rFonts w:ascii="Aptos" w:cs="Aptos" w:eastAsia="Aptos" w:hAnsi="Aptos"/>
          <w:b/>
          <w:bCs/>
          <w:sz w:val="32"/>
          <w:szCs w:val="32"/>
        </w:rPr>
        <w:t xml:space="preserve">4. Oversight Engine and Circuit Breakers</w:t>
      </w:r>
    </w:p>
    <w:p>
      <w:pPr>
        <w:pBdr>
          <w:left w:val="single" w:color="2E6F40" w:sz="6" w:space="8"/>
        </w:pBdr>
        <w:spacing w:after="100"/>
        <w:ind w:left="360"/>
      </w:pPr>
      <w:r>
        <w:rPr>
          <w:rFonts w:ascii="Aptos" w:cs="Aptos" w:eastAsia="Aptos" w:hAnsi="Aptos"/>
          <w:b/>
          <w:bCs/>
          <w:sz w:val="22"/>
          <w:szCs w:val="22"/>
        </w:rPr>
        <w:t xml:space="preserve">A2A-6: Oversight policy engine</w:t>
      </w:r>
      <w:r>
        <w:rPr>
          <w:rFonts w:ascii="Aptos" w:cs="Aptos" w:eastAsia="Aptos" w:hAnsi="Aptos"/>
          <w:color w:val="666666"/>
          <w:sz w:val="20"/>
          <w:szCs w:val="20"/>
        </w:rPr>
        <w:t xml:space="preserve">  |  AISI Layer 6</w:t>
      </w:r>
    </w:p>
    <w:p>
      <w:pPr>
        <w:pBdr>
          <w:left w:val="single" w:color="2E6F40" w:sz="6" w:space="8"/>
        </w:pBdr>
        <w:spacing w:after="100"/>
        <w:ind w:left="360"/>
      </w:pPr>
      <w:r>
        <w:rPr>
          <w:rFonts w:ascii="Aptos" w:cs="Aptos" w:eastAsia="Aptos" w:hAnsi="Aptos"/>
          <w:b/>
          <w:bCs/>
          <w:sz w:val="22"/>
          <w:szCs w:val="22"/>
        </w:rPr>
        <w:t xml:space="preserve">A2A-7: Kill switch + circuit breakers</w:t>
      </w:r>
      <w:r>
        <w:rPr>
          <w:rFonts w:ascii="Aptos" w:cs="Aptos" w:eastAsia="Aptos" w:hAnsi="Aptos"/>
          <w:color w:val="666666"/>
          <w:sz w:val="20"/>
          <w:szCs w:val="20"/>
        </w:rPr>
        <w:t xml:space="preserve">  |  AISI Layers 6, 2</w:t>
      </w:r>
    </w:p>
    <w:p>
      <w:pPr>
        <w:pBdr>
          <w:left w:val="single" w:color="2E6F40" w:sz="6" w:space="8"/>
        </w:pBdr>
        <w:spacing w:after="100"/>
        <w:ind w:left="360"/>
      </w:pPr>
      <w:r>
        <w:rPr>
          <w:rFonts w:ascii="Aptos" w:cs="Aptos" w:eastAsia="Aptos" w:hAnsi="Aptos"/>
          <w:b/>
          <w:bCs/>
          <w:sz w:val="22"/>
          <w:szCs w:val="22"/>
        </w:rPr>
        <w:t xml:space="preserve">A2A-5: Delegation scope monotonicity</w:t>
      </w:r>
      <w:r>
        <w:rPr>
          <w:rFonts w:ascii="Aptos" w:cs="Aptos" w:eastAsia="Aptos" w:hAnsi="Aptos"/>
          <w:color w:val="666666"/>
          <w:sz w:val="20"/>
          <w:szCs w:val="20"/>
        </w:rPr>
        <w:t xml:space="preserve">  |  AISI Layer 6</w:t>
      </w:r>
    </w:p>
    <w:p>
      <w:pPr>
        <w:pBdr>
          <w:left w:val="single" w:color="2E6F40" w:sz="6" w:space="8"/>
        </w:pBdr>
        <w:spacing w:after="100"/>
        <w:ind w:left="360"/>
      </w:pPr>
      <w:r>
        <w:rPr>
          <w:rFonts w:ascii="Aptos" w:cs="Aptos" w:eastAsia="Aptos" w:hAnsi="Aptos"/>
          <w:b/>
          <w:bCs/>
          <w:sz w:val="22"/>
          <w:szCs w:val="22"/>
        </w:rPr>
        <w:t xml:space="preserve">A2A-13: Budget enforcement</w:t>
      </w:r>
      <w:r>
        <w:rPr>
          <w:rFonts w:ascii="Aptos" w:cs="Aptos" w:eastAsia="Aptos" w:hAnsi="Aptos"/>
          <w:color w:val="666666"/>
          <w:sz w:val="20"/>
          <w:szCs w:val="20"/>
        </w:rPr>
        <w:t xml:space="preserve">  |  AISI Layers 6, 5</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A policy engine that sits at Layer 6 and classifies every incoming request into one of four oversight levels: autonomous, monitored, gated, or manual. Circuit breakers that trip when error rates, latency, or behavioral drift exceed thresholds. A kill switch that halts an agent chain immediately. Scope enforcement that guarantees delegated authority can only narrow, never widen. Budget enforcement that tracks cumulative cost and halts execution before exceeding a contract ceiling.</w:t>
      </w:r>
    </w:p>
    <w:p>
      <w:pPr>
        <w:pStyle w:val="Heading2"/>
        <w:spacing w:after="180" w:before="240"/>
      </w:pPr>
      <w:r>
        <w:rPr>
          <w:rFonts w:ascii="Aptos" w:cs="Aptos" w:eastAsia="Aptos" w:hAnsi="Aptos"/>
          <w:b/>
          <w:bCs/>
          <w:sz w:val="28"/>
          <w:szCs w:val="28"/>
        </w:rPr>
        <w:t xml:space="preserve">Policy Engine</w:t>
      </w:r>
    </w:p>
    <w:p>
      <w:pPr>
        <w:spacing w:after="200"/>
      </w:pPr>
      <w:r>
        <w:rPr>
          <w:rFonts w:ascii="Aptos" w:cs="Aptos" w:eastAsia="Aptos" w:hAnsi="Aptos"/>
          <w:sz w:val="24"/>
          <w:szCs w:val="24"/>
        </w:rPr>
        <w:t xml:space="preserve">The policy engine is a sidecar or middleware that intercepts every A2A request before it reaches the agent's logic (Layer 5). Use Open Policy Agent (OPA) with Rego policies, or Cedar (AWS) for authorization decisions. The engine evaluates:</w:t>
      </w:r>
    </w:p>
    <w:p>
      <w:pPr>
        <w:spacing w:after="200"/>
      </w:pPr>
      <w:r>
        <w:rPr>
          <w:rFonts w:ascii="Aptos" w:cs="Aptos" w:eastAsia="Aptos" w:hAnsi="Aptos"/>
          <w:sz w:val="24"/>
          <w:szCs w:val="24"/>
        </w:rPr>
        <w:t xml:space="preserve">The request's data classification (from the behavioral contract). The caller's identity and trust chain (from SPIFFE). The agent's declared oversight_minimum (from the Agent Card). The caller's requested oversight level. The current risk context (time of day, chain depth, recent error rates).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oversight-policy.rego</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package aisi.oversight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Rank mapping: higher number = more restrictive oversight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oversight_rank := {"autonomous": 0, "monitored": 1, "gated": 2, "manual": 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Start with the strictest minimum from caller and 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Default to "gated" if either side does not declare a 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default effective_minimum = "gated"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effective_minimum := input.agent.oversight_minimum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input.agent.oversight_minimum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input.caller_minimum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oversight_rank[input.agent.oversight_minimum] &gt;=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oversight_rank[input.caller_minimum]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effective_minimum := input.caller_minimum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input.agent.oversight_minimum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input.caller_minimum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oversight_rank[input.caller_minimum] &gt;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oversight_rank[input.agent.oversight_minimum]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default proposed = "gated"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proposed = "autonomous"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input.contract.data_classification == "public"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input.chain_depth &lt;= 2</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input.caller_trust_score &gt;= 0.9</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proposed = "monitored"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input.contract.data_classification == "internal"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input.chain_depth &lt;= 3</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input.caller_trust_score &gt;= 0.7</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proposed = "manual"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input.contract.data_classification == "restricted"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Final level: never less restrictive than the effective 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level := proposed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oversight_rank[proposed] &gt;= oversight_rank[effective_minimum]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level := effective_minimum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oversight_rank[proposed] &lt; oversight_rank[effective_minimum]</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spacing w:after="120"/>
      </w:pPr>
    </w:p>
    <w:p>
      <w:pPr>
        <w:spacing w:after="200"/>
      </w:pPr>
      <w:r>
        <w:rPr>
          <w:rFonts w:ascii="Aptos" w:cs="Aptos" w:eastAsia="Aptos" w:hAnsi="Aptos"/>
          <w:sz w:val="24"/>
          <w:szCs w:val="24"/>
        </w:rPr>
        <w:t xml:space="preserve">The key change: the policy computes an effective_minimum from both the caller's minimum and the agent's declared oversight_minimum, then enforces that the final level is never less restrictive than either. Without this, an agent that declares oversight_minimum: gated could be assigned monitored if only the caller minimum is checked.</w:t>
      </w:r>
    </w:p>
    <w:p>
      <w:pPr>
        <w:pStyle w:val="Heading2"/>
        <w:spacing w:after="180" w:before="240"/>
      </w:pPr>
      <w:r>
        <w:rPr>
          <w:rFonts w:ascii="Aptos" w:cs="Aptos" w:eastAsia="Aptos" w:hAnsi="Aptos"/>
          <w:b/>
          <w:bCs/>
          <w:sz w:val="28"/>
          <w:szCs w:val="28"/>
        </w:rPr>
        <w:t xml:space="preserve">Session Token Caching</w:t>
      </w:r>
    </w:p>
    <w:p>
      <w:pPr>
        <w:spacing w:after="200"/>
      </w:pPr>
      <w:r>
        <w:rPr>
          <w:rFonts w:ascii="Aptos" w:cs="Aptos" w:eastAsia="Aptos" w:hAnsi="Aptos"/>
          <w:sz w:val="24"/>
          <w:szCs w:val="24"/>
        </w:rPr>
        <w:t xml:space="preserve">Evaluating the full OPA policy on every request in a multi-turn session adds latency without adding security value when the inputs have not changed. The A2A Protocol Specification defines an optional session-based negotiation pattern where a behavioral contract is negotiated once and reused via a sender-constrained JWT session token. The oversight engine should cache its policy decision for the duration of that session token.</w:t>
      </w:r>
    </w:p>
    <w:p>
      <w:pPr>
        <w:spacing w:after="200"/>
      </w:pPr>
      <w:r>
        <w:rPr>
          <w:rFonts w:ascii="Aptos" w:cs="Aptos" w:eastAsia="Aptos" w:hAnsi="Aptos"/>
          <w:sz w:val="24"/>
          <w:szCs w:val="24"/>
        </w:rPr>
        <w:t xml:space="preserve">Implementation: after the first request in a session completes the full OPA evaluation, store the decision (oversight level, scope, classification, effective_minimum) in a local cache keyed by the session token's jti claim. On subsequent requests bearing the same session token, validate the token (signature, expiration, sender binding per RFC 9449), then retrieve the cached decision instead of re-evaluating OPA. This reduces per-request overhead to token validation plus a cache lookup.</w:t>
      </w:r>
    </w:p>
    <w:p>
      <w:pPr>
        <w:spacing w:after="200"/>
      </w:pPr>
      <w:r>
        <w:rPr>
          <w:rFonts w:ascii="Aptos" w:cs="Aptos" w:eastAsia="Aptos" w:hAnsi="Aptos"/>
          <w:sz w:val="24"/>
          <w:szCs w:val="24"/>
        </w:rPr>
        <w:t xml:space="preserve">Invalidation: the cache entry must be evicted when any of the re-negotiation triggers defined in the A2A Protocol Specification occur: scope change, data classification change, token expiry, credential rotation, or drift detection. The simplest implementation is to set the cache TTL to match the session token's exp claim and treat any re-negotiation trigger as immediate eviction. If the oversight engine receives a request with a new session token (different jti), it must run the full policy evaluation and cache the new result.</w:t>
      </w:r>
    </w:p>
    <w:p>
      <w:pPr>
        <w:spacing w:after="200"/>
      </w:pPr>
      <w:r>
        <w:rPr>
          <w:rFonts w:ascii="Aptos" w:cs="Aptos" w:eastAsia="Aptos" w:hAnsi="Aptos"/>
          <w:sz w:val="24"/>
          <w:szCs w:val="24"/>
        </w:rPr>
        <w:t xml:space="preserve">This optimization is only safe when the session token is sender-constrained. A bearer token that can be replayed from a different caller would allow the cached decision to apply to requests from an identity that was never evaluated. Verify the sender binding (the cnf claim against the caller's mTLS certificate thumbprint) on every request, even when using the cached decision.</w:t>
      </w:r>
    </w:p>
    <w:p>
      <w:pPr>
        <w:pStyle w:val="Heading2"/>
        <w:spacing w:after="180" w:before="240"/>
      </w:pPr>
      <w:r>
        <w:rPr>
          <w:rFonts w:ascii="Aptos" w:cs="Aptos" w:eastAsia="Aptos" w:hAnsi="Aptos"/>
          <w:b/>
          <w:bCs/>
          <w:sz w:val="28"/>
          <w:szCs w:val="28"/>
        </w:rPr>
        <w:t xml:space="preserve">Circuit Breakers</w:t>
      </w:r>
    </w:p>
    <w:p>
      <w:pPr>
        <w:spacing w:after="200"/>
      </w:pPr>
      <w:r>
        <w:rPr>
          <w:rFonts w:ascii="Aptos" w:cs="Aptos" w:eastAsia="Aptos" w:hAnsi="Aptos"/>
          <w:sz w:val="24"/>
          <w:szCs w:val="24"/>
        </w:rPr>
        <w:t xml:space="preserve">Implement circuit breakers at the agent gateway (Layer 6). When an agent's error rate, latency, or contract violation rate exceeds a threshold, the breaker trips and all requests to that agent return a structured error immediately. Use Envoy's circuit breaking or Istio's DestinationRule: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circuit-breaker.yaml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apiVersion: networking.istio.io/v1</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kind: DestinationRule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metadata: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 research-agent-circuit-breaker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namespace: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spec:</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host: research-agent.agent-research.svc.cluster.local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trafficPolicy: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connectionPool: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tcp: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maxConnections: 100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http: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h2UpgradePolicy: UPGRADE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maxRequestsPerConnection: 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outlierDetection: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consecutive5xxErrors: 5</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interval: 30s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baseEjectionTime: 60s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maxEjectionPercent: 100</w:t>
      </w:r>
    </w:p>
    <w:p>
      <w:pPr>
        <w:spacing w:after="120"/>
      </w:pPr>
    </w:p>
    <w:p>
      <w:pPr>
        <w:spacing w:after="200"/>
      </w:pPr>
      <w:r>
        <w:rPr>
          <w:rFonts w:ascii="Aptos" w:cs="Aptos" w:eastAsia="Aptos" w:hAnsi="Aptos"/>
          <w:sz w:val="24"/>
          <w:szCs w:val="24"/>
        </w:rPr>
        <w:t xml:space="preserve">For behavioral circuit breakers (contract violations, not just HTTP errors), instrument your policy engine to track violations per agent and expose a metric. Use a custom controller or Prometheus alerting rule to trigger ejection when violation counts spike.</w:t>
      </w:r>
    </w:p>
    <w:p>
      <w:pPr>
        <w:pStyle w:val="Heading2"/>
        <w:spacing w:after="180" w:before="240"/>
      </w:pPr>
      <w:r>
        <w:rPr>
          <w:rFonts w:ascii="Aptos" w:cs="Aptos" w:eastAsia="Aptos" w:hAnsi="Aptos"/>
          <w:b/>
          <w:bCs/>
          <w:sz w:val="28"/>
          <w:szCs w:val="28"/>
        </w:rPr>
        <w:t xml:space="preserve">Kill Switch</w:t>
      </w:r>
    </w:p>
    <w:p>
      <w:pPr>
        <w:spacing w:after="200"/>
      </w:pPr>
      <w:r>
        <w:rPr>
          <w:rFonts w:ascii="Aptos" w:cs="Aptos" w:eastAsia="Aptos" w:hAnsi="Aptos"/>
          <w:sz w:val="24"/>
          <w:szCs w:val="24"/>
        </w:rPr>
        <w:t xml:space="preserve">The kill switch scales an agent's Deployment to zero replicas immediately. Wire this to your incident response tooling so it can be triggered from your alerting system or runbook automation: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Kill switch: scale to zero immediately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kubectl scale deployment research-agent-v2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--replicas=0 -n agent-research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Or via a label-based kill that hits all agents in a chain: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kubectl label namespace agent-research aisi-kill-switch=active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Pair with a custom mutating webhook that watches for the label.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When aisi-kill-switch=active, the webhook rejects all new pods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in the namespace and a controller scales existing deployments to zero.</w:t>
      </w:r>
    </w:p>
    <w:p>
      <w:pPr>
        <w:pStyle w:val="Heading2"/>
        <w:spacing w:after="180" w:before="240"/>
      </w:pPr>
      <w:r>
        <w:rPr>
          <w:rFonts w:ascii="Aptos" w:cs="Aptos" w:eastAsia="Aptos" w:hAnsi="Aptos"/>
          <w:b/>
          <w:bCs/>
          <w:sz w:val="28"/>
          <w:szCs w:val="28"/>
        </w:rPr>
        <w:t xml:space="preserve">Budget Tracking</w:t>
      </w:r>
    </w:p>
    <w:p>
      <w:pPr>
        <w:spacing w:after="200"/>
      </w:pPr>
      <w:r>
        <w:rPr>
          <w:rFonts w:ascii="Aptos" w:cs="Aptos" w:eastAsia="Aptos" w:hAnsi="Aptos"/>
          <w:sz w:val="24"/>
          <w:szCs w:val="24"/>
        </w:rPr>
        <w:t xml:space="preserve">When a behavioral contract includes a budget_limit, the policy engine must track cumulative cost and enforce the ceiling. Implement this as a middleware that wraps the agent's inference and tool-call pipeline: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budget-middleware pseudocode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def enforce_budget(request, contract, session_state):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not contract.get("budget_limit"):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return execute(request)  # No budget constraint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budget = contract["budget_limit"]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cumulative = session_state.get("cost_cumulative", 0.0)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Pre-execution estimate (optional but recommended)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estimated = estimate_cost(request, contract)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cumulative + estimated &gt; budget["max_amount"]: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return error_response(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status="budget_exceeded",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cost_cumulative=cumulative,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max_amount=budget["max_amount"],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currency=budget["currency"])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Execute and meter actual cost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response, actual_cost = execute_with_metering(request)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cumulative += actual_cost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session_state["cost_cumulative"] = cumulative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Post-execution ceiling check</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cumulative &gt; budget["max_amount"]: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Already exceeded: log violation, return result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with budget_exceeded warning (data already produced)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log_budget_violation(contract, cumulative, budget)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if contract.get("cost_reporting"):</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response["cost_incurred"] =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"request_cost": actual_cost,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"cumulative": cumulative,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"currency": budget["currency"]}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return response</w:t>
      </w:r>
    </w:p>
    <w:p>
      <w:pPr>
        <w:spacing w:after="120"/>
      </w:pPr>
    </w:p>
    <w:p>
      <w:pPr>
        <w:spacing w:after="200"/>
      </w:pPr>
      <w:r>
        <w:rPr>
          <w:rFonts w:ascii="Aptos" w:cs="Aptos" w:eastAsia="Aptos" w:hAnsi="Aptos"/>
          <w:sz w:val="24"/>
          <w:szCs w:val="24"/>
        </w:rPr>
        <w:t xml:space="preserve">The estimate_cost function is an approximation. For model inference, estimate based on the input token count multiplied by the provider's published rate. For tool calls, use the known fixed cost or the historical average. The estimate does not need to be exact; its purpose is to catch obvious overruns before committing resources. If estimation is too unreliable for your workload, skip it and rely on the post-execution check.</w:t>
      </w:r>
    </w:p>
    <w:p>
      <w:pPr>
        <w:spacing w:after="200"/>
      </w:pPr>
      <w:r>
        <w:rPr>
          <w:rFonts w:ascii="Aptos" w:cs="Aptos" w:eastAsia="Aptos" w:hAnsi="Aptos"/>
          <w:sz w:val="24"/>
          <w:szCs w:val="24"/>
        </w:rPr>
        <w:t xml:space="preserve">For sub-delegation, propagate the remaining budget to the downstream contract. If your remaining balance is $4.20 and you estimate your own completion cost at $0.50, set the downstream budget_limit to $3.70. When the downstream response returns with cost_incurred, add that to your running total. If the downstream agent does not support cost_reporting, fall back to the pricing field from its Agent Card to estimate the downstream cost.</w:t>
      </w:r>
    </w:p>
    <w:p>
      <w:pPr>
        <w:spacing w:after="200"/>
      </w:pPr>
      <w:r>
        <w:rPr>
          <w:rFonts w:ascii="Aptos" w:cs="Aptos" w:eastAsia="Aptos" w:hAnsi="Aptos"/>
          <w:sz w:val="24"/>
          <w:szCs w:val="24"/>
        </w:rPr>
        <w:t xml:space="preserve">Store the cumulative cost in the same session state backing your session token cache. This ensures that budget state is cleaned up when the session expires. For per_request budgets (no session persistence), compute the cost within the single request lifecycle and include it in the response.</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A2A request passes through the policy engine before reaching agent logic. The engine's decision is logged against the trace ID. Circuit breakers are configured per-agent with thresholds tuned to your SLOs. The kill switch can halt an agent or an entire namespace in under 30 seconds. Delegation scope is verified at every hop: if Agent B tries to grant Agent C more authority than Agent A gave to Agent B, the request is blocked. Agents with budget_limit contracts track cumulative cost, enforce ceilings, and report cost_incurred when cost_reporting is enabled.</w:t>
      </w:r>
    </w:p>
    <w:p>
      <w:r>
        <w:br w:type="page"/>
      </w:r>
    </w:p>
    <w:p>
      <w:pPr>
        <w:pStyle w:val="Heading1"/>
        <w:spacing w:after="240" w:before="360"/>
      </w:pPr>
      <w:r>
        <w:rPr>
          <w:rFonts w:ascii="Aptos" w:cs="Aptos" w:eastAsia="Aptos" w:hAnsi="Aptos"/>
          <w:b/>
          <w:bCs/>
          <w:sz w:val="32"/>
          <w:szCs w:val="32"/>
        </w:rPr>
        <w:t xml:space="preserve">5. Agent Cards and Schema Validation</w:t>
      </w:r>
    </w:p>
    <w:p>
      <w:pPr>
        <w:pBdr>
          <w:left w:val="single" w:color="2E6F40" w:sz="6" w:space="8"/>
        </w:pBdr>
        <w:spacing w:after="100"/>
        <w:ind w:left="360"/>
      </w:pPr>
      <w:r>
        <w:rPr>
          <w:rFonts w:ascii="Aptos" w:cs="Aptos" w:eastAsia="Aptos" w:hAnsi="Aptos"/>
          <w:b/>
          <w:bCs/>
          <w:sz w:val="22"/>
          <w:szCs w:val="22"/>
        </w:rPr>
        <w:t xml:space="preserve">A2A-2: Signed Agent Cards</w:t>
      </w:r>
      <w:r>
        <w:rPr>
          <w:rFonts w:ascii="Aptos" w:cs="Aptos" w:eastAsia="Aptos" w:hAnsi="Aptos"/>
          <w:color w:val="666666"/>
          <w:sz w:val="20"/>
          <w:szCs w:val="20"/>
        </w:rPr>
        <w:t xml:space="preserve">  |  AISI Layer 7</w:t>
      </w:r>
    </w:p>
    <w:p>
      <w:pPr>
        <w:pBdr>
          <w:left w:val="single" w:color="2E6F40" w:sz="6" w:space="8"/>
        </w:pBdr>
        <w:spacing w:after="100"/>
        <w:ind w:left="360"/>
      </w:pPr>
      <w:r>
        <w:rPr>
          <w:rFonts w:ascii="Aptos" w:cs="Aptos" w:eastAsia="Aptos" w:hAnsi="Aptos"/>
          <w:b/>
          <w:bCs/>
          <w:sz w:val="22"/>
          <w:szCs w:val="22"/>
        </w:rPr>
        <w:t xml:space="preserve">A2A-3: Strict schema validation</w:t>
      </w:r>
      <w:r>
        <w:rPr>
          <w:rFonts w:ascii="Aptos" w:cs="Aptos" w:eastAsia="Aptos" w:hAnsi="Aptos"/>
          <w:color w:val="666666"/>
          <w:sz w:val="20"/>
          <w:szCs w:val="20"/>
        </w:rPr>
        <w:t xml:space="preserve">  |  AISI Layers 7, 5</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Agent Cards that are generated and signed as part of your CI/CD pipeline, published to a registry for discovery, and validated on every A2A handshake. Schema validation on every request, response, tool call, and contract so that malformed payloads are rejected, not coerced.</w:t>
      </w:r>
    </w:p>
    <w:p>
      <w:pPr>
        <w:pStyle w:val="Heading2"/>
        <w:spacing w:after="180" w:before="240"/>
      </w:pPr>
      <w:r>
        <w:rPr>
          <w:rFonts w:ascii="Aptos" w:cs="Aptos" w:eastAsia="Aptos" w:hAnsi="Aptos"/>
          <w:b/>
          <w:bCs/>
          <w:sz w:val="28"/>
          <w:szCs w:val="28"/>
        </w:rPr>
        <w:t xml:space="preserve">Agent Card Generation</w:t>
      </w:r>
    </w:p>
    <w:p>
      <w:pPr>
        <w:spacing w:after="200"/>
      </w:pPr>
      <w:r>
        <w:rPr>
          <w:rFonts w:ascii="Aptos" w:cs="Aptos" w:eastAsia="Aptos" w:hAnsi="Aptos"/>
          <w:sz w:val="24"/>
          <w:szCs w:val="24"/>
        </w:rPr>
        <w:t xml:space="preserve">Generate the Agent Card in CI/CD after the container image is built and signed. The card's SPIFFE ID must match the SPIRE registration entry. Sign the card with the same key used for model provenance: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generate-agent-card.sh (CI/CD step)</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cat &gt; agent-card.json &lt;&lt;CARD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"agent_id": "${AGENT_ID}",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"spiffe_id": "spiffe://agents.example.com/agent/${AGENT_NAME}",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"display_name": "${AGENT_DISPLAY_NAME}",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"version": "${VERSION}",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"capabilities": ${CAPABILITIES_JSON},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"supported_protocols": [{"protocol":"a2a","version":"1.0"}],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"endpoint": "https://${AGENT_ENDPOINT}",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"issued_at": "$(date -u +%Y-%m-%dT%H:%M:%SZ)",</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"expires_at": "$(date -u -d '+6 hours' +%Y-%m-%dT%H:%M:%SZ)",</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"issuer": "spiffe://agents.example.com/spire-server"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CARD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Sign the card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cosign sign-blob --key cosign.key --output-signature agent-card.sig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agent-card.json</w:t>
      </w:r>
    </w:p>
    <w:p>
      <w:pPr>
        <w:spacing w:after="120"/>
      </w:pPr>
    </w:p>
    <w:p>
      <w:pPr>
        <w:spacing w:after="200"/>
      </w:pPr>
      <w:r>
        <w:rPr>
          <w:rFonts w:ascii="Aptos" w:cs="Aptos" w:eastAsia="Aptos" w:hAnsi="Aptos"/>
          <w:sz w:val="24"/>
          <w:szCs w:val="24"/>
        </w:rPr>
        <w:t xml:space="preserve">Publish the signed card to an agent registry (a simple API backed by a database, or a well-known endpoint on the agent itself at /.well-known/agent-card.json). Receiving agents fetch the card, verify the signature, check the expiration, and confirm the SPIFFE ID matches the mTLS identity.</w:t>
      </w:r>
    </w:p>
    <w:p>
      <w:pPr>
        <w:pStyle w:val="Heading2"/>
        <w:spacing w:after="180" w:before="240"/>
      </w:pPr>
      <w:r>
        <w:rPr>
          <w:rFonts w:ascii="Aptos" w:cs="Aptos" w:eastAsia="Aptos" w:hAnsi="Aptos"/>
          <w:b/>
          <w:bCs/>
          <w:sz w:val="28"/>
          <w:szCs w:val="28"/>
        </w:rPr>
        <w:t xml:space="preserve">Schema Validation</w:t>
      </w:r>
    </w:p>
    <w:p>
      <w:pPr>
        <w:spacing w:after="200"/>
      </w:pPr>
      <w:r>
        <w:rPr>
          <w:rFonts w:ascii="Aptos" w:cs="Aptos" w:eastAsia="Aptos" w:hAnsi="Aptos"/>
          <w:sz w:val="24"/>
          <w:szCs w:val="24"/>
        </w:rPr>
        <w:t xml:space="preserve">Validate every payload at the API gateway before it reaches agent logic. Use JSON Schema for request/response validation. The schemas live in version control alongside the agent code and are published as part of the Agent Card's capability descriptors.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Example: request schema for document_analysis capability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"$schema": "https://json-schema.org/draft/2020-12/schema",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"type": "object",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"required": ["document_url", "analysis_type"],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"properties":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"document_url": { "type": "string", "format": "uri"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"analysis_type":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"type": "string",</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"enum": ["summarize", "extract_findings", "citation_check"]</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"max_output_tokens": { "type": "integer", "maximum": 8000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"additionalProperties": false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spacing w:after="120"/>
      </w:pPr>
    </w:p>
    <w:p>
      <w:pPr>
        <w:spacing w:after="200"/>
      </w:pPr>
      <w:r>
        <w:rPr>
          <w:rFonts w:ascii="Aptos" w:cs="Aptos" w:eastAsia="Aptos" w:hAnsi="Aptos"/>
          <w:sz w:val="24"/>
          <w:szCs w:val="24"/>
        </w:rPr>
        <w:t xml:space="preserve">The additionalProperties: false is important. It prevents injection of unexpected fields. Reject malformed payloads with a 400 and a structured error. Never coerce or silently drop fields.</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Agent Cards are generated and signed in CI/CD. The pipeline fails if signing fails. Cards are published and refreshable. Every A2A handshake verifies the card's signature, expiration, and SPIFFE binding. All requests and responses are validated against published JSON Schemas. Malformed payloads return structured errors with the specific validation failure.</w:t>
      </w:r>
    </w:p>
    <w:p>
      <w:r>
        <w:br w:type="page"/>
      </w:r>
    </w:p>
    <w:p>
      <w:pPr>
        <w:pStyle w:val="Heading1"/>
        <w:spacing w:after="240" w:before="360"/>
      </w:pPr>
      <w:r>
        <w:rPr>
          <w:rFonts w:ascii="Aptos" w:cs="Aptos" w:eastAsia="Aptos" w:hAnsi="Aptos"/>
          <w:b/>
          <w:bCs/>
          <w:sz w:val="32"/>
          <w:szCs w:val="32"/>
        </w:rPr>
        <w:t xml:space="preserve">6. Observability and the Trace Plane</w:t>
      </w:r>
    </w:p>
    <w:p>
      <w:pPr>
        <w:pBdr>
          <w:left w:val="single" w:color="2E6F40" w:sz="6" w:space="8"/>
        </w:pBdr>
        <w:spacing w:after="100"/>
        <w:ind w:left="360"/>
      </w:pPr>
      <w:r>
        <w:rPr>
          <w:rFonts w:ascii="Aptos" w:cs="Aptos" w:eastAsia="Aptos" w:hAnsi="Aptos"/>
          <w:b/>
          <w:bCs/>
          <w:sz w:val="22"/>
          <w:szCs w:val="22"/>
        </w:rPr>
        <w:t xml:space="preserve">IT-6: Observability stack</w:t>
      </w:r>
      <w:r>
        <w:rPr>
          <w:rFonts w:ascii="Aptos" w:cs="Aptos" w:eastAsia="Aptos" w:hAnsi="Aptos"/>
          <w:color w:val="666666"/>
          <w:sz w:val="20"/>
          <w:szCs w:val="20"/>
        </w:rPr>
        <w:t xml:space="preserve">  |  AISI Layers 2, 6</w:t>
      </w:r>
    </w:p>
    <w:p>
      <w:pPr>
        <w:pBdr>
          <w:left w:val="single" w:color="2E6F40" w:sz="6" w:space="8"/>
        </w:pBdr>
        <w:spacing w:after="100"/>
        <w:ind w:left="360"/>
      </w:pPr>
      <w:r>
        <w:rPr>
          <w:rFonts w:ascii="Aptos" w:cs="Aptos" w:eastAsia="Aptos" w:hAnsi="Aptos"/>
          <w:b/>
          <w:bCs/>
          <w:sz w:val="22"/>
          <w:szCs w:val="22"/>
        </w:rPr>
        <w:t xml:space="preserve">A2A-11: Tamper-evident trace logging</w:t>
      </w:r>
      <w:r>
        <w:rPr>
          <w:rFonts w:ascii="Aptos" w:cs="Aptos" w:eastAsia="Aptos" w:hAnsi="Aptos"/>
          <w:color w:val="666666"/>
          <w:sz w:val="20"/>
          <w:szCs w:val="20"/>
        </w:rPr>
        <w:t xml:space="preserve">  |  AISI Trace plane</w:t>
      </w:r>
    </w:p>
    <w:p>
      <w:pPr>
        <w:pBdr>
          <w:left w:val="single" w:color="2E6F40" w:sz="6" w:space="8"/>
        </w:pBdr>
        <w:spacing w:after="100"/>
        <w:ind w:left="360"/>
      </w:pPr>
      <w:r>
        <w:rPr>
          <w:rFonts w:ascii="Aptos" w:cs="Aptos" w:eastAsia="Aptos" w:hAnsi="Aptos"/>
          <w:b/>
          <w:bCs/>
          <w:sz w:val="22"/>
          <w:szCs w:val="22"/>
        </w:rPr>
        <w:t xml:space="preserve">SEC-4: SIEM integration</w:t>
      </w:r>
      <w:r>
        <w:rPr>
          <w:rFonts w:ascii="Aptos" w:cs="Aptos" w:eastAsia="Aptos" w:hAnsi="Aptos"/>
          <w:color w:val="666666"/>
          <w:sz w:val="20"/>
          <w:szCs w:val="20"/>
        </w:rPr>
        <w:t xml:space="preserve">  |  AISI Layers 6, 2</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An observability stack that collects agent-specific telemetry (not just infrastructure metrics), implements the AISI trace plane with cryptographic integrity, and feeds security events into your SIEM for correlation with existing detection rules.</w:t>
      </w:r>
    </w:p>
    <w:p>
      <w:pPr>
        <w:pStyle w:val="Heading2"/>
        <w:spacing w:after="180" w:before="240"/>
      </w:pPr>
      <w:r>
        <w:rPr>
          <w:rFonts w:ascii="Aptos" w:cs="Aptos" w:eastAsia="Aptos" w:hAnsi="Aptos"/>
          <w:b/>
          <w:bCs/>
          <w:sz w:val="28"/>
          <w:szCs w:val="28"/>
        </w:rPr>
        <w:t xml:space="preserve">OpenTelemetry Instrumentation</w:t>
      </w:r>
    </w:p>
    <w:p>
      <w:pPr>
        <w:spacing w:after="200"/>
      </w:pPr>
      <w:r>
        <w:rPr>
          <w:rFonts w:ascii="Aptos" w:cs="Aptos" w:eastAsia="Aptos" w:hAnsi="Aptos"/>
          <w:sz w:val="24"/>
          <w:szCs w:val="24"/>
        </w:rPr>
        <w:t xml:space="preserve">Use OpenTelemetry as the telemetry backbone. Instrument agents to emit spans for every A2A interaction, with agent-specific attributes: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Python: OpenTelemetry instrumentation for A2A</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from opentelemetry import trace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from opentelemetry.sdk.trace import TracerProvider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from opentelemetry.sdk.trace.export import BatchSpanProcessor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from opentelemetry.exporter.otlp.proto.grpc.trace_exporter import OTLPSpanExporter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Configure the TracerProvider with an OTLP exporter.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Without this setup, spans are created but never exported.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provider = TracerProvider()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provider.add_span_processor(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BatchSpanProcessor(OTLPSpanExporter(endpoint="http://otel-collector:4317"))</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trace.set_tracer_provider(provider)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tracer = trace.get_tracer("aisi.agent")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def handle_a2a_request(request):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with tracer.start_as_current_span("a2a.request") as span: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span.set_attribute("aisi.trace_id", request.trace_id)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span.set_attribute("aisi.agent_id", AGENT_ID)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span.set_attribute("aisi.spiffe_id", SPIFFE_ID)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span.set_attribute("aisi.contract_id", request.contract_id)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span.set_attribute("aisi.oversight_level", oversight_level)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span.set_attribute("aisi.chain_depth", request.chain_depth)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span.set_attribute("aisi.data_classification",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request.contract.data_classification)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span.set_attribute("aisi.tokens_used", 0)  # Updated on completion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 ... agent logic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span.set_attribute("aisi.tokens_used", actual_tokens)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span.set_attribute("aisi.contract_compliant", True)</w:t>
      </w:r>
    </w:p>
    <w:p>
      <w:pPr>
        <w:pStyle w:val="Heading2"/>
        <w:spacing w:after="180" w:before="240"/>
      </w:pPr>
      <w:r>
        <w:rPr>
          <w:rFonts w:ascii="Aptos" w:cs="Aptos" w:eastAsia="Aptos" w:hAnsi="Aptos"/>
          <w:b/>
          <w:bCs/>
          <w:sz w:val="28"/>
          <w:szCs w:val="28"/>
        </w:rPr>
        <w:t xml:space="preserve">Agent-Specific Metrics</w:t>
      </w:r>
    </w:p>
    <w:p>
      <w:pPr>
        <w:spacing w:after="200"/>
      </w:pPr>
      <w:r>
        <w:rPr>
          <w:rFonts w:ascii="Aptos" w:cs="Aptos" w:eastAsia="Aptos" w:hAnsi="Aptos"/>
          <w:sz w:val="24"/>
          <w:szCs w:val="24"/>
        </w:rPr>
        <w:t xml:space="preserve">Beyond standard HTTP metrics, expose these per-agent: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Type</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aisi_tokens_used_total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Counter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Resource consumption per agent, per contract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aisi_contract_violations_total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Counter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Drives circuit breaker thresholds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aisi_oversight_decisions_total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Counter (by 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Audit: how often is each level selected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aisi_delegation_depth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Histogram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Detect unbounded chain growth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aisi_trace_segment_sign_latency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Histogram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Performance overhead of trace integrity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aisi_agent_card_verification_errors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Counter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Identity/trust failures at Layer 7</w:t>
            </w:r>
          </w:p>
        </w:tc>
      </w:tr>
    </w:tbl>
    <w:p>
      <w:pPr>
        <w:pStyle w:val="Heading2"/>
        <w:spacing w:after="180" w:before="240"/>
      </w:pPr>
      <w:r>
        <w:rPr>
          <w:rFonts w:ascii="Aptos" w:cs="Aptos" w:eastAsia="Aptos" w:hAnsi="Aptos"/>
          <w:b/>
          <w:bCs/>
          <w:sz w:val="28"/>
          <w:szCs w:val="28"/>
        </w:rPr>
        <w:t xml:space="preserve">Trace Integrity</w:t>
      </w:r>
    </w:p>
    <w:p>
      <w:pPr>
        <w:spacing w:after="200"/>
      </w:pPr>
      <w:r>
        <w:rPr>
          <w:rFonts w:ascii="Aptos" w:cs="Aptos" w:eastAsia="Aptos" w:hAnsi="Aptos"/>
          <w:sz w:val="24"/>
          <w:szCs w:val="24"/>
        </w:rPr>
        <w:t xml:space="preserve">The AISI trace plane requires cryptographic signing and hash-chaining of trace segments. Implement this as a library that your policy engine calls at every governance checkpoint: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trace_segment.py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import hashlib, json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from datetime import datetime, timezone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from cryptography.hazmat.primitives.asymmetric.ed25519 import Ed25519PrivateKey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def create_trace_segment(trace_id, segment_index, agent_id,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layer, action, details, prev_hash, signing_key):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segment =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"trace_id": trace_id,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"segment_index": segment_index,</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"agent": agent_id,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"layer": layer,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"action": action,</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"details": details,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"timestamp": datetime.now(timezone.utc).isoformat(),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"prev_hash": prev_hash,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payload = json.dumps(segment, sort_keys=True).encode()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segment["hash"] = hashlib.sha256(payload).hexdigest()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segment["signature"] = signing_key.sign(payload).hex()</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return segment</w:t>
      </w:r>
    </w:p>
    <w:p>
      <w:pPr>
        <w:spacing w:after="120"/>
      </w:pPr>
    </w:p>
    <w:p>
      <w:pPr>
        <w:spacing w:after="200"/>
      </w:pPr>
      <w:r>
        <w:rPr>
          <w:rFonts w:ascii="Aptos" w:cs="Aptos" w:eastAsia="Aptos" w:hAnsi="Aptos"/>
          <w:sz w:val="24"/>
          <w:szCs w:val="24"/>
        </w:rPr>
        <w:t xml:space="preserve">Ship trace segments to a centralized store (Elasticsearch, ClickHouse, or a cloud-native equivalent) separate from the agent's own infrastructure. No agent should be the sole custodian of its own trace data.</w:t>
      </w:r>
    </w:p>
    <w:p>
      <w:pPr>
        <w:pStyle w:val="Heading2"/>
        <w:spacing w:after="180" w:before="240"/>
      </w:pPr>
      <w:r>
        <w:rPr>
          <w:rFonts w:ascii="Aptos" w:cs="Aptos" w:eastAsia="Aptos" w:hAnsi="Aptos"/>
          <w:b/>
          <w:bCs/>
          <w:sz w:val="28"/>
          <w:szCs w:val="28"/>
        </w:rPr>
        <w:t xml:space="preserve">SIEM Integration</w:t>
      </w:r>
    </w:p>
    <w:p>
      <w:pPr>
        <w:spacing w:after="200"/>
      </w:pPr>
      <w:r>
        <w:rPr>
          <w:rFonts w:ascii="Aptos" w:cs="Aptos" w:eastAsia="Aptos" w:hAnsi="Aptos"/>
          <w:sz w:val="24"/>
          <w:szCs w:val="24"/>
        </w:rPr>
        <w:t xml:space="preserve">Forward these event types to your SIEM: authentication failures (mTLS handshake failures, SPIFFE ID mismatches), contract violations, oversight level overrides, agent card verification errors, circuit breaker trips, kill switch activations, and trace integrity failures (missing segments, hash mismatches).</w:t>
      </w:r>
    </w:p>
    <w:p>
      <w:pPr>
        <w:spacing w:after="200"/>
      </w:pPr>
      <w:r>
        <w:rPr>
          <w:rFonts w:ascii="Aptos" w:cs="Aptos" w:eastAsia="Aptos" w:hAnsi="Aptos"/>
          <w:sz w:val="24"/>
          <w:szCs w:val="24"/>
        </w:rPr>
        <w:t xml:space="preserve">Use the OpenTelemetry Collector as the routing layer. Each SIEM has its own exporter: Splunk HEC exporter for Splunk, Azure Monitor exporter for Sentinel, the Chronicle exporter or Google Cloud exporter for Chronicle. If your SIEM only ingests syslog, use the Collector's syslog exporter. OTLP is the protocol between your agents and the Collector, not between the Collector and the SIEM.</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agent emits OpenTelemetry spans with AISI-specific attributes. Agent metrics are collected in Prometheus and dashboarded in Grafana (or your cloud-native equivalent). Trace segments are cryptographically signed, hash-chained, and shipped to a centralized store. Security events flow to your SIEM with correlation rules for multi-agent attack patterns. You can pull up a trace ID and reconstruct the entire agent chain, from the human principal who initiated the request to the final response.</w:t>
      </w:r>
    </w:p>
    <w:p>
      <w:r>
        <w:br w:type="page"/>
      </w:r>
    </w:p>
    <w:p>
      <w:pPr>
        <w:pStyle w:val="Heading1"/>
        <w:spacing w:after="240" w:before="360"/>
      </w:pPr>
      <w:r>
        <w:rPr>
          <w:rFonts w:ascii="Aptos" w:cs="Aptos" w:eastAsia="Aptos" w:hAnsi="Aptos"/>
          <w:b/>
          <w:bCs/>
          <w:sz w:val="32"/>
          <w:szCs w:val="32"/>
        </w:rPr>
        <w:t xml:space="preserve">7. Secrets Management</w:t>
      </w:r>
    </w:p>
    <w:p>
      <w:pPr>
        <w:pBdr>
          <w:left w:val="single" w:color="2E6F40" w:sz="6" w:space="8"/>
        </w:pBdr>
        <w:spacing w:after="100"/>
        <w:ind w:left="360"/>
      </w:pPr>
      <w:r>
        <w:rPr>
          <w:rFonts w:ascii="Aptos" w:cs="Aptos" w:eastAsia="Aptos" w:hAnsi="Aptos"/>
          <w:b/>
          <w:bCs/>
          <w:sz w:val="22"/>
          <w:szCs w:val="22"/>
        </w:rPr>
        <w:t xml:space="preserve">IT-3: Secrets management</w:t>
      </w:r>
      <w:r>
        <w:rPr>
          <w:rFonts w:ascii="Aptos" w:cs="Aptos" w:eastAsia="Aptos" w:hAnsi="Aptos"/>
          <w:color w:val="666666"/>
          <w:sz w:val="20"/>
          <w:szCs w:val="20"/>
        </w:rPr>
        <w:t xml:space="preserve">  |  AISI Layers 2, 7</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All credentials, API keys, and tokens stored in a secrets manager. Nothing in environment variables, code, container images, or Agent Cards. Rotation automated. Agent-specific access scoped so one compromised agent cannot access another agent's secrets.</w:t>
      </w:r>
    </w:p>
    <w:p>
      <w:pPr>
        <w:pStyle w:val="Heading2"/>
        <w:spacing w:after="180" w:before="240"/>
      </w:pPr>
      <w:r>
        <w:rPr>
          <w:rFonts w:ascii="Aptos" w:cs="Aptos" w:eastAsia="Aptos" w:hAnsi="Aptos"/>
          <w:b/>
          <w:bCs/>
          <w:sz w:val="28"/>
          <w:szCs w:val="28"/>
        </w:rPr>
        <w:t xml:space="preserve">Implementation</w:t>
      </w:r>
    </w:p>
    <w:p>
      <w:pPr>
        <w:spacing w:after="200"/>
      </w:pPr>
      <w:r>
        <w:rPr>
          <w:rFonts w:ascii="Aptos" w:cs="Aptos" w:eastAsia="Aptos" w:hAnsi="Aptos"/>
          <w:sz w:val="24"/>
          <w:szCs w:val="24"/>
        </w:rPr>
        <w:t xml:space="preserve">Use HashiCorp Vault, AWS Secrets Manager, Azure Key Vault, or GCP Secret Manager. The pattern is the same regardless of provider: agents authenticate to the secrets manager using their workload identity (SPIFFE/SPIRE), and the secrets manager returns only the secrets that agent is authorized to access.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Vault policy for the research agent</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Vault resolves by most-specific path match, so this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grants read on research-v2 while denying everything else.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path "secret/data/agents/research-v2/*"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capabilities = ["read"]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Deny access to other agents' secrets (less-specific path)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path "secret/data/agents/*"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capabilities = ["deny"]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Auth method: SPIFFE (via JWT auth backend)</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vault write auth/jwt/role/research-agent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role_type=jwt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bound_audiences=vault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bound_subject=spiffe://agents.example.com/agent/research-v2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token_policies=research-agent-policy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token_ttl=15m</w:t>
      </w:r>
    </w:p>
    <w:p>
      <w:pPr>
        <w:spacing w:after="120"/>
      </w:pPr>
    </w:p>
    <w:p>
      <w:pPr>
        <w:spacing w:after="200"/>
      </w:pPr>
      <w:r>
        <w:rPr>
          <w:rFonts w:ascii="Aptos" w:cs="Aptos" w:eastAsia="Aptos" w:hAnsi="Aptos"/>
          <w:sz w:val="24"/>
          <w:szCs w:val="24"/>
        </w:rPr>
        <w:t xml:space="preserve">On Kubernetes, use the Vault Agent Injector or Secrets Store CSI Driver to mount secrets into agent pods without the agent code ever seeing a Vault token. The sidecar handles authentication and renewal.</w:t>
      </w:r>
    </w:p>
    <w:p>
      <w:pPr>
        <w:spacing w:after="200"/>
      </w:pPr>
      <w:r>
        <w:rPr>
          <w:rFonts w:ascii="Aptos" w:cs="Aptos" w:eastAsia="Aptos" w:hAnsi="Aptos"/>
          <w:sz w:val="24"/>
          <w:szCs w:val="24"/>
        </w:rPr>
        <w:t xml:space="preserve">Rotate API keys and model endpoint credentials on a schedule (at least every 90 days, shorter for high-risk keys). The secrets manager handles rotation; the agent reads the current value from the mount path each time it needs it. No restart required.</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Zero secrets in environment variables, ConfigMaps, or container images. Every agent authenticates to the secrets manager via its SPIFFE identity. Access is scoped per-agent. Rotation is automated. You can rotate any secret and the agent picks up the new value without a restart.</w:t>
      </w:r>
    </w:p>
    <w:p>
      <w:r>
        <w:br w:type="page"/>
      </w:r>
    </w:p>
    <w:p>
      <w:pPr>
        <w:pStyle w:val="Heading1"/>
        <w:spacing w:after="240" w:before="360"/>
      </w:pPr>
      <w:r>
        <w:rPr>
          <w:rFonts w:ascii="Aptos" w:cs="Aptos" w:eastAsia="Aptos" w:hAnsi="Aptos"/>
          <w:b/>
          <w:bCs/>
          <w:sz w:val="32"/>
          <w:szCs w:val="32"/>
        </w:rPr>
        <w:t xml:space="preserve">8. Data Controls and Content Filtering</w:t>
      </w:r>
    </w:p>
    <w:p>
      <w:pPr>
        <w:pBdr>
          <w:left w:val="single" w:color="2E6F40" w:sz="6" w:space="8"/>
        </w:pBdr>
        <w:spacing w:after="100"/>
        <w:ind w:left="360"/>
      </w:pPr>
      <w:r>
        <w:rPr>
          <w:rFonts w:ascii="Aptos" w:cs="Aptos" w:eastAsia="Aptos" w:hAnsi="Aptos"/>
          <w:b/>
          <w:bCs/>
          <w:sz w:val="22"/>
          <w:szCs w:val="22"/>
        </w:rPr>
        <w:t xml:space="preserve">AI-5: Hallucination + grounding controls</w:t>
      </w:r>
      <w:r>
        <w:rPr>
          <w:rFonts w:ascii="Aptos" w:cs="Aptos" w:eastAsia="Aptos" w:hAnsi="Aptos"/>
          <w:color w:val="666666"/>
          <w:sz w:val="20"/>
          <w:szCs w:val="20"/>
        </w:rPr>
        <w:t xml:space="preserve">  |  AISI Layers 5, 4</w:t>
      </w:r>
    </w:p>
    <w:p>
      <w:pPr>
        <w:pBdr>
          <w:left w:val="single" w:color="2E6F40" w:sz="6" w:space="8"/>
        </w:pBdr>
        <w:spacing w:after="100"/>
        <w:ind w:left="360"/>
      </w:pPr>
      <w:r>
        <w:rPr>
          <w:rFonts w:ascii="Aptos" w:cs="Aptos" w:eastAsia="Aptos" w:hAnsi="Aptos"/>
          <w:b/>
          <w:bCs/>
          <w:sz w:val="22"/>
          <w:szCs w:val="22"/>
        </w:rPr>
        <w:t xml:space="preserve">AI-6: RAG data access governance</w:t>
      </w:r>
      <w:r>
        <w:rPr>
          <w:rFonts w:ascii="Aptos" w:cs="Aptos" w:eastAsia="Aptos" w:hAnsi="Aptos"/>
          <w:color w:val="666666"/>
          <w:sz w:val="20"/>
          <w:szCs w:val="20"/>
        </w:rPr>
        <w:t xml:space="preserve">  |  AISI Layers 4, 6</w:t>
      </w:r>
    </w:p>
    <w:p>
      <w:pPr>
        <w:pBdr>
          <w:left w:val="single" w:color="2E6F40" w:sz="6" w:space="8"/>
        </w:pBdr>
        <w:spacing w:after="100"/>
        <w:ind w:left="360"/>
      </w:pPr>
      <w:r>
        <w:rPr>
          <w:rFonts w:ascii="Aptos" w:cs="Aptos" w:eastAsia="Aptos" w:hAnsi="Aptos"/>
          <w:b/>
          <w:bCs/>
          <w:sz w:val="22"/>
          <w:szCs w:val="22"/>
        </w:rPr>
        <w:t xml:space="preserve">AI-12: Output content filtering</w:t>
      </w:r>
      <w:r>
        <w:rPr>
          <w:rFonts w:ascii="Aptos" w:cs="Aptos" w:eastAsia="Aptos" w:hAnsi="Aptos"/>
          <w:color w:val="666666"/>
          <w:sz w:val="20"/>
          <w:szCs w:val="20"/>
        </w:rPr>
        <w:t xml:space="preserve">  |  AISI Layer 7</w:t>
      </w:r>
    </w:p>
    <w:p>
      <w:pPr>
        <w:pBdr>
          <w:left w:val="single" w:color="2E6F40" w:sz="6" w:space="8"/>
        </w:pBdr>
        <w:spacing w:after="100"/>
        <w:ind w:left="360"/>
      </w:pPr>
      <w:r>
        <w:rPr>
          <w:rFonts w:ascii="Aptos" w:cs="Aptos" w:eastAsia="Aptos" w:hAnsi="Aptos"/>
          <w:b/>
          <w:bCs/>
          <w:sz w:val="22"/>
          <w:szCs w:val="22"/>
        </w:rPr>
        <w:t xml:space="preserve">SEC-7: Data loss prevention</w:t>
      </w:r>
      <w:r>
        <w:rPr>
          <w:rFonts w:ascii="Aptos" w:cs="Aptos" w:eastAsia="Aptos" w:hAnsi="Aptos"/>
          <w:color w:val="666666"/>
          <w:sz w:val="20"/>
          <w:szCs w:val="20"/>
        </w:rPr>
        <w:t xml:space="preserve">  |  AISI Layers 4, 7</w:t>
      </w:r>
    </w:p>
    <w:p>
      <w:pPr>
        <w:spacing w:after="120"/>
      </w:pPr>
    </w:p>
    <w:p>
      <w:pPr>
        <w:pStyle w:val="Heading2"/>
        <w:spacing w:after="180" w:before="240"/>
      </w:pPr>
      <w:r>
        <w:rPr>
          <w:rFonts w:ascii="Aptos" w:cs="Aptos" w:eastAsia="Aptos" w:hAnsi="Aptos"/>
          <w:b/>
          <w:bCs/>
          <w:sz w:val="28"/>
          <w:szCs w:val="28"/>
        </w:rPr>
        <w:t xml:space="preserve">What You Are Building</w:t>
      </w:r>
    </w:p>
    <w:p>
      <w:pPr>
        <w:spacing w:after="200"/>
      </w:pPr>
      <w:r>
        <w:rPr>
          <w:rFonts w:ascii="Aptos" w:cs="Aptos" w:eastAsia="Aptos" w:hAnsi="Aptos"/>
          <w:sz w:val="24"/>
          <w:szCs w:val="24"/>
        </w:rPr>
        <w:t xml:space="preserve">Retrieval-augmented generation with access controls on the data layer, so agents only retrieve documents the requesting user is authorized to see. Output filtering that catches PII, harmful content, and data above the contracted classification level before it leaves the agent. Grounding controls that attach source citations to generated output.</w:t>
      </w:r>
    </w:p>
    <w:p>
      <w:pPr>
        <w:pStyle w:val="Heading2"/>
        <w:spacing w:after="180" w:before="240"/>
      </w:pPr>
      <w:r>
        <w:rPr>
          <w:rFonts w:ascii="Aptos" w:cs="Aptos" w:eastAsia="Aptos" w:hAnsi="Aptos"/>
          <w:b/>
          <w:bCs/>
          <w:sz w:val="28"/>
          <w:szCs w:val="28"/>
        </w:rPr>
        <w:t xml:space="preserve">RAG Access Governance</w:t>
      </w:r>
    </w:p>
    <w:p>
      <w:pPr>
        <w:spacing w:after="200"/>
      </w:pPr>
      <w:r>
        <w:rPr>
          <w:rFonts w:ascii="Aptos" w:cs="Aptos" w:eastAsia="Aptos" w:hAnsi="Aptos"/>
          <w:sz w:val="24"/>
          <w:szCs w:val="24"/>
        </w:rPr>
        <w:t xml:space="preserve">Your vector store is not a flat database. It holds documents at different classification levels. When an agent queries the vector store on behalf of a user, the query must be scoped to documents that user (the human principal at the start of the identity chain) is authorized to access.</w:t>
      </w:r>
    </w:p>
    <w:p>
      <w:pPr>
        <w:spacing w:after="200"/>
      </w:pPr>
      <w:r>
        <w:rPr>
          <w:rFonts w:ascii="Aptos" w:cs="Aptos" w:eastAsia="Aptos" w:hAnsi="Aptos"/>
          <w:sz w:val="24"/>
          <w:szCs w:val="24"/>
        </w:rPr>
        <w:t xml:space="preserve">Implement this as metadata filtering on the vector store query. Tag every document chunk with its classification and access control list at ingestion time. At query time, filter by the requesting user's access level:</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RAG query with access scoping</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results = vector_store.similarity_search(</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query=user_query,</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k=10,</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filter={</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"classification": {"$in": allowed_classifications},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"acl": {"$in": user_groups},</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    }</w:t>
      </w:r>
    </w:p>
    <w:p>
      <w:pPr>
        <w:pBdr>
          <w:left w:val="single" w:color="CCCCCC" w:sz="4" w:space="4"/>
        </w:pBdr>
        <w:shd w:fill="F5F5F5" w:val="clear"/>
        <w:spacing w:after="0" w:line="260" w:lineRule="exact"/>
        <w:ind w:left="360"/>
      </w:pPr>
      <w:r>
        <w:rPr>
          <w:rFonts w:ascii="Courier New" w:cs="Courier New" w:eastAsia="Courier New" w:hAnsi="Courier New"/>
          <w:sz w:val="18"/>
          <w:szCs w:val="18"/>
        </w:rPr>
        <w:t xml:space="preserve">)</w:t>
      </w:r>
    </w:p>
    <w:p>
      <w:pPr>
        <w:spacing w:after="120"/>
      </w:pPr>
    </w:p>
    <w:p>
      <w:pPr>
        <w:spacing w:after="200"/>
      </w:pPr>
      <w:r>
        <w:rPr>
          <w:rFonts w:ascii="Aptos" w:cs="Aptos" w:eastAsia="Aptos" w:hAnsi="Aptos"/>
          <w:sz w:val="24"/>
          <w:szCs w:val="24"/>
        </w:rPr>
        <w:t xml:space="preserve">Log every retrieval against the trace ID: what was queried, what documents were returned, and what access scope was applied. This is your audit trail for data access.</w:t>
      </w:r>
    </w:p>
    <w:p>
      <w:pPr>
        <w:pStyle w:val="Heading2"/>
        <w:spacing w:after="180" w:before="240"/>
      </w:pPr>
      <w:r>
        <w:rPr>
          <w:rFonts w:ascii="Aptos" w:cs="Aptos" w:eastAsia="Aptos" w:hAnsi="Aptos"/>
          <w:b/>
          <w:bCs/>
          <w:sz w:val="28"/>
          <w:szCs w:val="28"/>
        </w:rPr>
        <w:t xml:space="preserve">Output Content Filtering</w:t>
      </w:r>
    </w:p>
    <w:p>
      <w:pPr>
        <w:spacing w:after="200"/>
      </w:pPr>
      <w:r>
        <w:rPr>
          <w:rFonts w:ascii="Aptos" w:cs="Aptos" w:eastAsia="Aptos" w:hAnsi="Aptos"/>
          <w:sz w:val="24"/>
          <w:szCs w:val="24"/>
        </w:rPr>
        <w:t xml:space="preserve">Before any response crosses an A2A boundary (Layer 7), run it through content filters:</w:t>
      </w:r>
    </w:p>
    <w:p>
      <w:pPr>
        <w:spacing w:after="200"/>
      </w:pPr>
      <w:r>
        <w:rPr>
          <w:rFonts w:ascii="Aptos" w:cs="Aptos" w:eastAsia="Aptos" w:hAnsi="Aptos"/>
          <w:b/>
          <w:bCs/>
          <w:sz w:val="24"/>
          <w:szCs w:val="24"/>
        </w:rPr>
        <w:t xml:space="preserve">PII detection</w:t>
      </w:r>
      <w:r>
        <w:rPr>
          <w:rFonts w:ascii="Aptos" w:cs="Aptos" w:eastAsia="Aptos" w:hAnsi="Aptos"/>
          <w:sz w:val="24"/>
          <w:szCs w:val="24"/>
        </w:rPr>
        <w:t xml:space="preserve">: Use a NER model or regex-based detector (Presidio, AWS Comprehend, Azure AI Language) to flag names, emails, phone numbers, SSNs, and other PII. Redact or block based on the contract's data_classification.</w:t>
      </w:r>
    </w:p>
    <w:p>
      <w:pPr>
        <w:spacing w:after="200"/>
      </w:pPr>
      <w:r>
        <w:rPr>
          <w:rFonts w:ascii="Aptos" w:cs="Aptos" w:eastAsia="Aptos" w:hAnsi="Aptos"/>
          <w:b/>
          <w:bCs/>
          <w:sz w:val="24"/>
          <w:szCs w:val="24"/>
        </w:rPr>
        <w:t xml:space="preserve">Data classification enforcement</w:t>
      </w:r>
      <w:r>
        <w:rPr>
          <w:rFonts w:ascii="Aptos" w:cs="Aptos" w:eastAsia="Aptos" w:hAnsi="Aptos"/>
          <w:sz w:val="24"/>
          <w:szCs w:val="24"/>
        </w:rPr>
        <w:t xml:space="preserve">: If the behavioral contract specifies data_classification: internal, and the response contains content tagged as confidential or restricted, block the response and log a contract violation.</w:t>
      </w:r>
    </w:p>
    <w:p>
      <w:pPr>
        <w:spacing w:after="200"/>
      </w:pPr>
      <w:r>
        <w:rPr>
          <w:rFonts w:ascii="Aptos" w:cs="Aptos" w:eastAsia="Aptos" w:hAnsi="Aptos"/>
          <w:b/>
          <w:bCs/>
          <w:sz w:val="24"/>
          <w:szCs w:val="24"/>
        </w:rPr>
        <w:t xml:space="preserve">Harmful content blocking</w:t>
      </w:r>
      <w:r>
        <w:rPr>
          <w:rFonts w:ascii="Aptos" w:cs="Aptos" w:eastAsia="Aptos" w:hAnsi="Aptos"/>
          <w:sz w:val="24"/>
          <w:szCs w:val="24"/>
        </w:rPr>
        <w:t xml:space="preserve">: Run output through a content safety classifier (Azure AI Content Safety, AWS Bedrock Guardrails, or an open-source alternative). Block responses that exceed your safety thresholds.</w:t>
      </w:r>
    </w:p>
    <w:p>
      <w:pPr>
        <w:pStyle w:val="Heading2"/>
        <w:spacing w:after="180" w:before="240"/>
      </w:pPr>
      <w:r>
        <w:rPr>
          <w:rFonts w:ascii="Aptos" w:cs="Aptos" w:eastAsia="Aptos" w:hAnsi="Aptos"/>
          <w:b/>
          <w:bCs/>
          <w:sz w:val="28"/>
          <w:szCs w:val="28"/>
        </w:rPr>
        <w:t xml:space="preserve">Grounding and Citation</w:t>
      </w:r>
    </w:p>
    <w:p>
      <w:pPr>
        <w:spacing w:after="200"/>
      </w:pPr>
      <w:r>
        <w:rPr>
          <w:rFonts w:ascii="Aptos" w:cs="Aptos" w:eastAsia="Aptos" w:hAnsi="Aptos"/>
          <w:sz w:val="24"/>
          <w:szCs w:val="24"/>
        </w:rPr>
        <w:t xml:space="preserve">For every claim in the agent's output, attach the source document(s) from the RAG retrieval. Include a confidence score if the model supports it. Without source attribution, downstream agents and human reviewers have no way to verify the output independently.</w:t>
      </w:r>
    </w:p>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Vector store queries are scoped to the requesting user's access level. Every retrieval is logged against the trace ID. Output passes through PII detection and content safety filtering before it leaves the agent. Responses include source citations from the RAG retrieval. Data classification is enforced at the boundary: if the contract says internal, nothing confidential gets through.</w:t>
      </w:r>
    </w:p>
    <w:p>
      <w:r>
        <w:br w:type="page"/>
      </w:r>
    </w:p>
    <w:p>
      <w:pPr>
        <w:pStyle w:val="Heading1"/>
        <w:spacing w:after="240" w:before="360"/>
      </w:pPr>
      <w:r>
        <w:rPr>
          <w:rFonts w:ascii="Aptos" w:cs="Aptos" w:eastAsia="Aptos" w:hAnsi="Aptos"/>
          <w:b/>
          <w:bCs/>
          <w:sz w:val="32"/>
          <w:szCs w:val="32"/>
        </w:rPr>
        <w:t xml:space="preserve">9. Security Operations</w:t>
      </w:r>
    </w:p>
    <w:p>
      <w:pPr>
        <w:pBdr>
          <w:left w:val="single" w:color="2E6F40" w:sz="6" w:space="8"/>
        </w:pBdr>
        <w:spacing w:after="100"/>
        <w:ind w:left="360"/>
      </w:pPr>
      <w:r>
        <w:rPr>
          <w:rFonts w:ascii="Aptos" w:cs="Aptos" w:eastAsia="Aptos" w:hAnsi="Aptos"/>
          <w:b/>
          <w:bCs/>
          <w:sz w:val="22"/>
          <w:szCs w:val="22"/>
        </w:rPr>
        <w:t xml:space="preserve">SEC-1: Agent threat modeling</w:t>
      </w:r>
      <w:r>
        <w:rPr>
          <w:rFonts w:ascii="Aptos" w:cs="Aptos" w:eastAsia="Aptos" w:hAnsi="Aptos"/>
          <w:color w:val="666666"/>
          <w:sz w:val="20"/>
          <w:szCs w:val="20"/>
        </w:rPr>
        <w:t xml:space="preserve">  |  AISI All layers</w:t>
      </w:r>
    </w:p>
    <w:p>
      <w:pPr>
        <w:pBdr>
          <w:left w:val="single" w:color="2E6F40" w:sz="6" w:space="8"/>
        </w:pBdr>
        <w:spacing w:after="100"/>
        <w:ind w:left="360"/>
      </w:pPr>
      <w:r>
        <w:rPr>
          <w:rFonts w:ascii="Aptos" w:cs="Aptos" w:eastAsia="Aptos" w:hAnsi="Aptos"/>
          <w:b/>
          <w:bCs/>
          <w:sz w:val="22"/>
          <w:szCs w:val="22"/>
        </w:rPr>
        <w:t xml:space="preserve">SEC-2: Adversarial testing in CI/CD</w:t>
      </w:r>
      <w:r>
        <w:rPr>
          <w:rFonts w:ascii="Aptos" w:cs="Aptos" w:eastAsia="Aptos" w:hAnsi="Aptos"/>
          <w:color w:val="666666"/>
          <w:sz w:val="20"/>
          <w:szCs w:val="20"/>
        </w:rPr>
        <w:t xml:space="preserve">  |  AISI Build + runtime</w:t>
      </w:r>
    </w:p>
    <w:p>
      <w:pPr>
        <w:pBdr>
          <w:left w:val="single" w:color="2E6F40" w:sz="6" w:space="8"/>
        </w:pBdr>
        <w:spacing w:after="100"/>
        <w:ind w:left="360"/>
      </w:pPr>
      <w:r>
        <w:rPr>
          <w:rFonts w:ascii="Aptos" w:cs="Aptos" w:eastAsia="Aptos" w:hAnsi="Aptos"/>
          <w:b/>
          <w:bCs/>
          <w:sz w:val="22"/>
          <w:szCs w:val="22"/>
        </w:rPr>
        <w:t xml:space="preserve">SEC-5: Incident response playbooks</w:t>
      </w:r>
      <w:r>
        <w:rPr>
          <w:rFonts w:ascii="Aptos" w:cs="Aptos" w:eastAsia="Aptos" w:hAnsi="Aptos"/>
          <w:color w:val="666666"/>
          <w:sz w:val="20"/>
          <w:szCs w:val="20"/>
        </w:rPr>
        <w:t xml:space="preserve">  |  AISI All layers</w:t>
      </w:r>
    </w:p>
    <w:p>
      <w:pPr>
        <w:spacing w:after="120"/>
      </w:pPr>
    </w:p>
    <w:p>
      <w:pPr>
        <w:pStyle w:val="Heading2"/>
        <w:spacing w:after="180" w:before="240"/>
      </w:pPr>
      <w:r>
        <w:rPr>
          <w:rFonts w:ascii="Aptos" w:cs="Aptos" w:eastAsia="Aptos" w:hAnsi="Aptos"/>
          <w:b/>
          <w:bCs/>
          <w:sz w:val="28"/>
          <w:szCs w:val="28"/>
        </w:rPr>
        <w:t xml:space="preserve">Threat Modeling</w:t>
      </w:r>
    </w:p>
    <w:p>
      <w:pPr>
        <w:spacing w:after="200"/>
      </w:pPr>
      <w:r>
        <w:rPr>
          <w:rFonts w:ascii="Aptos" w:cs="Aptos" w:eastAsia="Aptos" w:hAnsi="Aptos"/>
          <w:sz w:val="24"/>
          <w:szCs w:val="24"/>
        </w:rPr>
        <w:t xml:space="preserve">Before any agent goes to production, conduct a threat model using the AISI layer decomposition. For each layer the agent touches, ask: what can an attacker do here, and what controls are in place?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AISI Layer</w:t>
            </w:r>
          </w:p>
        </w:tc>
        <w:tc>
          <w:tcPr>
            <w:tcW w:type="dxa" w:w="468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Questions to 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7 (Interface)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Can an attacker spoof the Agent Card? Replay a valid request? Inject malicious fields?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6 (Orchestration)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Can the oversight level be downgraded? Can delegation scope be widened? Can the trace be tampered with?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5 (Agent Logic)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Can the system prompt be extracted or overridden? Can tool calls be hijacked? Can the agent be made to hallucinate a specific output?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4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Can the vector store be poisoned? Can embeddings be corrupted? Can retrieval be steered to return specific documents?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3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Is the model signed? Can a compromised model be swapped in? Is the model vulnerable to known attacks?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2 (Infra)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Is the container isolated? Are secrets protected? Can a compromised agent escape to the host?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Layer 1 (Physical)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Are GPUs shared between tenants of different trust levels? Is hardware attestation (such as TPM-based measured boot) enabled on agent nodes? Does the cloud region meet data-residency requirements? Are hardware accelerators (DPUs, FPGAs) running firmware signed by the vendor?</w:t>
            </w:r>
          </w:p>
        </w:tc>
      </w:tr>
    </w:tbl>
    <w:p>
      <w:pPr>
        <w:spacing w:after="120"/>
      </w:pPr>
    </w:p>
    <w:p>
      <w:pPr>
        <w:spacing w:after="200"/>
      </w:pPr>
      <w:r>
        <w:rPr>
          <w:rFonts w:ascii="Aptos" w:cs="Aptos" w:eastAsia="Aptos" w:hAnsi="Aptos"/>
          <w:sz w:val="24"/>
          <w:szCs w:val="24"/>
        </w:rPr>
        <w:t xml:space="preserve">Document the threat model and review it when the agent's capabilities change, when new A2A integrations are added, or when the Security Reference publishes new threat vectors.</w:t>
      </w:r>
    </w:p>
    <w:p>
      <w:pPr>
        <w:pStyle w:val="Heading2"/>
        <w:spacing w:after="180" w:before="240"/>
      </w:pPr>
      <w:r>
        <w:rPr>
          <w:rFonts w:ascii="Aptos" w:cs="Aptos" w:eastAsia="Aptos" w:hAnsi="Aptos"/>
          <w:b/>
          <w:bCs/>
          <w:sz w:val="28"/>
          <w:szCs w:val="28"/>
        </w:rPr>
        <w:t xml:space="preserve">Adversarial Testing in CI/CD</w:t>
      </w:r>
    </w:p>
    <w:p>
      <w:pPr>
        <w:spacing w:after="200"/>
      </w:pPr>
      <w:r>
        <w:rPr>
          <w:rFonts w:ascii="Aptos" w:cs="Aptos" w:eastAsia="Aptos" w:hAnsi="Aptos"/>
          <w:sz w:val="24"/>
          <w:szCs w:val="24"/>
        </w:rPr>
        <w:t xml:space="preserve">Add these to your CI/CD pipeline:</w:t>
      </w:r>
    </w:p>
    <w:p>
      <w:pPr>
        <w:spacing w:after="200"/>
      </w:pPr>
      <w:r>
        <w:rPr>
          <w:rFonts w:ascii="Aptos" w:cs="Aptos" w:eastAsia="Aptos" w:hAnsi="Aptos"/>
          <w:b/>
          <w:bCs/>
          <w:sz w:val="24"/>
          <w:szCs w:val="24"/>
        </w:rPr>
        <w:t xml:space="preserve">Prompt injection tests</w:t>
      </w:r>
      <w:r>
        <w:rPr>
          <w:rFonts w:ascii="Aptos" w:cs="Aptos" w:eastAsia="Aptos" w:hAnsi="Aptos"/>
          <w:sz w:val="24"/>
          <w:szCs w:val="24"/>
        </w:rPr>
        <w:t xml:space="preserve">: Send known injection payloads (ignore previous instructions, system prompt extraction attempts) and verify the agent rejects them or does not comply.</w:t>
      </w:r>
    </w:p>
    <w:p>
      <w:pPr>
        <w:spacing w:after="200"/>
      </w:pPr>
      <w:r>
        <w:rPr>
          <w:rFonts w:ascii="Aptos" w:cs="Aptos" w:eastAsia="Aptos" w:hAnsi="Aptos"/>
          <w:b/>
          <w:bCs/>
          <w:sz w:val="24"/>
          <w:szCs w:val="24"/>
        </w:rPr>
        <w:t xml:space="preserve">Schema boundary tests</w:t>
      </w:r>
      <w:r>
        <w:rPr>
          <w:rFonts w:ascii="Aptos" w:cs="Aptos" w:eastAsia="Aptos" w:hAnsi="Aptos"/>
          <w:sz w:val="24"/>
          <w:szCs w:val="24"/>
        </w:rPr>
        <w:t xml:space="preserve">: Send payloads with extra fields, missing required fields, wrong types, and oversized inputs. Verify the schema validator catches all of them.</w:t>
      </w:r>
    </w:p>
    <w:p>
      <w:pPr>
        <w:spacing w:after="200"/>
      </w:pPr>
      <w:r>
        <w:rPr>
          <w:rFonts w:ascii="Aptos" w:cs="Aptos" w:eastAsia="Aptos" w:hAnsi="Aptos"/>
          <w:b/>
          <w:bCs/>
          <w:sz w:val="24"/>
          <w:szCs w:val="24"/>
        </w:rPr>
        <w:t xml:space="preserve">Delegation escalation tests</w:t>
      </w:r>
      <w:r>
        <w:rPr>
          <w:rFonts w:ascii="Aptos" w:cs="Aptos" w:eastAsia="Aptos" w:hAnsi="Aptos"/>
          <w:sz w:val="24"/>
          <w:szCs w:val="24"/>
        </w:rPr>
        <w:t xml:space="preserve">: Simulate a caller requesting broader scope than it was given. Verify Layer 6 blocks it.</w:t>
      </w:r>
    </w:p>
    <w:p>
      <w:pPr>
        <w:spacing w:after="200"/>
      </w:pPr>
      <w:r>
        <w:rPr>
          <w:rFonts w:ascii="Aptos" w:cs="Aptos" w:eastAsia="Aptos" w:hAnsi="Aptos"/>
          <w:b/>
          <w:bCs/>
          <w:sz w:val="24"/>
          <w:szCs w:val="24"/>
        </w:rPr>
        <w:t xml:space="preserve">Tool abuse tests</w:t>
      </w:r>
      <w:r>
        <w:rPr>
          <w:rFonts w:ascii="Aptos" w:cs="Aptos" w:eastAsia="Aptos" w:hAnsi="Aptos"/>
          <w:sz w:val="24"/>
          <w:szCs w:val="24"/>
        </w:rPr>
        <w:t xml:space="preserve">: If the agent has tools, verify it cannot invoke tools outside its declared set, cannot pass unvalidated input to tools, and cannot use tools to exfiltrate data.</w:t>
      </w:r>
    </w:p>
    <w:p>
      <w:pPr>
        <w:spacing w:after="200"/>
      </w:pPr>
      <w:r>
        <w:rPr>
          <w:rFonts w:ascii="Aptos" w:cs="Aptos" w:eastAsia="Aptos" w:hAnsi="Aptos"/>
          <w:sz w:val="24"/>
          <w:szCs w:val="24"/>
        </w:rPr>
        <w:t xml:space="preserve">Run these as part of the same CI/CD gate as your unit tests. If an adversarial test fails, the build fails.</w:t>
      </w:r>
    </w:p>
    <w:p>
      <w:pPr>
        <w:pStyle w:val="Heading2"/>
        <w:spacing w:after="180" w:before="240"/>
      </w:pPr>
      <w:r>
        <w:rPr>
          <w:rFonts w:ascii="Aptos" w:cs="Aptos" w:eastAsia="Aptos" w:hAnsi="Aptos"/>
          <w:b/>
          <w:bCs/>
          <w:sz w:val="28"/>
          <w:szCs w:val="28"/>
        </w:rPr>
        <w:t xml:space="preserve">Incident Response Playbooks</w:t>
      </w:r>
    </w:p>
    <w:p>
      <w:pPr>
        <w:spacing w:after="200"/>
      </w:pPr>
      <w:r>
        <w:rPr>
          <w:rFonts w:ascii="Aptos" w:cs="Aptos" w:eastAsia="Aptos" w:hAnsi="Aptos"/>
          <w:sz w:val="24"/>
          <w:szCs w:val="24"/>
        </w:rPr>
        <w:t xml:space="preserve">Write playbooks specific to agent incidents. These are different from your standard IR playbooks because agent incidents involve chains, delegation, and behavioral contracts.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Scenario</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First Action</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Investigation</w:t>
            </w:r>
          </w:p>
        </w:tc>
        <w:tc>
          <w:tcPr>
            <w:tcW w:type="dxa" w:w="234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Resolution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Agent impersonation (A2A-01)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Kill switch the impersonated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Check SPIRE logs for unauthorized identity issuance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Rotate the agent's SPIFFE registration, re-issue cards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Contract violation spike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Trip the circuit breaker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Pull trace segments for recent requests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Identify the violating behavior, patch, redeploy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Trace gap detected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Isolate the agent with the missing segment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Verify trace store integrity, check for data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Determine if gap is operational or adversarial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Oversight bypass (A2A-06)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Escalate to manual for all requests to that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Review oversight policy engine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Patch the policy, add regression test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Data exfiltration via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Kill switch, revoke credentials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Reconstruct the trace chain end-to-end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Identify the exfiltration path, close it, notify affected parties</w:t>
            </w:r>
          </w:p>
        </w:tc>
      </w:tr>
    </w:tbl>
    <w:p>
      <w:pPr>
        <w:pStyle w:val="Heading2"/>
        <w:spacing w:after="180" w:before="240"/>
      </w:pPr>
      <w:r>
        <w:rPr>
          <w:rFonts w:ascii="Aptos" w:cs="Aptos" w:eastAsia="Aptos" w:hAnsi="Aptos"/>
          <w:b/>
          <w:bCs/>
          <w:sz w:val="28"/>
          <w:szCs w:val="28"/>
        </w:rPr>
        <w:t xml:space="preserve">What Done Looks Like</w:t>
      </w:r>
    </w:p>
    <w:p>
      <w:pPr>
        <w:spacing w:after="200"/>
      </w:pPr>
      <w:r>
        <w:rPr>
          <w:rFonts w:ascii="Aptos" w:cs="Aptos" w:eastAsia="Aptos" w:hAnsi="Aptos"/>
          <w:sz w:val="24"/>
          <w:szCs w:val="24"/>
        </w:rPr>
        <w:t xml:space="preserve">Every agent has a documented threat model mapped to AISI layers. Adversarial tests run in CI/CD and block deployment on failure. IR playbooks cover the A2A threat vectors listed in the Security Reference and the most common agent failure modes. Your SOC team has practiced at least one agent-specific incident scenario.</w:t>
      </w:r>
    </w:p>
    <w:p>
      <w:pPr>
        <w:spacing w:after="200"/>
      </w:pPr>
      <w:r>
        <w:rPr>
          <w:rFonts w:ascii="Aptos" w:cs="Aptos" w:eastAsia="Aptos" w:hAnsi="Aptos"/>
          <w:sz w:val="24"/>
          <w:szCs w:val="24"/>
        </w:rPr>
        <w:t xml:space="preserve">This guide covers deployment. For operational procedures after deployment (behavioral drift detection, shadow AI discovery, RAG index freshness, prompt versioning lifecycle, agent memory and retention enforcement, change control for agent meshes, and agent decommission), see the Operations and Lifecycle Reference.</w:t>
      </w:r>
    </w:p>
    <w:p>
      <w:r>
        <w:br w:type="page"/>
      </w:r>
    </w:p>
    <w:p>
      <w:pPr>
        <w:pStyle w:val="Heading1"/>
        <w:spacing w:after="240" w:before="360"/>
      </w:pPr>
      <w:r>
        <w:rPr>
          <w:rFonts w:ascii="Aptos" w:cs="Aptos" w:eastAsia="Aptos" w:hAnsi="Aptos"/>
          <w:b/>
          <w:bCs/>
          <w:sz w:val="32"/>
          <w:szCs w:val="32"/>
        </w:rPr>
        <w:t xml:space="preserve">Control Cross-Reference</w:t>
      </w:r>
    </w:p>
    <w:p>
      <w:pPr>
        <w:spacing w:after="200"/>
      </w:pPr>
      <w:r>
        <w:rPr>
          <w:rFonts w:ascii="Aptos" w:cs="Aptos" w:eastAsia="Aptos" w:hAnsi="Aptos"/>
          <w:sz w:val="24"/>
          <w:szCs w:val="24"/>
        </w:rPr>
        <w:t xml:space="preserve">Every P1 and P2 Baseline Control is covered in this guide. The table below maps controls to sections for quick lookup.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Control</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Priority</w:t>
            </w:r>
          </w:p>
        </w:tc>
        <w:tc>
          <w:tcPr>
            <w:tcW w:type="dxa" w:w="3120"/>
            <w:tcBorders>
              <w:top w:val="single" w:color="CCCCCC" w:sz="1"/>
              <w:left w:val="single" w:color="CCCCCC" w:sz="1"/>
              <w:bottom w:val="single" w:color="CCCCCC" w:sz="1"/>
              <w:right w:val="single" w:color="CCCCCC" w:sz="1"/>
            </w:tcBorders>
            <w:shd w:fill="2E6F40" w:val="clear"/>
            <w:tcMar>
              <w:top w:type="dxa" w:w="80"/>
              <w:left w:type="dxa" w:w="120"/>
              <w:bottom w:type="dxa" w:w="80"/>
              <w:right w:type="dxa" w:w="120"/>
            </w:tcMar>
          </w:tcPr>
          <w:p>
            <w:r>
              <w:rPr>
                <w:rFonts w:ascii="Aptos" w:cs="Aptos" w:eastAsia="Aptos" w:hAnsi="Aptos"/>
                <w:b/>
                <w:bCs/>
                <w:color w:val="FFFFFF"/>
                <w:sz w:val="22"/>
                <w:szCs w:val="22"/>
              </w:rPr>
              <w:t xml:space="preserve">Section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IT-1  Container isolation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Agent Runtime Isolation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IT-2  Network segmentation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Agent Runtime Isolation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IT-3  Secrets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7. Secrets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IT-4  Resource quotas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Agent Runtime Isolation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IT-5  Infrastructure-as-Code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1. Agent Runtime Isolation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IT-6  Observability stack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6. Observability and the Trace Plane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A2A-1  mTLS + workload identity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2. Workload Identity and mTLS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A2A-2  Signed Agent Cards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5. Agent Cards and Schema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A2A-3  Schema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5. Agent Cards and Schema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A2A-4  Per-hop trust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2. Workload Identity and mTLS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A2A-5  Delegation scope monotonicity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4. Oversight Engine and Circuit Breakers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A2A-6  Oversight policy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4. Oversight Engine and Circuit Breakers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A2A-7  Kill switch + circuit breakers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4. Oversight Engine and Circuit Breakers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A2A-11 Trace logging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6. Observability and the Trace Plane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A2A-12 Revocation propagation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2. Workload Identity and mTLS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A2A-13 Budget enforcement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4. Oversight Engine and Circuit Breakers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AI-1  Model registry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3. Model Registry and Deployment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AI-2  Model provenance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3. Model Registry and Deployment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AI-3  Agent-BOM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3. Model Registry and Deployment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AI-4  Prompt versioning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3. Model Registry and Deployment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AI-5  Hallucination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8. Data Controls and Content Filtering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AI-6  RAG access 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8. Data Controls and Content Filtering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AI-12 Output filtering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8. Data Controls and Content Filtering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SEC-1 Agent threat modeling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9. Security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SEC-2 Adversarial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9. Security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SEC-4 SIEM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6. Observability and the Trace Plane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SEC-5 IR playbooks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9. Security Operations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SEC-7 Data loss prevention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P2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color w:val="000000"/>
                <w:sz w:val="22"/>
                <w:szCs w:val="22"/>
              </w:rPr>
              <w:t xml:space="preserve">8. Data Controls and Content Filtering</w:t>
            </w:r>
          </w:p>
        </w:tc>
      </w:tr>
    </w:tbl>
    <w:p>
      <w:pPr>
        <w:spacing w:after="120"/>
      </w:pPr>
    </w:p>
    <w:p>
      <w:pPr>
        <w:pStyle w:val="Heading1"/>
        <w:spacing w:after="240" w:before="360"/>
      </w:pPr>
      <w:r>
        <w:rPr>
          <w:rFonts w:ascii="Aptos" w:cs="Aptos" w:eastAsia="Aptos" w:hAnsi="Aptos"/>
          <w:b/>
          <w:bCs/>
          <w:sz w:val="32"/>
          <w:szCs w:val="32"/>
        </w:rPr>
        <w:t xml:space="preserve">Companion Documents</w:t>
      </w:r>
    </w:p>
    <w:p>
      <w:pPr>
        <w:spacing w:after="200"/>
      </w:pPr>
      <w:r>
        <w:rPr>
          <w:rFonts w:ascii="Aptos" w:cs="Aptos" w:eastAsia="Aptos" w:hAnsi="Aptos"/>
          <w:sz w:val="24"/>
          <w:szCs w:val="24"/>
        </w:rPr>
        <w:t xml:space="preserve">This document is part of the AISI Model v1.0 document set:</w:t>
      </w:r>
    </w:p>
    <w:p>
      <w:pPr>
        <w:spacing w:after="200"/>
      </w:pPr>
      <w:r>
        <w:rPr>
          <w:rFonts w:ascii="Aptos" w:cs="Aptos" w:eastAsia="Aptos" w:hAnsi="Aptos"/>
          <w:b/>
          <w:bCs/>
          <w:sz w:val="24"/>
          <w:szCs w:val="24"/>
        </w:rPr>
        <w:t xml:space="preserve">AISI Model v1.0.</w:t>
      </w:r>
      <w:r>
        <w:rPr>
          <w:rFonts w:ascii="Aptos" w:cs="Aptos" w:eastAsia="Aptos" w:hAnsi="Aptos"/>
          <w:sz w:val="24"/>
          <w:szCs w:val="24"/>
        </w:rPr>
        <w:t xml:space="preserve"> The seven-layer reference architecture and A2A negotiation sequence.</w:t>
      </w:r>
    </w:p>
    <w:p>
      <w:pPr>
        <w:spacing w:after="200"/>
      </w:pPr>
      <w:r>
        <w:rPr>
          <w:rFonts w:ascii="Aptos" w:cs="Aptos" w:eastAsia="Aptos" w:hAnsi="Aptos"/>
          <w:b/>
          <w:bCs/>
          <w:sz w:val="24"/>
          <w:szCs w:val="24"/>
        </w:rPr>
        <w:t xml:space="preserve">A2A Protocol Specification.</w:t>
      </w:r>
      <w:r>
        <w:rPr>
          <w:rFonts w:ascii="Aptos" w:cs="Aptos" w:eastAsia="Aptos" w:hAnsi="Aptos"/>
          <w:sz w:val="24"/>
          <w:szCs w:val="24"/>
        </w:rPr>
        <w:t xml:space="preserve"> Agent Cards, Behavioral Contracts (including Data Classification Enforcement and Retention Policy Enforcement), Authentication, and Graduated Oversight.</w:t>
      </w:r>
    </w:p>
    <w:p>
      <w:pPr>
        <w:spacing w:after="200"/>
      </w:pPr>
      <w:r>
        <w:rPr>
          <w:rFonts w:ascii="Aptos" w:cs="Aptos" w:eastAsia="Aptos" w:hAnsi="Aptos"/>
          <w:b/>
          <w:bCs/>
          <w:sz w:val="24"/>
          <w:szCs w:val="24"/>
        </w:rPr>
        <w:t xml:space="preserve">Security Reference.</w:t>
      </w:r>
      <w:r>
        <w:rPr>
          <w:rFonts w:ascii="Aptos" w:cs="Aptos" w:eastAsia="Aptos" w:hAnsi="Aptos"/>
          <w:sz w:val="24"/>
          <w:szCs w:val="24"/>
        </w:rPr>
        <w:t xml:space="preserve"> OWASP and MITRE ATLAS mappings, A2A-specific threat vectors, agent supply chain controls, governance framework mapping.</w:t>
      </w:r>
    </w:p>
    <w:p>
      <w:pPr>
        <w:spacing w:after="200"/>
      </w:pPr>
      <w:r>
        <w:rPr>
          <w:rFonts w:ascii="Aptos" w:cs="Aptos" w:eastAsia="Aptos" w:hAnsi="Aptos"/>
          <w:b/>
          <w:bCs/>
          <w:sz w:val="24"/>
          <w:szCs w:val="24"/>
        </w:rPr>
        <w:t xml:space="preserve">Baseline Controls.</w:t>
      </w:r>
      <w:r>
        <w:rPr>
          <w:rFonts w:ascii="Aptos" w:cs="Aptos" w:eastAsia="Aptos" w:hAnsi="Aptos"/>
          <w:sz w:val="24"/>
          <w:szCs w:val="24"/>
        </w:rPr>
        <w:t xml:space="preserve"> The minimum required controls for production A2A deployments, organized by team.</w:t>
      </w:r>
    </w:p>
    <w:p>
      <w:pPr>
        <w:spacing w:after="200"/>
      </w:pPr>
      <w:r>
        <w:rPr>
          <w:rFonts w:ascii="Aptos" w:cs="Aptos" w:eastAsia="Aptos" w:hAnsi="Aptos"/>
          <w:b/>
          <w:bCs/>
          <w:sz w:val="24"/>
          <w:szCs w:val="24"/>
        </w:rPr>
        <w:t xml:space="preserve">Operations and Lifecycle Reference.</w:t>
      </w:r>
      <w:r>
        <w:rPr>
          <w:rFonts w:ascii="Aptos" w:cs="Aptos" w:eastAsia="Aptos" w:hAnsi="Aptos"/>
          <w:sz w:val="24"/>
          <w:szCs w:val="24"/>
        </w:rPr>
        <w:t xml:space="preserve"> How to operate, monitor, and manage A2A systems after deployment: behavioral drift detection, shadow AI discovery, RAG index freshness, prompt versioning, agent memory hygiene, change control, and decommission.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sz w:val="18"/>
        <w:szCs w:val="18"/>
      </w:rPr>
      <w:t xml:space="preserve">Page </w:t>
    </w:r>
    <w:r>
      <w:rPr>
        <w:rFonts w:ascii="Aptos" w:cs="Aptos" w:eastAsia="Aptos" w:hAnsi="Aptos"/>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999999"/>
        <w:sz w:val="18"/>
        <w:szCs w:val="18"/>
      </w:rPr>
      <w:t xml:space="preserve">AISI Model v1.0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ptos" w:cs="Aptos" w:eastAsia="Aptos" w:hAnsi="Aptos"/>
      <w:b/>
      <w:bCs/>
      <w:sz w:val="32"/>
      <w:szCs w:val="32"/>
    </w:rPr>
  </w:style>
  <w:style w:type="paragraph" w:styleId="Heading2">
    <w:name w:val="Heading 2"/>
    <w:basedOn w:val="Normal"/>
    <w:next w:val="Normal"/>
    <w:qFormat/>
    <w:pPr>
      <w:spacing w:after="180" w:before="240"/>
      <w:outlineLvl w:val="1"/>
    </w:pPr>
    <w:rPr>
      <w:rFonts w:ascii="Aptos" w:cs="Aptos" w:eastAsia="Aptos" w:hAnsi="Aptos"/>
      <w:b/>
      <w:bCs/>
      <w:sz w:val="28"/>
      <w:szCs w:val="28"/>
    </w:rPr>
  </w:style>
  <w:style w:type="paragraph" w:styleId="Heading3">
    <w:name w:val="Heading 3"/>
    <w:basedOn w:val="Normal"/>
    <w:next w:val="Normal"/>
    <w:qFormat/>
    <w:pPr>
      <w:spacing w:after="120" w:before="200"/>
      <w:outlineLvl w:val="2"/>
    </w:pPr>
    <w:rPr>
      <w:rFonts w:ascii="Aptos" w:cs="Aptos" w:eastAsia="Aptos" w:hAnsi="Apto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2026-03-30T04:42:31.575Z</dcterms:created>
  <dcterms:modified xsi:type="dcterms:W3CDTF">2026-03-30T04:42:31.575Z</dcterms:modified>
</cp:coreProperties>
</file>

<file path=docProps/custom.xml><?xml version="1.0" encoding="utf-8"?>
<Properties xmlns="http://schemas.openxmlformats.org/officeDocument/2006/custom-properties" xmlns:vt="http://schemas.openxmlformats.org/officeDocument/2006/docPropsVTypes"/>
</file>