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ptos" w:cs="Aptos" w:eastAsia="Aptos" w:hAnsi="Aptos"/>
          <w:b/>
          <w:bCs/>
          <w:sz w:val="36"/>
          <w:szCs w:val="36"/>
        </w:rPr>
        <w:t xml:space="preserve">AISI Model v1.0</w:t>
      </w:r>
    </w:p>
    <w:p>
      <w:pPr>
        <w:spacing w:after="80"/>
        <w:jc w:val="center"/>
      </w:pPr>
      <w:r>
        <w:rPr>
          <w:rFonts w:ascii="Aptos" w:cs="Aptos" w:eastAsia="Aptos" w:hAnsi="Aptos"/>
          <w:b/>
          <w:bCs/>
          <w:sz w:val="36"/>
          <w:szCs w:val="36"/>
        </w:rPr>
        <w:t xml:space="preserve">Operations &amp; Lifecycle Reference</w:t>
      </w:r>
    </w:p>
    <w:p>
      <w:pPr>
        <w:spacing w:after="360"/>
        <w:jc w:val="center"/>
      </w:pPr>
      <w:r>
        <w:rPr>
          <w:rFonts w:ascii="Aptos" w:cs="Aptos" w:eastAsia="Aptos" w:hAnsi="Aptos"/>
          <w:i/>
          <w:iCs/>
          <w:sz w:val="22"/>
          <w:szCs w:val="22"/>
        </w:rPr>
        <w:t xml:space="preserve">How to Operate, Monitor, and Manage Agent-to-Agent Systems After Deployment</w:t>
      </w:r>
    </w:p>
    <w:p>
      <w:pPr>
        <w:pStyle w:val="Heading1"/>
        <w:spacing w:after="240" w:before="360"/>
      </w:pPr>
      <w:r>
        <w:rPr>
          <w:rFonts w:ascii="Aptos" w:cs="Aptos" w:eastAsia="Aptos" w:hAnsi="Aptos"/>
          <w:b/>
          <w:bCs/>
          <w:sz w:val="32"/>
          <w:szCs w:val="32"/>
        </w:rPr>
        <w:t xml:space="preserve">How to Use This Document</w:t>
      </w:r>
    </w:p>
    <w:p>
      <w:pPr>
        <w:spacing w:after="200"/>
      </w:pPr>
      <w:r>
        <w:rPr>
          <w:rFonts w:ascii="Aptos" w:cs="Aptos" w:eastAsia="Aptos" w:hAnsi="Aptos"/>
          <w:sz w:val="24"/>
          <w:szCs w:val="24"/>
        </w:rPr>
        <w:t xml:space="preserve">This is the operations companion to the AISI Model v1.0. The Implementation Guide covers how to deploy A2A systems to production infrastructure. This document covers what happens after deployment: monitoring for drift, detecting unauthorized agents, managing the data lifecycle, coordinating changes across agent meshes, and decommissioning agents cleanly.</w:t>
      </w:r>
    </w:p>
    <w:p>
      <w:pPr>
        <w:spacing w:after="200"/>
      </w:pPr>
      <w:r>
        <w:rPr>
          <w:rFonts w:ascii="Aptos" w:cs="Aptos" w:eastAsia="Aptos" w:hAnsi="Aptos"/>
          <w:sz w:val="24"/>
          <w:szCs w:val="24"/>
        </w:rPr>
        <w:t xml:space="preserve">Each section follows the same pattern as the Implementation Guide: what problem the section solves, which controls it satisfies, what to build, operational patterns, and what done looks like.</w:t>
      </w:r>
    </w:p>
    <w:p>
      <w:pPr>
        <w:spacing w:after="200"/>
      </w:pPr>
      <w:r>
        <w:rPr>
          <w:rFonts w:ascii="Aptos" w:cs="Aptos" w:eastAsia="Aptos" w:hAnsi="Aptos"/>
          <w:sz w:val="24"/>
          <w:szCs w:val="24"/>
        </w:rPr>
        <w:t xml:space="preserve">This document assumes you have already deployed the infrastructure described in the Implementation Guide: namespaces, SPIRE, mTLS, NetworkPolicy, OPA, OpenTelemetry, and Vault. The operations described here layer on top of that foundation.</w:t>
      </w:r>
    </w:p>
    <w:p>
      <w:pPr>
        <w:pStyle w:val="Heading2"/>
        <w:spacing w:after="180" w:before="240"/>
      </w:pPr>
      <w:r>
        <w:rPr>
          <w:rFonts w:ascii="Aptos" w:cs="Aptos" w:eastAsia="Aptos" w:hAnsi="Aptos"/>
          <w:b/>
          <w:bCs/>
          <w:sz w:val="28"/>
          <w:szCs w:val="28"/>
        </w:rPr>
        <w:t xml:space="preserve">Before You Start</w:t>
      </w:r>
    </w:p>
    <w:p>
      <w:pPr>
        <w:spacing w:after="200"/>
      </w:pPr>
      <w:r>
        <w:rPr>
          <w:rFonts w:ascii="Aptos" w:cs="Aptos" w:eastAsia="Aptos" w:hAnsi="Aptos"/>
          <w:sz w:val="24"/>
          <w:szCs w:val="24"/>
        </w:rPr>
        <w:t xml:space="preserve">The AISI Model is a reference architecture, not a standard, a regulation, or a compliance requirement. It does not carry the force of law or certification authority. No organization is obligated to adopt it, and adopting it does not guarantee compliance with any regulatory framework.</w:t>
      </w:r>
    </w:p>
    <w:p>
      <w:pPr>
        <w:spacing w:after="200"/>
      </w:pPr>
      <w:r>
        <w:rPr>
          <w:rFonts w:ascii="Aptos" w:cs="Aptos" w:eastAsia="Aptos" w:hAnsi="Aptos"/>
          <w:sz w:val="24"/>
          <w:szCs w:val="24"/>
        </w:rPr>
        <w:t xml:space="preserve">Everything in this document set is a starting point. The layer definitions, protocol structures, control baselines, configs, code examples, and operational procedures are reference material that your organization must adapt to its own infrastructure, threat model, risk posture, and regulatory obligations. Nothing here is production-ready out of the box. Test in a non-production environment, adjust for your context, and validate before promoting to production.</w:t>
      </w:r>
    </w:p>
    <w:p>
      <w:pPr>
        <w:spacing w:after="200"/>
      </w:pPr>
      <w:r>
        <w:rPr>
          <w:rFonts w:ascii="Aptos" w:cs="Aptos" w:eastAsia="Aptos" w:hAnsi="Aptos"/>
          <w:sz w:val="24"/>
          <w:szCs w:val="24"/>
        </w:rPr>
        <w:t xml:space="preserve">Where these documents reference regulatory frameworks (EU AI Act, NIST AI RMF, ISO/IEC 42001), those references are informational mappings, not authoritative interpretations. Consult qualified legal, security, and compliance professionals for decisions specific to your environment.</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360"/>
      </w:pPr>
      <w:r>
        <w:rPr>
          <w:rFonts w:ascii="Aptos" w:cs="Aptos" w:eastAsia="Aptos" w:hAnsi="Aptos"/>
          <w:b/>
          <w:bCs/>
          <w:sz w:val="32"/>
          <w:szCs w:val="32"/>
        </w:rPr>
        <w:t xml:space="preserve">1. Behavioral Drift Detection</w:t>
      </w:r>
    </w:p>
    <w:p>
      <w:pPr>
        <w:pBdr>
          <w:left w:val="single" w:color="2E6F40" w:sz="6" w:space="8"/>
        </w:pBdr>
        <w:spacing w:after="100"/>
        <w:ind w:left="360"/>
      </w:pPr>
      <w:r>
        <w:rPr>
          <w:rFonts w:ascii="Aptos" w:cs="Aptos" w:eastAsia="Aptos" w:hAnsi="Aptos"/>
          <w:b/>
          <w:bCs/>
          <w:sz w:val="22"/>
          <w:szCs w:val="22"/>
        </w:rPr>
        <w:t xml:space="preserve">AI-11: Behavioral drift detection</w:t>
      </w:r>
      <w:r>
        <w:rPr>
          <w:rFonts w:ascii="Aptos" w:cs="Aptos" w:eastAsia="Aptos" w:hAnsi="Aptos"/>
          <w:color w:val="666666"/>
          <w:sz w:val="20"/>
          <w:szCs w:val="20"/>
        </w:rPr>
        <w:t xml:space="preserve">  |  AISI Layers 5, 6</w:t>
      </w:r>
    </w:p>
    <w:p>
      <w:pPr>
        <w:pBdr>
          <w:left w:val="single" w:color="2E6F40" w:sz="6" w:space="8"/>
        </w:pBdr>
        <w:spacing w:after="100"/>
        <w:ind w:left="360"/>
      </w:pPr>
      <w:r>
        <w:rPr>
          <w:rFonts w:ascii="Aptos" w:cs="Aptos" w:eastAsia="Aptos" w:hAnsi="Aptos"/>
          <w:b/>
          <w:bCs/>
          <w:sz w:val="22"/>
          <w:szCs w:val="22"/>
        </w:rPr>
        <w:t xml:space="preserve">IT-6: Observability stack</w:t>
      </w:r>
      <w:r>
        <w:rPr>
          <w:rFonts w:ascii="Aptos" w:cs="Aptos" w:eastAsia="Aptos" w:hAnsi="Aptos"/>
          <w:color w:val="666666"/>
          <w:sz w:val="20"/>
          <w:szCs w:val="20"/>
        </w:rPr>
        <w:t xml:space="preserve">  |  AISI Layers 2, 6</w:t>
      </w:r>
    </w:p>
    <w:p>
      <w:pPr>
        <w:spacing w:after="120"/>
      </w:pPr>
    </w:p>
    <w:p>
      <w:pPr>
        <w:pStyle w:val="Heading2"/>
        <w:spacing w:after="180" w:before="240"/>
      </w:pPr>
      <w:r>
        <w:rPr>
          <w:rFonts w:ascii="Aptos" w:cs="Aptos" w:eastAsia="Aptos" w:hAnsi="Aptos"/>
          <w:b/>
          <w:bCs/>
          <w:sz w:val="28"/>
          <w:szCs w:val="28"/>
        </w:rPr>
        <w:t xml:space="preserve">The Problem</w:t>
      </w:r>
    </w:p>
    <w:p>
      <w:pPr>
        <w:spacing w:after="200"/>
      </w:pPr>
      <w:r>
        <w:rPr>
          <w:rFonts w:ascii="Aptos" w:cs="Aptos" w:eastAsia="Aptos" w:hAnsi="Aptos"/>
          <w:sz w:val="24"/>
          <w:szCs w:val="24"/>
        </w:rPr>
        <w:t xml:space="preserve">A deployed agent can change behavior without anyone changing its code. A model update, a shift in RAG index content, a change in upstream agent responses, or a gradual drift in the distribution of incoming requests can all cause an agent to behave differently than it did when it was last evaluated. In a single-agent system, drift is a quality problem. In an A2A mesh, drift propagates. One agent's changed behavior becomes another agent's changed input.</w:t>
      </w:r>
    </w:p>
    <w:p>
      <w:pPr>
        <w:spacing w:after="200"/>
      </w:pPr>
      <w:r>
        <w:rPr>
          <w:rFonts w:ascii="Aptos" w:cs="Aptos" w:eastAsia="Aptos" w:hAnsi="Aptos"/>
          <w:sz w:val="24"/>
          <w:szCs w:val="24"/>
        </w:rPr>
        <w:t xml:space="preserve">Baseline Controls AI-11 requires "continuous monitoring of agent behavior against declared contracts" and "statistical drift detection on output distributions." The Implementation Guide sets up the telemetry pipeline (OpenTelemetry, SIEM integration). This section covers what to measure, how to set baselines, and what thresholds to act on.</w:t>
      </w:r>
    </w:p>
    <w:p>
      <w:pPr>
        <w:pStyle w:val="Heading2"/>
        <w:spacing w:after="180" w:before="240"/>
      </w:pPr>
      <w:r>
        <w:rPr>
          <w:rFonts w:ascii="Aptos" w:cs="Aptos" w:eastAsia="Aptos" w:hAnsi="Aptos"/>
          <w:b/>
          <w:bCs/>
          <w:sz w:val="28"/>
          <w:szCs w:val="28"/>
        </w:rPr>
        <w:t xml:space="preserve">What to Measure</w:t>
      </w:r>
    </w:p>
    <w:p>
      <w:pPr>
        <w:spacing w:after="200"/>
      </w:pPr>
      <w:r>
        <w:rPr>
          <w:rFonts w:ascii="Aptos" w:cs="Aptos" w:eastAsia="Aptos" w:hAnsi="Aptos"/>
          <w:sz w:val="24"/>
          <w:szCs w:val="24"/>
        </w:rPr>
        <w:t xml:space="preserve">Drift in A2A systems manifests across multiple signals. No single metric is sufficient. Monitor all of the following and correlate across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Signal</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What It Tells You</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Where to Collect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Contract violation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The agent is producing responses that fail contract compliance checks at Layer 6. A rising rate means behavior is diverging from what the contract specifies.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6 compliance logs, aggregated per agent pair per hour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Oversight level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The ratio of autonomous/monitored/gated/manual decisions is shifting. If an agent that was 95% autonomous starts hitting 80%, something changed in the risk profile of its requests or responses.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6 oversight decision logs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Output token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The statistical shape of the agent's responses is changing: average length, vocabulary diversity, topic distribution. Useful for detecting model-level drift.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5 response logging, sampled at 1-10%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Latency percentiles (p50, p95, p99)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Latency changes often signal behavioral changes. A model that starts generating longer reasoning chains will show up as latency drift before it shows up as output drift.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OpenTelemetry span durations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Tool invocation patterns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The agent is calling tools in a different order, at different frequencies, or calling tools it previously did not use. This is a strong signal of behavioral change at Layer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5 tool call logs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Error rate by 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Not just total errors, but the distribution across error types: schema validation failures, timeout errors, authentication failures, tool execution errors. A shift in the error mix tells you where drift is happening.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7 error response logs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Delegation depth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The agent's downstream call patterns are changing. If an agent that normally delegates 1 hop deep starts regularly hitting 3 hops, the orchestration behavior has shifted.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Trace plane, hop count per trace ID</w:t>
            </w:r>
          </w:p>
        </w:tc>
      </w:tr>
    </w:tbl>
    <w:p>
      <w:pPr>
        <w:pStyle w:val="Heading2"/>
        <w:spacing w:after="180" w:before="240"/>
      </w:pPr>
      <w:r>
        <w:rPr>
          <w:rFonts w:ascii="Aptos" w:cs="Aptos" w:eastAsia="Aptos" w:hAnsi="Aptos"/>
          <w:b/>
          <w:bCs/>
          <w:sz w:val="28"/>
          <w:szCs w:val="28"/>
        </w:rPr>
        <w:t xml:space="preserve">Setting Baselines</w:t>
      </w:r>
    </w:p>
    <w:p>
      <w:pPr>
        <w:spacing w:after="200"/>
      </w:pPr>
      <w:r>
        <w:rPr>
          <w:rFonts w:ascii="Aptos" w:cs="Aptos" w:eastAsia="Aptos" w:hAnsi="Aptos"/>
          <w:sz w:val="24"/>
          <w:szCs w:val="24"/>
        </w:rPr>
        <w:t xml:space="preserve">You cannot detect drift without a baseline. After an agent passes evaluation and enters production, capture baseline distributions for each signal above during a burn-in period (typically 7-14 days of normal traffic). Store the baseline as a statistical snapshot: mean, standard deviation, and percentile distributions (p50, p95, p99) for continuous metrics; frequency distributions for categorical metrics (error types, tool invocations, oversight levels).</w:t>
      </w:r>
    </w:p>
    <w:p>
      <w:pPr>
        <w:spacing w:after="200"/>
      </w:pPr>
      <w:r>
        <w:rPr>
          <w:rFonts w:ascii="Aptos" w:cs="Aptos" w:eastAsia="Aptos" w:hAnsi="Aptos"/>
          <w:sz w:val="24"/>
          <w:szCs w:val="24"/>
        </w:rPr>
        <w:t xml:space="preserve">Baselines must be versioned and tied to the agent's deployment version. When you deploy a new version, the old baseline is archived and a new burn-in period starts. This prevents false positives from intentional changes and ensures you are always comparing current behavior against the expected behavior for that specific version.</w:t>
      </w:r>
    </w:p>
    <w:p>
      <w:pPr>
        <w:spacing w:after="200"/>
      </w:pPr>
      <w:r>
        <w:rPr>
          <w:rFonts w:ascii="Aptos" w:cs="Aptos" w:eastAsia="Aptos" w:hAnsi="Aptos"/>
          <w:sz w:val="24"/>
          <w:szCs w:val="24"/>
        </w:rPr>
        <w:t xml:space="preserve">For new A2A integrations where no historical data exists, use the evaluation results from the testing phase as the initial baseline. These will be less precise than production baselines, but they give the drift detection system something to compare against from day one.</w:t>
      </w:r>
    </w:p>
    <w:p>
      <w:pPr>
        <w:pStyle w:val="Heading2"/>
        <w:spacing w:after="180" w:before="240"/>
      </w:pPr>
      <w:r>
        <w:rPr>
          <w:rFonts w:ascii="Aptos" w:cs="Aptos" w:eastAsia="Aptos" w:hAnsi="Aptos"/>
          <w:b/>
          <w:bCs/>
          <w:sz w:val="28"/>
          <w:szCs w:val="28"/>
        </w:rPr>
        <w:t xml:space="preserve">Detection Approaches</w:t>
      </w:r>
    </w:p>
    <w:p>
      <w:pPr>
        <w:pStyle w:val="Heading3"/>
        <w:spacing w:after="120" w:before="200"/>
      </w:pPr>
      <w:r>
        <w:rPr>
          <w:rFonts w:ascii="Aptos" w:cs="Aptos" w:eastAsia="Aptos" w:hAnsi="Aptos"/>
          <w:b/>
          <w:bCs/>
          <w:sz w:val="24"/>
          <w:szCs w:val="24"/>
        </w:rPr>
        <w:t xml:space="preserve">Statistical Process Control</w:t>
      </w:r>
    </w:p>
    <w:p>
      <w:pPr>
        <w:spacing w:after="200"/>
      </w:pPr>
      <w:r>
        <w:rPr>
          <w:rFonts w:ascii="Aptos" w:cs="Aptos" w:eastAsia="Aptos" w:hAnsi="Aptos"/>
          <w:sz w:val="24"/>
          <w:szCs w:val="24"/>
        </w:rPr>
        <w:t xml:space="preserve">Apply control chart methodology to each metric. Set warning thresholds at 2 standard deviations from baseline and action thresholds at 3 standard deviations. Use a sliding window (a 1-hour rolling aggregation is a reasonable default) to smooth noise. This is the simplest approach and works well for continuous metrics like latency and token distribution.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Pseudocode: drift detection using control charts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baseline = load_baseline(agent_id, agent_version)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current  = aggregate_metrics(agent_id, window="1h")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MIN_SAMPLE_SIZE = 30  # Minimum observations before alerting</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for metric in MONITORED_METRICS: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if current[metric].count &lt; MIN_SAMPLE_SIZE: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continue  # Not enough data to evaluate; skip this window</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if baseline[metric].stddev == 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Zero variance in baseline: any change is meaningful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if current[metric].mean != baseline[metric].mean: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alert(severity="high", agent=agent_id, metric=metric,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msg=f"Baseline had zero variance; value changed")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continue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z_score = (current[metric].mean - baseline[metric].mean)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baseline[metric].stddev</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if abs(z_score) &gt; 3.0: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alert(severity="high",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agent=agent_id,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metric=metric,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z_score=z_score,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msg=f"Action threshold: {metric} at {z_score:.1f} sigma")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elif abs(z_score) &gt; 2.0: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alert(severity="warning",</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agent=agent_id,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metric=metric,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z_score=z_score,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msg=f"Warning threshold: {metric} at {z_score:.1f} sigma")</w:t>
      </w:r>
    </w:p>
    <w:p>
      <w:pPr>
        <w:spacing w:after="120"/>
      </w:pPr>
    </w:p>
    <w:p>
      <w:pPr>
        <w:spacing w:after="200"/>
      </w:pPr>
      <w:r>
        <w:rPr>
          <w:rFonts w:ascii="Aptos" w:cs="Aptos" w:eastAsia="Aptos" w:hAnsi="Aptos"/>
          <w:sz w:val="24"/>
          <w:szCs w:val="24"/>
        </w:rPr>
        <w:t xml:space="preserve">Adapt the window size and sigma thresholds to your traffic volume. Low-traffic agents need wider windows to avoid false positives.</w:t>
      </w:r>
    </w:p>
    <w:p>
      <w:pPr>
        <w:pStyle w:val="Heading3"/>
        <w:spacing w:after="120" w:before="200"/>
      </w:pPr>
      <w:r>
        <w:rPr>
          <w:rFonts w:ascii="Aptos" w:cs="Aptos" w:eastAsia="Aptos" w:hAnsi="Aptos"/>
          <w:b/>
          <w:bCs/>
          <w:sz w:val="24"/>
          <w:szCs w:val="24"/>
        </w:rPr>
        <w:t xml:space="preserve">Distribution Comparison</w:t>
      </w:r>
    </w:p>
    <w:p>
      <w:pPr>
        <w:spacing w:after="200"/>
      </w:pPr>
      <w:r>
        <w:rPr>
          <w:rFonts w:ascii="Aptos" w:cs="Aptos" w:eastAsia="Aptos" w:hAnsi="Aptos"/>
          <w:sz w:val="24"/>
          <w:szCs w:val="24"/>
        </w:rPr>
        <w:t xml:space="preserve">For categorical signals like tool invocation patterns, error type distributions, and oversight level ratios, use distribution comparison tests. Jensen-Shannon divergence (JSD) is a standard measure that will catch shifts control charts miss. Run the comparison against the baseline distribution on a regular cadence, such as every 6 hours. A JSD above 0.1 warrants investigation. Above 0.3 is a significant behavioral shift.</w:t>
      </w:r>
    </w:p>
    <w:p>
      <w:pPr>
        <w:pStyle w:val="Heading3"/>
        <w:spacing w:after="120" w:before="200"/>
      </w:pPr>
      <w:r>
        <w:rPr>
          <w:rFonts w:ascii="Aptos" w:cs="Aptos" w:eastAsia="Aptos" w:hAnsi="Aptos"/>
          <w:b/>
          <w:bCs/>
          <w:sz w:val="24"/>
          <w:szCs w:val="24"/>
        </w:rPr>
        <w:t xml:space="preserve">Cross-Agent Correlation</w:t>
      </w:r>
    </w:p>
    <w:p>
      <w:pPr>
        <w:spacing w:after="200"/>
      </w:pPr>
      <w:r>
        <w:rPr>
          <w:rFonts w:ascii="Aptos" w:cs="Aptos" w:eastAsia="Aptos" w:hAnsi="Aptos"/>
          <w:sz w:val="24"/>
          <w:szCs w:val="24"/>
        </w:rPr>
        <w:t xml:space="preserve">When multiple agents in a mesh show drift simultaneously, the cause is usually shared: a common upstream agent changed behavior, a shared RAG index was updated, or a model version was rotated. Your alerting system should group drift alerts by time window and identify common upstream dependencies. Investigating drift in isolation per-agent is slow and misses cascading effects.</w:t>
      </w:r>
    </w:p>
    <w:p>
      <w:pPr>
        <w:pStyle w:val="Heading3"/>
        <w:spacing w:after="120" w:before="200"/>
      </w:pPr>
      <w:r>
        <w:rPr>
          <w:rFonts w:ascii="Aptos" w:cs="Aptos" w:eastAsia="Aptos" w:hAnsi="Aptos"/>
          <w:b/>
          <w:bCs/>
          <w:sz w:val="24"/>
          <w:szCs w:val="24"/>
        </w:rPr>
        <w:t xml:space="preserve">MaaS Version Drift</w:t>
      </w:r>
    </w:p>
    <w:p>
      <w:pPr>
        <w:spacing w:after="200"/>
      </w:pPr>
      <w:r>
        <w:rPr>
          <w:rFonts w:ascii="Aptos" w:cs="Aptos" w:eastAsia="Aptos" w:hAnsi="Aptos"/>
          <w:sz w:val="24"/>
          <w:szCs w:val="24"/>
        </w:rPr>
        <w:t xml:space="preserve">Agents hosted on Model-as-a-Service providers (OpenAI, Anthropic, Google, and similar) face a drift vector that self-hosted models do not: the provider can rotate the underlying model version behind a stable API alias. When your agent calls "gpt-4o" or "claude-sonnet-4-20250514" and the provider updates what that alias points to, your agent's behavior can change without any deployment on your side.</w:t>
      </w:r>
    </w:p>
    <w:p>
      <w:pPr>
        <w:spacing w:after="200"/>
      </w:pPr>
      <w:r>
        <w:rPr>
          <w:rFonts w:ascii="Aptos" w:cs="Aptos" w:eastAsia="Aptos" w:hAnsi="Aptos"/>
          <w:sz w:val="24"/>
          <w:szCs w:val="24"/>
        </w:rPr>
        <w:t xml:space="preserve">If the agent publishes a model_fingerprint field in its Agent Card (see A2A Protocol Specification, Optional Fields), monitor that fingerprint on each inference call. When the provider returns a different model identifier than the fingerprint recorded in the card, flag it as a drift event. The response depends on your risk posture: for agents under gated or manual oversight, a fingerprint mismatch may warrant pausing until the new version is validated. For autonomous agents, log the mismatch and run a targeted evaluation suite to confirm behavioral equivalence.</w:t>
      </w:r>
    </w:p>
    <w:p>
      <w:pPr>
        <w:spacing w:after="200"/>
      </w:pPr>
      <w:r>
        <w:rPr>
          <w:rFonts w:ascii="Aptos" w:cs="Aptos" w:eastAsia="Aptos" w:hAnsi="Aptos"/>
          <w:sz w:val="24"/>
          <w:szCs w:val="24"/>
        </w:rPr>
        <w:t xml:space="preserve">To reduce exposure, pin model versions to explicit identifiers rather than aliases wherever the provider supports it. Record the pinned version in the model_fingerprint field. When you intentionally upgrade, update the fingerprint and bump the Agent Card patch version. This turns a silent drift risk into a controlled change that flows through the standard change classification process (see Section 6).</w:t>
      </w:r>
    </w:p>
    <w:p>
      <w:pPr>
        <w:pStyle w:val="Heading2"/>
        <w:spacing w:after="180" w:before="240"/>
      </w:pPr>
      <w:r>
        <w:rPr>
          <w:rFonts w:ascii="Aptos" w:cs="Aptos" w:eastAsia="Aptos" w:hAnsi="Aptos"/>
          <w:b/>
          <w:bCs/>
          <w:sz w:val="28"/>
          <w:szCs w:val="28"/>
        </w:rPr>
        <w:t xml:space="preserve">Response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Drift Severity</w:t>
            </w:r>
          </w:p>
        </w:tc>
        <w:tc>
          <w:tcPr>
            <w:tcW w:type="dxa" w:w="468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Response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Warning (2-sigma)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Log and monitor. No automated action. Review in the next daily ops review.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Action (3-sigma, single metric)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Trigger a targeted evaluation run: re-run the agent's eval suite against current behavior. If the eval passes, update the baseline. If it fails, escalate to the agent owner for investigation.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Action (3-sigma, multiple metrics)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This is a behavioral change, not noise. Pause new A2A integrations with this agent. Run the full eval suite. Correlate with recent changes: model updates, RAG index changes, upstream agent deployments. Do not update the baseline until root cause is identified.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Contract violation rate spike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This is the most actionable signal. If contract violations exceed 5% of interactions over a 1-hour window, trigger the circuit breaker at Layer 6 (Baseline Controls A2A-7). Investigate before re-enabling.</w:t>
            </w:r>
          </w:p>
        </w:tc>
      </w:tr>
    </w:tbl>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Every agent in production has a versioned behavioral baseline. Drift detection runs continuously against all monitored signals. Alerts fire at warning and action thresholds with enough context (which metric, how far from baseline, correlated agents) for the on-call team to triage without digging through dashboards. Drift alerts integrate into your existing incident management workflow. Baselines are updated only through an explicit process, not silently.</w:t>
      </w:r>
    </w:p>
    <w:p>
      <w:r>
        <w:br w:type="page"/>
      </w:r>
    </w:p>
    <w:p>
      <w:pPr>
        <w:pStyle w:val="Heading1"/>
        <w:spacing w:after="240" w:before="360"/>
      </w:pPr>
      <w:r>
        <w:rPr>
          <w:rFonts w:ascii="Aptos" w:cs="Aptos" w:eastAsia="Aptos" w:hAnsi="Aptos"/>
          <w:b/>
          <w:bCs/>
          <w:sz w:val="32"/>
          <w:szCs w:val="32"/>
        </w:rPr>
        <w:t xml:space="preserve">2. Shadow AI Discovery</w:t>
      </w:r>
    </w:p>
    <w:p>
      <w:pPr>
        <w:pBdr>
          <w:left w:val="single" w:color="2E6F40" w:sz="6" w:space="8"/>
        </w:pBdr>
        <w:spacing w:after="100"/>
        <w:ind w:left="360"/>
      </w:pPr>
      <w:r>
        <w:rPr>
          <w:rFonts w:ascii="Aptos" w:cs="Aptos" w:eastAsia="Aptos" w:hAnsi="Aptos"/>
          <w:b/>
          <w:bCs/>
          <w:sz w:val="22"/>
          <w:szCs w:val="22"/>
        </w:rPr>
        <w:t xml:space="preserve">A2A-2: Signed Agent Cards</w:t>
      </w:r>
      <w:r>
        <w:rPr>
          <w:rFonts w:ascii="Aptos" w:cs="Aptos" w:eastAsia="Aptos" w:hAnsi="Aptos"/>
          <w:color w:val="666666"/>
          <w:sz w:val="20"/>
          <w:szCs w:val="20"/>
        </w:rPr>
        <w:t xml:space="preserve">  |  AISI Layer 7</w:t>
      </w:r>
    </w:p>
    <w:p>
      <w:pPr>
        <w:pBdr>
          <w:left w:val="single" w:color="2E6F40" w:sz="6" w:space="8"/>
        </w:pBdr>
        <w:spacing w:after="100"/>
        <w:ind w:left="360"/>
      </w:pPr>
      <w:r>
        <w:rPr>
          <w:rFonts w:ascii="Aptos" w:cs="Aptos" w:eastAsia="Aptos" w:hAnsi="Aptos"/>
          <w:b/>
          <w:bCs/>
          <w:sz w:val="22"/>
          <w:szCs w:val="22"/>
        </w:rPr>
        <w:t xml:space="preserve">SEC-9: Third-party agent risk</w:t>
      </w:r>
      <w:r>
        <w:rPr>
          <w:rFonts w:ascii="Aptos" w:cs="Aptos" w:eastAsia="Aptos" w:hAnsi="Aptos"/>
          <w:color w:val="666666"/>
          <w:sz w:val="20"/>
          <w:szCs w:val="20"/>
        </w:rPr>
        <w:t xml:space="preserve">  |  AISI Layers 5, 7</w:t>
      </w:r>
    </w:p>
    <w:p>
      <w:pPr>
        <w:spacing w:after="120"/>
      </w:pPr>
    </w:p>
    <w:p>
      <w:pPr>
        <w:pStyle w:val="Heading2"/>
        <w:spacing w:after="180" w:before="240"/>
      </w:pPr>
      <w:r>
        <w:rPr>
          <w:rFonts w:ascii="Aptos" w:cs="Aptos" w:eastAsia="Aptos" w:hAnsi="Aptos"/>
          <w:b/>
          <w:bCs/>
          <w:sz w:val="28"/>
          <w:szCs w:val="28"/>
        </w:rPr>
        <w:t xml:space="preserve">The Problem</w:t>
      </w:r>
    </w:p>
    <w:p>
      <w:pPr>
        <w:spacing w:after="200"/>
      </w:pPr>
      <w:r>
        <w:rPr>
          <w:rFonts w:ascii="Aptos" w:cs="Aptos" w:eastAsia="Aptos" w:hAnsi="Aptos"/>
          <w:sz w:val="24"/>
          <w:szCs w:val="24"/>
        </w:rPr>
        <w:t xml:space="preserve">Shadow AI in an A2A context is not just someone using ChatGPT at their desk. It is an unauthorized agent making or receiving A2A calls on your network, either because a team deployed an agent outside the formal registration process, or because a sanctioned agent started invoking downstream agents that were never reviewed or approved.</w:t>
      </w:r>
    </w:p>
    <w:p>
      <w:pPr>
        <w:spacing w:after="200"/>
      </w:pPr>
      <w:r>
        <w:rPr>
          <w:rFonts w:ascii="Aptos" w:cs="Aptos" w:eastAsia="Aptos" w:hAnsi="Aptos"/>
          <w:sz w:val="24"/>
          <w:szCs w:val="24"/>
        </w:rPr>
        <w:t xml:space="preserve">The formal Agent Card system (A2A-2) provides the mechanism for authorized agents: every agent must present a signed card bound to its runtime identity. But A2A-2 is a preventive control. You also need a detective control that identifies agents bypassing the system entirely, or sanctioned agents calling unsanctioned downstream services.</w:t>
      </w:r>
    </w:p>
    <w:p>
      <w:pPr>
        <w:pStyle w:val="Heading2"/>
        <w:spacing w:after="180" w:before="240"/>
      </w:pPr>
      <w:r>
        <w:rPr>
          <w:rFonts w:ascii="Aptos" w:cs="Aptos" w:eastAsia="Aptos" w:hAnsi="Aptos"/>
          <w:b/>
          <w:bCs/>
          <w:sz w:val="28"/>
          <w:szCs w:val="28"/>
        </w:rPr>
        <w:t xml:space="preserve">Detection Layers</w:t>
      </w:r>
    </w:p>
    <w:p>
      <w:pPr>
        <w:pStyle w:val="Heading3"/>
        <w:spacing w:after="120" w:before="200"/>
      </w:pPr>
      <w:r>
        <w:rPr>
          <w:rFonts w:ascii="Aptos" w:cs="Aptos" w:eastAsia="Aptos" w:hAnsi="Aptos"/>
          <w:b/>
          <w:bCs/>
          <w:sz w:val="24"/>
          <w:szCs w:val="24"/>
        </w:rPr>
        <w:t xml:space="preserve">Network-Level Detection</w:t>
      </w:r>
    </w:p>
    <w:p>
      <w:pPr>
        <w:spacing w:after="200"/>
      </w:pPr>
      <w:r>
        <w:rPr>
          <w:rFonts w:ascii="Aptos" w:cs="Aptos" w:eastAsia="Aptos" w:hAnsi="Aptos"/>
          <w:sz w:val="24"/>
          <w:szCs w:val="24"/>
        </w:rPr>
        <w:t xml:space="preserve">Your service mesh generates connection telemetry for every mTLS session. The detection logic is straightforward: extract the SPIFFE IDs from mTLS connection logs and compare them against the Agent Card registry. However, mesh telemetry only catches workloads that participate in the mesh identity path. Workloads that bypass the sidecar (hostNetwork pods, containers with sidecar injection disabled, traffic excluded by annotation) will not appear in mesh logs at all.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Query: find SPIFFE IDs making A2A calls that are not in the registry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This runs against your service mesh telemetry (Istio access logs,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Envoy connection metadata, or equivalent). Adapt the query to</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your log aggregation system.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Step 1: Collect unique source/destination SPIFFE ID pairs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from mTLS connection logs over the past 24 hours.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Step 2: Load the set of registered SPIFFE IDs from the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Agent Card registry (or SPIRE entry list).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Step 3: Flag any SPIFFE ID appearing in connection logs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that is not in the registered set.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Step 4: For registered agents, flag any destination SPIFFE 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that the source agent has not declared in its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Agent Card "dependencies" field.</w:t>
      </w:r>
    </w:p>
    <w:p>
      <w:pPr>
        <w:spacing w:after="120"/>
      </w:pPr>
    </w:p>
    <w:p>
      <w:pPr>
        <w:spacing w:after="200"/>
      </w:pPr>
      <w:r>
        <w:rPr>
          <w:rFonts w:ascii="Aptos" w:cs="Aptos" w:eastAsia="Aptos" w:hAnsi="Aptos"/>
          <w:sz w:val="24"/>
          <w:szCs w:val="24"/>
        </w:rPr>
        <w:t xml:space="preserve">Shadow agents fall into two categories that require different detection methods. Undeclared dependencies are agents that have valid mesh identities but are calling downstream services not listed in their Agent Card dependencies field. These are visible in mesh telemetry because they participate in mTLS normally. Unregistered or bypass workloads have no Agent Card, no SPIRE entry, or no sidecar, and will not appear in mesh connection logs at all. These are found through the reconciliation, admission controller, workload inventory, and egress/DNS detection methods described above.</w:t>
      </w:r>
    </w:p>
    <w:p>
      <w:pPr>
        <w:pStyle w:val="Heading3"/>
        <w:spacing w:after="120" w:before="200"/>
      </w:pPr>
      <w:r>
        <w:rPr>
          <w:rFonts w:ascii="Aptos" w:cs="Aptos" w:eastAsia="Aptos" w:hAnsi="Aptos"/>
          <w:b/>
          <w:bCs/>
          <w:sz w:val="24"/>
          <w:szCs w:val="24"/>
        </w:rPr>
        <w:t xml:space="preserve">Bypass Detection</w:t>
      </w:r>
    </w:p>
    <w:p>
      <w:pPr>
        <w:spacing w:after="200"/>
      </w:pPr>
      <w:r>
        <w:rPr>
          <w:rFonts w:ascii="Aptos" w:cs="Aptos" w:eastAsia="Aptos" w:hAnsi="Aptos"/>
          <w:sz w:val="24"/>
          <w:szCs w:val="24"/>
        </w:rPr>
        <w:t xml:space="preserve">Mesh telemetry is blind to workloads that never enter the mesh identity path. To catch these, layer in additional detection sources:</w:t>
      </w:r>
    </w:p>
    <w:p>
      <w:pPr>
        <w:spacing w:after="200"/>
      </w:pPr>
      <w:r>
        <w:rPr>
          <w:rFonts w:ascii="Aptos" w:cs="Aptos" w:eastAsia="Aptos" w:hAnsi="Aptos"/>
          <w:sz w:val="24"/>
          <w:szCs w:val="24"/>
        </w:rPr>
        <w:t xml:space="preserve">Kubernetes workload inventory: compare the set of running pods in agent namespaces against SPIRE registration entries. Any pod with no corresponding SPIRE entry is a gap, whether it is a shadow agent or a misconfiguration.</w:t>
      </w:r>
    </w:p>
    <w:p>
      <w:pPr>
        <w:spacing w:after="200"/>
      </w:pPr>
      <w:r>
        <w:rPr>
          <w:rFonts w:ascii="Aptos" w:cs="Aptos" w:eastAsia="Aptos" w:hAnsi="Aptos"/>
          <w:sz w:val="24"/>
          <w:szCs w:val="24"/>
        </w:rPr>
        <w:t xml:space="preserve">Admission controller findings: if you enforce sidecar injection via admission policy, log pods that were exempted or that requested hostNetwork access.</w:t>
      </w:r>
    </w:p>
    <w:p>
      <w:pPr>
        <w:spacing w:after="200"/>
      </w:pPr>
      <w:r>
        <w:rPr>
          <w:rFonts w:ascii="Aptos" w:cs="Aptos" w:eastAsia="Aptos" w:hAnsi="Aptos"/>
          <w:sz w:val="24"/>
          <w:szCs w:val="24"/>
        </w:rPr>
        <w:t xml:space="preserve">Egress proxy and DNS telemetry: workloads bypassing the mesh may still make outbound calls through an egress proxy or resolve external hostnames. Monitor these logs for traffic patterns consistent with A2A calls (HTTP/2, gRPC, JSON-RPC) originating from agent namespaces.</w:t>
      </w:r>
    </w:p>
    <w:p>
      <w:pPr>
        <w:pStyle w:val="Heading3"/>
        <w:spacing w:after="120" w:before="200"/>
      </w:pPr>
      <w:r>
        <w:rPr>
          <w:rFonts w:ascii="Aptos" w:cs="Aptos" w:eastAsia="Aptos" w:hAnsi="Aptos"/>
          <w:b/>
          <w:bCs/>
          <w:sz w:val="24"/>
          <w:szCs w:val="24"/>
        </w:rPr>
        <w:t xml:space="preserve">Registry Reconciliation</w:t>
      </w:r>
    </w:p>
    <w:p>
      <w:pPr>
        <w:spacing w:after="200"/>
      </w:pPr>
      <w:r>
        <w:rPr>
          <w:rFonts w:ascii="Aptos" w:cs="Aptos" w:eastAsia="Aptos" w:hAnsi="Aptos"/>
          <w:sz w:val="24"/>
          <w:szCs w:val="24"/>
        </w:rPr>
        <w:t xml:space="preserve">Run a daily reconciliation between three sources: the Agent Card registry, the SPIRE server's registration entries, and the actual workloads running in your cluster. Any discrepancy is a finding: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Discrepancy</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What It Means</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SPIRE entry exists, no Agent Card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 workload has a SPIFFE identity but never published a card. It can establish mTLS connections but cannot complete the A2A handshake properly.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Investigate the workload. If it is an agent, require card registration. If it is not an agent, verify it should have a SPIRE entry at 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Agent Card exists, no running workload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 card is published for an agent that is not deployed. This could be a stale card from a previous deployment, or a pre-staged card for an upcoming 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If the card is active (not expired), revoke it. Stale cards are an impersonation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Running workload, no SPIRE entry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 container is running in an agent namespace without workload identity. It cannot participate in mTLS but may be making unauthenticated calls.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This is a misconfiguration or a policy violation. The workload should not be in an agent namespace without identity attestation.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Agent calling undeclared dependencies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 registered agent is making A2A calls to agents not listed in its Agent Card dependencies field.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Review whether the dependency is legitimate. If yes, update the card. If no, investigate why the agent is making undeclared calls.</w:t>
            </w:r>
          </w:p>
        </w:tc>
      </w:tr>
    </w:tbl>
    <w:p>
      <w:pPr>
        <w:pStyle w:val="Heading3"/>
        <w:spacing w:after="120" w:before="200"/>
      </w:pPr>
      <w:r>
        <w:rPr>
          <w:rFonts w:ascii="Aptos" w:cs="Aptos" w:eastAsia="Aptos" w:hAnsi="Aptos"/>
          <w:b/>
          <w:bCs/>
          <w:sz w:val="24"/>
          <w:szCs w:val="24"/>
        </w:rPr>
        <w:t xml:space="preserve">Usage Logging and Sanctioning</w:t>
      </w:r>
    </w:p>
    <w:p>
      <w:pPr>
        <w:spacing w:after="200"/>
      </w:pPr>
      <w:r>
        <w:rPr>
          <w:rFonts w:ascii="Aptos" w:cs="Aptos" w:eastAsia="Aptos" w:hAnsi="Aptos"/>
          <w:sz w:val="24"/>
          <w:szCs w:val="24"/>
        </w:rPr>
        <w:t xml:space="preserve">Maintain a sanctioning status for every discovered agent. Sanctioned means registered, reviewed, and approved for production. Provisional means discovered and under review, allowed to operate pending approval with enhanced monitoring. Blocked means discovered, not approved, with connections actively rejected via AuthorizationPolicy.</w:t>
      </w:r>
    </w:p>
    <w:p>
      <w:pPr>
        <w:spacing w:after="200"/>
      </w:pPr>
      <w:r>
        <w:rPr>
          <w:rFonts w:ascii="Aptos" w:cs="Aptos" w:eastAsia="Aptos" w:hAnsi="Aptos"/>
          <w:sz w:val="24"/>
          <w:szCs w:val="24"/>
        </w:rPr>
        <w:t xml:space="preserve">The default status for newly discovered agents depends on your risk posture. In environments prioritizing availability and team adoption, start with Provisional: allow traffic with enhanced monitoring while the team registers properly. In higher-risk environments (regulated industries, production systems handling sensitive data), start with Blocked: deny traffic until the agent is explicitly approved. Most organizations start with Provisional defaults and move toward Blocked defaults as their Agent Card registry and registration processes mature.</w:t>
      </w:r>
    </w:p>
    <w:p>
      <w:pPr>
        <w:pStyle w:val="Heading2"/>
        <w:spacing w:after="180" w:before="240"/>
      </w:pPr>
      <w:r>
        <w:rPr>
          <w:rFonts w:ascii="Aptos" w:cs="Aptos" w:eastAsia="Aptos" w:hAnsi="Aptos"/>
          <w:b/>
          <w:bCs/>
          <w:sz w:val="28"/>
          <w:szCs w:val="28"/>
        </w:rPr>
        <w:t xml:space="preserve">Automated Enforcement</w:t>
      </w:r>
    </w:p>
    <w:p>
      <w:pPr>
        <w:spacing w:after="200"/>
      </w:pPr>
      <w:r>
        <w:rPr>
          <w:rFonts w:ascii="Aptos" w:cs="Aptos" w:eastAsia="Aptos" w:hAnsi="Aptos"/>
          <w:sz w:val="24"/>
          <w:szCs w:val="24"/>
        </w:rPr>
        <w:t xml:space="preserve">Shadow AI detection should feed into your policy engine. When the reconciliation process identifies an unregistered workload or an undeclared dependency, it should automatically create a finding in your GRC system and, depending on your risk tolerance, take one of two actions: alert-only (log the finding, notify the responsible team, allow traffic to continue) or block (update the AuthorizationPolicy to deny traffic to or from the unregistered workload). Start with alert-only and move to block as your Agent Card registry reaches maturity.</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Daily reconciliation runs across the Agent Card registry, SPIRE entries, and running workloads. Every discrepancy generates a finding. Unregistered agents are flagged within 24 hours. Undeclared dependencies are detected on every reconciliation run. The sanctioning status of every agent is tracked and reviewed quarterly (Baseline Controls SEC-8). Your SOC team can answer the question: what agents are running in our mesh right now, and are all of them approved?</w:t>
      </w:r>
    </w:p>
    <w:p>
      <w:r>
        <w:br w:type="page"/>
      </w:r>
    </w:p>
    <w:p>
      <w:pPr>
        <w:pStyle w:val="Heading1"/>
        <w:spacing w:after="240" w:before="360"/>
      </w:pPr>
      <w:r>
        <w:rPr>
          <w:rFonts w:ascii="Aptos" w:cs="Aptos" w:eastAsia="Aptos" w:hAnsi="Aptos"/>
          <w:b/>
          <w:bCs/>
          <w:sz w:val="32"/>
          <w:szCs w:val="32"/>
        </w:rPr>
        <w:t xml:space="preserve">3. RAG Index Freshness &amp; Stale Data</w:t>
      </w:r>
    </w:p>
    <w:p>
      <w:pPr>
        <w:pBdr>
          <w:left w:val="single" w:color="2E6F40" w:sz="6" w:space="8"/>
        </w:pBdr>
        <w:spacing w:after="100"/>
        <w:ind w:left="360"/>
      </w:pPr>
      <w:r>
        <w:rPr>
          <w:rFonts w:ascii="Aptos" w:cs="Aptos" w:eastAsia="Aptos" w:hAnsi="Aptos"/>
          <w:b/>
          <w:bCs/>
          <w:sz w:val="22"/>
          <w:szCs w:val="22"/>
        </w:rPr>
        <w:t xml:space="preserve">AI-7: Embedding integrity</w:t>
      </w:r>
      <w:r>
        <w:rPr>
          <w:rFonts w:ascii="Aptos" w:cs="Aptos" w:eastAsia="Aptos" w:hAnsi="Aptos"/>
          <w:color w:val="666666"/>
          <w:sz w:val="20"/>
          <w:szCs w:val="20"/>
        </w:rPr>
        <w:t xml:space="preserve">  |  AISI Layer 4</w:t>
      </w:r>
    </w:p>
    <w:p>
      <w:pPr>
        <w:pBdr>
          <w:left w:val="single" w:color="2E6F40" w:sz="6" w:space="8"/>
        </w:pBdr>
        <w:spacing w:after="100"/>
        <w:ind w:left="360"/>
      </w:pPr>
      <w:r>
        <w:rPr>
          <w:rFonts w:ascii="Aptos" w:cs="Aptos" w:eastAsia="Aptos" w:hAnsi="Aptos"/>
          <w:b/>
          <w:bCs/>
          <w:sz w:val="22"/>
          <w:szCs w:val="22"/>
        </w:rPr>
        <w:t xml:space="preserve">AI-6: RAG data access governance</w:t>
      </w:r>
      <w:r>
        <w:rPr>
          <w:rFonts w:ascii="Aptos" w:cs="Aptos" w:eastAsia="Aptos" w:hAnsi="Aptos"/>
          <w:color w:val="666666"/>
          <w:sz w:val="20"/>
          <w:szCs w:val="20"/>
        </w:rPr>
        <w:t xml:space="preserve">  |  AISI Layers 4, 6</w:t>
      </w:r>
    </w:p>
    <w:p>
      <w:pPr>
        <w:spacing w:after="120"/>
      </w:pPr>
    </w:p>
    <w:p>
      <w:pPr>
        <w:pStyle w:val="Heading2"/>
        <w:spacing w:after="180" w:before="240"/>
      </w:pPr>
      <w:r>
        <w:rPr>
          <w:rFonts w:ascii="Aptos" w:cs="Aptos" w:eastAsia="Aptos" w:hAnsi="Aptos"/>
          <w:b/>
          <w:bCs/>
          <w:sz w:val="28"/>
          <w:szCs w:val="28"/>
        </w:rPr>
        <w:t xml:space="preserve">The Problem</w:t>
      </w:r>
    </w:p>
    <w:p>
      <w:pPr>
        <w:spacing w:after="200"/>
      </w:pPr>
      <w:r>
        <w:rPr>
          <w:rFonts w:ascii="Aptos" w:cs="Aptos" w:eastAsia="Aptos" w:hAnsi="Aptos"/>
          <w:sz w:val="24"/>
          <w:szCs w:val="24"/>
        </w:rPr>
        <w:t xml:space="preserve">Vector stores and RAG indexes are not static. The source documents they were built from get updated, superseded, or deleted. But the embeddings generated from those documents persist in the index unless someone explicitly removes them. An agent querying a stale index can retrieve context from a policy document that was revised six months ago, a product spec that was replaced, or a customer record that should have been purged.</w:t>
      </w:r>
    </w:p>
    <w:p>
      <w:pPr>
        <w:spacing w:after="200"/>
      </w:pPr>
      <w:r>
        <w:rPr>
          <w:rFonts w:ascii="Aptos" w:cs="Aptos" w:eastAsia="Aptos" w:hAnsi="Aptos"/>
          <w:sz w:val="24"/>
          <w:szCs w:val="24"/>
        </w:rPr>
        <w:t xml:space="preserve">In a single-agent system, stale data is a quality problem. In an A2A mesh, it is a propagation problem: Agent A retrieves stale context, generates a response based on it, and sends that response to Agent B as authoritative input. Agent B has no way to know the underlying source was outdated.</w:t>
      </w:r>
    </w:p>
    <w:p>
      <w:pPr>
        <w:pStyle w:val="Heading2"/>
        <w:spacing w:after="180" w:before="240"/>
      </w:pPr>
      <w:r>
        <w:rPr>
          <w:rFonts w:ascii="Aptos" w:cs="Aptos" w:eastAsia="Aptos" w:hAnsi="Aptos"/>
          <w:b/>
          <w:bCs/>
          <w:sz w:val="28"/>
          <w:szCs w:val="28"/>
        </w:rPr>
        <w:t xml:space="preserve">Source Document Lifecycle Tracking</w:t>
      </w:r>
    </w:p>
    <w:p>
      <w:pPr>
        <w:spacing w:after="200"/>
      </w:pPr>
      <w:r>
        <w:rPr>
          <w:rFonts w:ascii="Aptos" w:cs="Aptos" w:eastAsia="Aptos" w:hAnsi="Aptos"/>
          <w:sz w:val="24"/>
          <w:szCs w:val="24"/>
        </w:rPr>
        <w:t xml:space="preserve">The foundation of index freshness is tracking the lifecycle of source documents. Every document ingested into a vector store should have metadata recording: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Metadata Field</w:t>
            </w:r>
          </w:p>
        </w:tc>
        <w:tc>
          <w:tcPr>
            <w:tcW w:type="dxa" w:w="468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source_id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Unique identifier for the source document (URL, document ID, file hash)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source_version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Version or last-modified timestamp of the source at ingest 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ingested_at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Timestamp when the embedding was generated and stored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source_status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Current status of the source: active, superseded, deleted, archived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ttl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Maximum age before the embedding must be re-evaluated, even if the source has not changed</w:t>
            </w:r>
          </w:p>
        </w:tc>
      </w:tr>
    </w:tbl>
    <w:p>
      <w:pPr>
        <w:spacing w:after="120"/>
      </w:pPr>
    </w:p>
    <w:p>
      <w:pPr>
        <w:spacing w:after="200"/>
      </w:pPr>
      <w:r>
        <w:rPr>
          <w:rFonts w:ascii="Aptos" w:cs="Aptos" w:eastAsia="Aptos" w:hAnsi="Aptos"/>
          <w:sz w:val="24"/>
          <w:szCs w:val="24"/>
        </w:rPr>
        <w:t xml:space="preserve">This metadata enables two operations: forward propagation (when a source document changes, find and update all embeddings derived from it) and staleness detection (find all embeddings older than their TTL or derived from sources that no longer exist).</w:t>
      </w:r>
    </w:p>
    <w:p>
      <w:pPr>
        <w:pStyle w:val="Heading2"/>
        <w:spacing w:after="180" w:before="240"/>
      </w:pPr>
      <w:r>
        <w:rPr>
          <w:rFonts w:ascii="Aptos" w:cs="Aptos" w:eastAsia="Aptos" w:hAnsi="Aptos"/>
          <w:b/>
          <w:bCs/>
          <w:sz w:val="28"/>
          <w:szCs w:val="28"/>
        </w:rPr>
        <w:t xml:space="preserve">Freshness Scoring</w:t>
      </w:r>
    </w:p>
    <w:p>
      <w:pPr>
        <w:spacing w:after="200"/>
      </w:pPr>
      <w:r>
        <w:rPr>
          <w:rFonts w:ascii="Aptos" w:cs="Aptos" w:eastAsia="Aptos" w:hAnsi="Aptos"/>
          <w:sz w:val="24"/>
          <w:szCs w:val="24"/>
        </w:rPr>
        <w:t xml:space="preserve">At retrieval time, score each result for freshness before the agent reasons over it. A simple freshness score combines two factors: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Freshness scoring at retrieval time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Run this after vector similarity search, before passing results to the model.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def freshness_score(embedding_metadata):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age_days = (now() - embedding_metadata.ingested_at).days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ttl_days = embedding_metadata.ttl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Source status check: deleted/superseded sources get score 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if embedding_metadata.source_status in ("deleted", "superseded"):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return 0.0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Guard against missing or zero TTL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if not ttl_days or ttl_days &lt;= 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return 0.0  # No TTL defined means staleness is unknown; treat as stale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Age-based decay: linear decay from 1.0 to 0.0 over TTL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age_score = max(0.0, 1.0 - (age_days / ttl_days))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return age_score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Filter: exclude results below threshold before model sees them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FRESHNESS_THRESHOLD = 0.3  # Adapt based on your data update frequency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filtered_results = [r for r in results if freshness_score(r.meta) &gt;= FRESHNESS_THRESHOLD]</w:t>
      </w:r>
    </w:p>
    <w:p>
      <w:pPr>
        <w:spacing w:after="120"/>
      </w:pPr>
    </w:p>
    <w:p>
      <w:pPr>
        <w:spacing w:after="200"/>
      </w:pPr>
      <w:r>
        <w:rPr>
          <w:rFonts w:ascii="Aptos" w:cs="Aptos" w:eastAsia="Aptos" w:hAnsi="Aptos"/>
          <w:sz w:val="24"/>
          <w:szCs w:val="24"/>
        </w:rPr>
        <w:t xml:space="preserve">The threshold depends on your domain. Financial data and regulatory content should have aggressive TTLs (days to weeks) and high thresholds. Reference documentation and technical specs can tolerate longer TTLs (weeks to months). Set the defaults per data source category, not globally.</w:t>
      </w:r>
    </w:p>
    <w:p>
      <w:pPr>
        <w:pStyle w:val="Heading2"/>
        <w:spacing w:after="180" w:before="240"/>
      </w:pPr>
      <w:r>
        <w:rPr>
          <w:rFonts w:ascii="Aptos" w:cs="Aptos" w:eastAsia="Aptos" w:hAnsi="Aptos"/>
          <w:b/>
          <w:bCs/>
          <w:sz w:val="28"/>
          <w:szCs w:val="28"/>
        </w:rPr>
        <w:t xml:space="preserve">Automated Reindexing</w:t>
      </w:r>
    </w:p>
    <w:p>
      <w:pPr>
        <w:spacing w:after="200"/>
      </w:pPr>
      <w:r>
        <w:rPr>
          <w:rFonts w:ascii="Aptos" w:cs="Aptos" w:eastAsia="Aptos" w:hAnsi="Aptos"/>
          <w:sz w:val="24"/>
          <w:szCs w:val="24"/>
        </w:rPr>
        <w:t xml:space="preserve">Freshness scoring is a runtime filter. Reindexing is the background process that keeps the index current. Two triggers should drive reindexing:</w:t>
      </w:r>
    </w:p>
    <w:p>
      <w:pPr>
        <w:spacing w:after="200"/>
      </w:pPr>
      <w:r>
        <w:rPr>
          <w:rFonts w:ascii="Aptos" w:cs="Aptos" w:eastAsia="Aptos" w:hAnsi="Aptos"/>
          <w:sz w:val="24"/>
          <w:szCs w:val="24"/>
        </w:rPr>
        <w:t xml:space="preserve">Source change events: when a source document is updated, deleted, or superseded, the ingestion pipeline should re-embed the updated content and mark the old embeddings for removal. If your document store supports change events (webhooks, change streams, event bus), wire them directly into the reindexing pipeline. If it does not, run a periodic diff against the source inventory.</w:t>
      </w:r>
    </w:p>
    <w:p>
      <w:pPr>
        <w:spacing w:after="200"/>
      </w:pPr>
      <w:r>
        <w:rPr>
          <w:rFonts w:ascii="Aptos" w:cs="Aptos" w:eastAsia="Aptos" w:hAnsi="Aptos"/>
          <w:sz w:val="24"/>
          <w:szCs w:val="24"/>
        </w:rPr>
        <w:t xml:space="preserve">TTL expiration: a background job should scan the index for embeddings past their TTL. For expired embeddings where the source is still active, re-ingest from the current source version. For expired embeddings where the source is deleted or superseded, remove the embedding entirely.</w:t>
      </w:r>
    </w:p>
    <w:p>
      <w:pPr>
        <w:spacing w:after="200"/>
      </w:pPr>
      <w:r>
        <w:rPr>
          <w:rFonts w:ascii="Aptos" w:cs="Aptos" w:eastAsia="Aptos" w:hAnsi="Aptos"/>
          <w:sz w:val="24"/>
          <w:szCs w:val="24"/>
        </w:rPr>
        <w:t xml:space="preserve">Log every reindexing operation against the source_id: what changed, when, and whether the embedding was updated, replaced, or deleted. This audit trail is essential for investigating cases where an agent served stale content despite the freshness controls.</w:t>
      </w:r>
    </w:p>
    <w:p>
      <w:pPr>
        <w:pStyle w:val="Heading2"/>
        <w:spacing w:after="180" w:before="240"/>
      </w:pPr>
      <w:r>
        <w:rPr>
          <w:rFonts w:ascii="Aptos" w:cs="Aptos" w:eastAsia="Aptos" w:hAnsi="Aptos"/>
          <w:b/>
          <w:bCs/>
          <w:sz w:val="28"/>
          <w:szCs w:val="28"/>
        </w:rPr>
        <w:t xml:space="preserve">A2A-Specific Concern: Source Attribution in Responses</w:t>
      </w:r>
    </w:p>
    <w:p>
      <w:pPr>
        <w:spacing w:after="200"/>
      </w:pPr>
      <w:r>
        <w:rPr>
          <w:rFonts w:ascii="Aptos" w:cs="Aptos" w:eastAsia="Aptos" w:hAnsi="Aptos"/>
          <w:sz w:val="24"/>
          <w:szCs w:val="24"/>
        </w:rPr>
        <w:t xml:space="preserve">When an agent uses RAG results to generate a response that crosses an A2A boundary, the receiving agent has no visibility into the freshness of the underlying data. The behavioral contract's data_classification field governs sensitivity, but nothing in the current contract spec addresses temporal validity.</w:t>
      </w:r>
    </w:p>
    <w:p>
      <w:pPr>
        <w:spacing w:after="200"/>
      </w:pPr>
      <w:r>
        <w:rPr>
          <w:rFonts w:ascii="Aptos" w:cs="Aptos" w:eastAsia="Aptos" w:hAnsi="Aptos"/>
          <w:sz w:val="24"/>
          <w:szCs w:val="24"/>
        </w:rPr>
        <w:t xml:space="preserve">Operational mitigation: include source metadata in the agent's response when the data_classification is "internal" or higher. At minimum, include the source_id and source_version for each document that materially contributed to the response. This gives the receiving agent (or a human auditor) the ability to verify that the response was based on current information. This is consistent with Baseline Controls AI-5 (hallucination and grounding controls), which requires source attribution in retrieval-augmented outputs.</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Every vector store has document lifecycle metadata on every embedding. Freshness scoring filters stale results at retrieval time. Reindexing runs on source change events and TTL expiration. Embeddings from deleted or superseded sources are purged within a defined SLA after the source change event (not deferred to TTL expiration). Embeddings from active sources past their TTL are re-evaluated on the TTL schedule. Audit logs record every reindexing operation. For A2A interactions, agents include source attribution metadata in responses involving retrieved content.</w:t>
      </w:r>
    </w:p>
    <w:p>
      <w:r>
        <w:br w:type="page"/>
      </w:r>
    </w:p>
    <w:p>
      <w:pPr>
        <w:pStyle w:val="Heading1"/>
        <w:spacing w:after="240" w:before="360"/>
      </w:pPr>
      <w:r>
        <w:rPr>
          <w:rFonts w:ascii="Aptos" w:cs="Aptos" w:eastAsia="Aptos" w:hAnsi="Aptos"/>
          <w:b/>
          <w:bCs/>
          <w:sz w:val="32"/>
          <w:szCs w:val="32"/>
        </w:rPr>
        <w:t xml:space="preserve">4. Prompt Template Versioning &amp; Deprecation</w:t>
      </w:r>
    </w:p>
    <w:p>
      <w:pPr>
        <w:pBdr>
          <w:left w:val="single" w:color="2E6F40" w:sz="6" w:space="8"/>
        </w:pBdr>
        <w:spacing w:after="100"/>
        <w:ind w:left="360"/>
      </w:pPr>
      <w:r>
        <w:rPr>
          <w:rFonts w:ascii="Aptos" w:cs="Aptos" w:eastAsia="Aptos" w:hAnsi="Aptos"/>
          <w:b/>
          <w:bCs/>
          <w:sz w:val="22"/>
          <w:szCs w:val="22"/>
        </w:rPr>
        <w:t xml:space="preserve">AI-4: Prompt / system policy versioning</w:t>
      </w:r>
      <w:r>
        <w:rPr>
          <w:rFonts w:ascii="Aptos" w:cs="Aptos" w:eastAsia="Aptos" w:hAnsi="Aptos"/>
          <w:color w:val="666666"/>
          <w:sz w:val="20"/>
          <w:szCs w:val="20"/>
        </w:rPr>
        <w:t xml:space="preserve">  |  AISI Layer 5</w:t>
      </w:r>
    </w:p>
    <w:p>
      <w:pPr>
        <w:pBdr>
          <w:left w:val="single" w:color="2E6F40" w:sz="6" w:space="8"/>
        </w:pBdr>
        <w:spacing w:after="100"/>
        <w:ind w:left="360"/>
      </w:pPr>
      <w:r>
        <w:rPr>
          <w:rFonts w:ascii="Aptos" w:cs="Aptos" w:eastAsia="Aptos" w:hAnsi="Aptos"/>
          <w:b/>
          <w:bCs/>
          <w:sz w:val="22"/>
          <w:szCs w:val="22"/>
        </w:rPr>
        <w:t xml:space="preserve">IT-10: Change management</w:t>
      </w:r>
      <w:r>
        <w:rPr>
          <w:rFonts w:ascii="Aptos" w:cs="Aptos" w:eastAsia="Aptos" w:hAnsi="Aptos"/>
          <w:color w:val="666666"/>
          <w:sz w:val="20"/>
          <w:szCs w:val="20"/>
        </w:rPr>
        <w:t xml:space="preserve">  |  AISI Layers 2, 3, 5</w:t>
      </w:r>
    </w:p>
    <w:p>
      <w:pPr>
        <w:spacing w:after="120"/>
      </w:pPr>
    </w:p>
    <w:p>
      <w:pPr>
        <w:pStyle w:val="Heading2"/>
        <w:spacing w:after="180" w:before="240"/>
      </w:pPr>
      <w:r>
        <w:rPr>
          <w:rFonts w:ascii="Aptos" w:cs="Aptos" w:eastAsia="Aptos" w:hAnsi="Aptos"/>
          <w:b/>
          <w:bCs/>
          <w:sz w:val="28"/>
          <w:szCs w:val="28"/>
        </w:rPr>
        <w:t xml:space="preserve">The Problem</w:t>
      </w:r>
    </w:p>
    <w:p>
      <w:pPr>
        <w:spacing w:after="200"/>
      </w:pPr>
      <w:r>
        <w:rPr>
          <w:rFonts w:ascii="Aptos" w:cs="Aptos" w:eastAsia="Aptos" w:hAnsi="Aptos"/>
          <w:sz w:val="24"/>
          <w:szCs w:val="24"/>
        </w:rPr>
        <w:t xml:space="preserve">System prompts, instruction templates, and policy documents deployed alongside agents are as critical as the model weights themselves. A change to the system prompt can alter an agent's behavior as significantly as swapping the model. But unlike model versions (which have registries, provenance attestations, and deployment gates), prompt changes often happen informally: a team member edits a ConfigMap, merges a PR that updates a prompt file, or changes an environment variable.</w:t>
      </w:r>
    </w:p>
    <w:p>
      <w:pPr>
        <w:spacing w:after="200"/>
      </w:pPr>
      <w:r>
        <w:rPr>
          <w:rFonts w:ascii="Aptos" w:cs="Aptos" w:eastAsia="Aptos" w:hAnsi="Aptos"/>
          <w:sz w:val="24"/>
          <w:szCs w:val="24"/>
        </w:rPr>
        <w:t xml:space="preserve">Baseline Controls AI-4 requires system prompts to be "version-controlled and deployed as release artifacts alongside the agent." In an A2A context, prompt versioning has an additional constraint: the behavioral contract an agent advertised in its Agent Card may no longer be valid if the prompt changes how the agent behaves. A prompt change that alters output format, tool usage patterns, or scope boundaries can break downstream agents even if the API contract has not changed.</w:t>
      </w:r>
    </w:p>
    <w:p>
      <w:pPr>
        <w:pStyle w:val="Heading2"/>
        <w:spacing w:after="180" w:before="240"/>
      </w:pPr>
      <w:r>
        <w:rPr>
          <w:rFonts w:ascii="Aptos" w:cs="Aptos" w:eastAsia="Aptos" w:hAnsi="Aptos"/>
          <w:b/>
          <w:bCs/>
          <w:sz w:val="28"/>
          <w:szCs w:val="28"/>
        </w:rPr>
        <w:t xml:space="preserve">Version Control Strategy</w:t>
      </w:r>
    </w:p>
    <w:p>
      <w:pPr>
        <w:spacing w:after="200"/>
      </w:pPr>
      <w:r>
        <w:rPr>
          <w:rFonts w:ascii="Aptos" w:cs="Aptos" w:eastAsia="Aptos" w:hAnsi="Aptos"/>
          <w:sz w:val="24"/>
          <w:szCs w:val="24"/>
        </w:rPr>
        <w:t xml:space="preserve">Treat prompt templates as code artifacts. They live in version control, they have semantic versions, and they deploy through the same pipeline as agent code.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Version Storage</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Deployment Mechanism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System prompts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Git repository, same repo as agent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Deployed as ConfigMaps or Secrets (for sensitive instructions). Never hardcoded in the container image, never environment variables.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Instruction templates (per-task)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Git repository with parameterized templates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Rendered at build time and bundled with the agent artifact.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Policy documents (guardrails, rules)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Git repository or policy management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Deployed via OPA ConfigMaps or dedicated policy server. Version-tagged.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Few-shot examples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Git repository alongside the prompt they 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Bundled with the prompt template. Version-locked to the template.</w:t>
            </w:r>
          </w:p>
        </w:tc>
      </w:tr>
    </w:tbl>
    <w:p>
      <w:pPr>
        <w:spacing w:after="120"/>
      </w:pPr>
    </w:p>
    <w:p>
      <w:pPr>
        <w:spacing w:after="200"/>
      </w:pPr>
      <w:r>
        <w:rPr>
          <w:rFonts w:ascii="Aptos" w:cs="Aptos" w:eastAsia="Aptos" w:hAnsi="Aptos"/>
          <w:sz w:val="24"/>
          <w:szCs w:val="24"/>
        </w:rPr>
        <w:t xml:space="preserve">Every prompt deployment should produce an immutable artifact with a version tag. The agent's Agent-BOM (Baseline Controls AI-3) should reference the prompt version alongside the model version. This means an auditor can reconstruct exactly what instructions the agent was operating under at any point in time.</w:t>
      </w:r>
    </w:p>
    <w:p>
      <w:pPr>
        <w:pStyle w:val="Heading2"/>
        <w:spacing w:after="180" w:before="240"/>
      </w:pPr>
      <w:r>
        <w:rPr>
          <w:rFonts w:ascii="Aptos" w:cs="Aptos" w:eastAsia="Aptos" w:hAnsi="Aptos"/>
          <w:b/>
          <w:bCs/>
          <w:sz w:val="28"/>
          <w:szCs w:val="28"/>
        </w:rPr>
        <w:t xml:space="preserve">Deprecation Lifecycle</w:t>
      </w:r>
    </w:p>
    <w:p>
      <w:pPr>
        <w:spacing w:after="200"/>
      </w:pPr>
      <w:r>
        <w:rPr>
          <w:rFonts w:ascii="Aptos" w:cs="Aptos" w:eastAsia="Aptos" w:hAnsi="Aptos"/>
          <w:sz w:val="24"/>
          <w:szCs w:val="24"/>
        </w:rPr>
        <w:t xml:space="preserve">When a prompt template is retired or replaced, follow a deprecation lifecycle that gives dependent systems time to adapt: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Phase</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Duration</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Default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Prompt is current and in production. All agents using this template are operating normally.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Deprecated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Minimum 2 release cycles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Prompt is still functional but marked for removal. Agents using it log a warning on every invocation. Downstream teams are notified. No new deployments should use this version.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Sunset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1 release 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Prompt is non-functional: agents using it fall back to a safe default behavior, such as refusing the request with a structured error rather than silently degrading. Log an error on every invocation.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Removed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Final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Prompt artifact is removed from the deployment pipeline. Any agent still referencing it fails to deploy.</w:t>
            </w:r>
          </w:p>
        </w:tc>
      </w:tr>
    </w:tbl>
    <w:p>
      <w:pPr>
        <w:spacing w:after="120"/>
      </w:pPr>
    </w:p>
    <w:p>
      <w:pPr>
        <w:spacing w:after="200"/>
      </w:pPr>
      <w:r>
        <w:rPr>
          <w:rFonts w:ascii="Aptos" w:cs="Aptos" w:eastAsia="Aptos" w:hAnsi="Aptos"/>
          <w:sz w:val="24"/>
          <w:szCs w:val="24"/>
        </w:rPr>
        <w:t xml:space="preserve">The key principle is that prompt deprecation should never cause silent behavioral changes. An agent running a deprecated prompt should behave identically to one running the active version, with the sole difference being the warning log. Only at the sunset phase does behavior change, and it changes to a fail-safe, not a degraded mode.</w:t>
      </w:r>
    </w:p>
    <w:p>
      <w:pPr>
        <w:pStyle w:val="Heading2"/>
        <w:spacing w:after="180" w:before="240"/>
      </w:pPr>
      <w:r>
        <w:rPr>
          <w:rFonts w:ascii="Aptos" w:cs="Aptos" w:eastAsia="Aptos" w:hAnsi="Aptos"/>
          <w:b/>
          <w:bCs/>
          <w:sz w:val="28"/>
          <w:szCs w:val="28"/>
        </w:rPr>
        <w:t xml:space="preserve">Contract Compatibility</w:t>
      </w:r>
    </w:p>
    <w:p>
      <w:pPr>
        <w:spacing w:after="200"/>
      </w:pPr>
      <w:r>
        <w:rPr>
          <w:rFonts w:ascii="Aptos" w:cs="Aptos" w:eastAsia="Aptos" w:hAnsi="Aptos"/>
          <w:sz w:val="24"/>
          <w:szCs w:val="24"/>
        </w:rPr>
        <w:t xml:space="preserve">When a prompt change alters the agent's observable behavior (output format, tool usage, scope, response style), it is a contract-breaking change. The agent's Agent Card must be re-signed with an incremented major version. Downstream agents consuming this agent's capabilities should be notified through the standard change control process (see Section 6).</w:t>
      </w:r>
    </w:p>
    <w:p>
      <w:pPr>
        <w:spacing w:after="200"/>
      </w:pPr>
      <w:r>
        <w:rPr>
          <w:rFonts w:ascii="Aptos" w:cs="Aptos" w:eastAsia="Aptos" w:hAnsi="Aptos"/>
          <w:sz w:val="24"/>
          <w:szCs w:val="24"/>
        </w:rPr>
        <w:t xml:space="preserve">When a prompt change does not alter observable behavior (internal reasoning instructions, performance optimization, clarification of existing behavior), it is a non-breaking change. The Agent Card version does not need to increment, but the prompt version in the Agent-BOM should still be updated.</w:t>
      </w:r>
    </w:p>
    <w:p>
      <w:pPr>
        <w:spacing w:after="200"/>
      </w:pPr>
      <w:r>
        <w:rPr>
          <w:rFonts w:ascii="Aptos" w:cs="Aptos" w:eastAsia="Aptos" w:hAnsi="Aptos"/>
          <w:sz w:val="24"/>
          <w:szCs w:val="24"/>
        </w:rPr>
        <w:t xml:space="preserve">If you are unsure whether a prompt change is breaking, run the agent's evaluation suite before and after the change. If any eval metric shifts beyond the warning threshold defined in Section 1 (Behavioral Drift Detection), treat it as a breaking change.</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All prompt templates are in version control. Deployments are immutable artifacts with version tags. The Agent-BOM includes the prompt version. Deprecated prompts log warnings. Sunset prompts fail safe. Prompt changes go through the same change approval process as code changes. Breaking prompt changes trigger Agent Card re-signing and downstream notification.</w:t>
      </w:r>
    </w:p>
    <w:p>
      <w:r>
        <w:br w:type="page"/>
      </w:r>
    </w:p>
    <w:p>
      <w:pPr>
        <w:pStyle w:val="Heading1"/>
        <w:spacing w:after="240" w:before="360"/>
      </w:pPr>
      <w:r>
        <w:rPr>
          <w:rFonts w:ascii="Aptos" w:cs="Aptos" w:eastAsia="Aptos" w:hAnsi="Aptos"/>
          <w:b/>
          <w:bCs/>
          <w:sz w:val="32"/>
          <w:szCs w:val="32"/>
        </w:rPr>
        <w:t xml:space="preserve">5. Agent Memory &amp; Context Hygiene</w:t>
      </w:r>
    </w:p>
    <w:p>
      <w:pPr>
        <w:pBdr>
          <w:left w:val="single" w:color="2E6F40" w:sz="6" w:space="8"/>
        </w:pBdr>
        <w:spacing w:after="100"/>
        <w:ind w:left="360"/>
      </w:pPr>
      <w:r>
        <w:rPr>
          <w:rFonts w:ascii="Aptos" w:cs="Aptos" w:eastAsia="Aptos" w:hAnsi="Aptos"/>
          <w:b/>
          <w:bCs/>
          <w:sz w:val="22"/>
          <w:szCs w:val="22"/>
        </w:rPr>
        <w:t xml:space="preserve">AI-6: RAG data access governance</w:t>
      </w:r>
      <w:r>
        <w:rPr>
          <w:rFonts w:ascii="Aptos" w:cs="Aptos" w:eastAsia="Aptos" w:hAnsi="Aptos"/>
          <w:color w:val="666666"/>
          <w:sz w:val="20"/>
          <w:szCs w:val="20"/>
        </w:rPr>
        <w:t xml:space="preserve">  |  AISI Layers 4, 6</w:t>
      </w:r>
    </w:p>
    <w:p>
      <w:pPr>
        <w:pBdr>
          <w:left w:val="single" w:color="2E6F40" w:sz="6" w:space="8"/>
        </w:pBdr>
        <w:spacing w:after="100"/>
        <w:ind w:left="360"/>
      </w:pPr>
      <w:r>
        <w:rPr>
          <w:rFonts w:ascii="Aptos" w:cs="Aptos" w:eastAsia="Aptos" w:hAnsi="Aptos"/>
          <w:b/>
          <w:bCs/>
          <w:sz w:val="22"/>
          <w:szCs w:val="22"/>
        </w:rPr>
        <w:t xml:space="preserve">IT-4: Resource quotas + autoscaling limits</w:t>
      </w:r>
      <w:r>
        <w:rPr>
          <w:rFonts w:ascii="Aptos" w:cs="Aptos" w:eastAsia="Aptos" w:hAnsi="Aptos"/>
          <w:color w:val="666666"/>
          <w:sz w:val="20"/>
          <w:szCs w:val="20"/>
        </w:rPr>
        <w:t xml:space="preserve">  |  AISI Layer 2</w:t>
      </w:r>
    </w:p>
    <w:p>
      <w:pPr>
        <w:spacing w:after="120"/>
      </w:pPr>
    </w:p>
    <w:p>
      <w:pPr>
        <w:pStyle w:val="Heading2"/>
        <w:spacing w:after="180" w:before="240"/>
      </w:pPr>
      <w:r>
        <w:rPr>
          <w:rFonts w:ascii="Aptos" w:cs="Aptos" w:eastAsia="Aptos" w:hAnsi="Aptos"/>
          <w:b/>
          <w:bCs/>
          <w:sz w:val="28"/>
          <w:szCs w:val="28"/>
        </w:rPr>
        <w:t xml:space="preserve">The Problem</w:t>
      </w:r>
    </w:p>
    <w:p>
      <w:pPr>
        <w:spacing w:after="200"/>
      </w:pPr>
      <w:r>
        <w:rPr>
          <w:rFonts w:ascii="Aptos" w:cs="Aptos" w:eastAsia="Aptos" w:hAnsi="Aptos"/>
          <w:sz w:val="24"/>
          <w:szCs w:val="24"/>
        </w:rPr>
        <w:t xml:space="preserve">Agents accumulate state: conversation history, extracted facts, cached tool results, embeddings derived from interactions, and persistent memory that carries across sessions. In a single-agent system, this state is scoped to one user's context. In an A2A mesh, context can flow between agents: Agent A's request to Agent B may contain information from Agent A's previous interactions with Agents C, D, and E. If Agent B persists that context, it now holds data that originated from multiple trust domains, subject to multiple retention policies, and potentially containing PII from multiple sources.</w:t>
      </w:r>
    </w:p>
    <w:p>
      <w:pPr>
        <w:spacing w:after="200"/>
      </w:pPr>
      <w:r>
        <w:rPr>
          <w:rFonts w:ascii="Aptos" w:cs="Aptos" w:eastAsia="Aptos" w:hAnsi="Aptos"/>
          <w:sz w:val="24"/>
          <w:szCs w:val="24"/>
        </w:rPr>
        <w:t xml:space="preserve">The A2A Protocol Spec now defines enforcement requirements for the retention_policy behavioral contract term. This section covers the operational mechanics of enforcing those requirements across the agent's storage layers.</w:t>
      </w:r>
    </w:p>
    <w:p>
      <w:pPr>
        <w:pStyle w:val="Heading2"/>
        <w:spacing w:after="180" w:before="240"/>
      </w:pPr>
      <w:r>
        <w:rPr>
          <w:rFonts w:ascii="Aptos" w:cs="Aptos" w:eastAsia="Aptos" w:hAnsi="Aptos"/>
          <w:b/>
          <w:bCs/>
          <w:sz w:val="28"/>
          <w:szCs w:val="28"/>
        </w:rPr>
        <w:t xml:space="preserve">Memory Taxonomy</w:t>
      </w:r>
    </w:p>
    <w:p>
      <w:pPr>
        <w:spacing w:after="200"/>
      </w:pPr>
      <w:r>
        <w:rPr>
          <w:rFonts w:ascii="Aptos" w:cs="Aptos" w:eastAsia="Aptos" w:hAnsi="Aptos"/>
          <w:sz w:val="24"/>
          <w:szCs w:val="24"/>
        </w:rPr>
        <w:t xml:space="preserve">Before you can enforce retention and hygiene, you need to know where your agents store state. Map each agent's storage footprint: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Storage Type</w:t>
            </w:r>
          </w:p>
        </w:tc>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AISI Layer</w:t>
            </w:r>
          </w:p>
        </w:tc>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Persistence</w:t>
            </w:r>
          </w:p>
        </w:tc>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Retention Challenge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Context window (in-flight)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Request-scoped, discarded on completion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Low risk. Ensure context is not logged verbatim to persistent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Conversation history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Session-scoped or persistent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Must honor retention_policy per behavioral contract. If conversations span multiple A2A callers, the most restrictive retention_policy applies.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Persistent memory (facts, preferences)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Long-lived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The hardest to manage. Facts extracted from A2A interactions are divorced from their source contract. Must track provenance to enforce retention.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Cached tool results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Layers 5,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TTL-based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Set TTLs that do not exceed the retention_policy of the originating contract.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RAG index (if populated from interactions)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Long-lived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Covered in Section 3. Embeddings derived from A2A interactions must be tracked to their source contract.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Audit logs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Trace plane (cross-cutting)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Long-lived, subject to compliance retention floors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Exempt from behavioral contract retention_policy. Subject to regulatory minimums. Under the EU AI Act: Article 12 requires high-risk systems to have logging capability, Article 19 requires GPAI providers to retain automatically generated logs under their control, and Article 26(6) requires deployers to retain logs for at least six months where the logs are under the deployer's control. Which article applies depends on whether you are the provider or deployer. Consult your legal and GRC team.</w:t>
            </w:r>
          </w:p>
        </w:tc>
      </w:tr>
    </w:tbl>
    <w:p>
      <w:pPr>
        <w:pStyle w:val="Heading2"/>
        <w:spacing w:after="180" w:before="240"/>
      </w:pPr>
      <w:r>
        <w:rPr>
          <w:rFonts w:ascii="Aptos" w:cs="Aptos" w:eastAsia="Aptos" w:hAnsi="Aptos"/>
          <w:b/>
          <w:bCs/>
          <w:sz w:val="28"/>
          <w:szCs w:val="28"/>
        </w:rPr>
        <w:t xml:space="preserve">Retention Enforcement</w:t>
      </w:r>
    </w:p>
    <w:p>
      <w:pPr>
        <w:pStyle w:val="Heading3"/>
        <w:spacing w:after="120" w:before="200"/>
      </w:pPr>
      <w:r>
        <w:rPr>
          <w:rFonts w:ascii="Aptos" w:cs="Aptos" w:eastAsia="Aptos" w:hAnsi="Aptos"/>
          <w:b/>
          <w:bCs/>
          <w:sz w:val="24"/>
          <w:szCs w:val="24"/>
        </w:rPr>
        <w:t xml:space="preserve">Contract-Aware Purge</w:t>
      </w:r>
    </w:p>
    <w:p>
      <w:pPr>
        <w:spacing w:after="200"/>
      </w:pPr>
      <w:r>
        <w:rPr>
          <w:rFonts w:ascii="Aptos" w:cs="Aptos" w:eastAsia="Aptos" w:hAnsi="Aptos"/>
          <w:sz w:val="24"/>
          <w:szCs w:val="24"/>
        </w:rPr>
        <w:t xml:space="preserve">When the retention window for a behavioral contract expires, the receiving agent must purge data associated with that contract's trace ID from all applicable storage layers. The purge process must:</w:t>
      </w:r>
    </w:p>
    <w:p>
      <w:pPr>
        <w:spacing w:after="200"/>
      </w:pPr>
      <w:r>
        <w:rPr>
          <w:rFonts w:ascii="Aptos" w:cs="Aptos" w:eastAsia="Aptos" w:hAnsi="Aptos"/>
          <w:b/>
          <w:bCs/>
          <w:sz w:val="24"/>
          <w:szCs w:val="24"/>
        </w:rPr>
        <w:t xml:space="preserve">1. Identify affected data.</w:t>
      </w:r>
      <w:r>
        <w:rPr>
          <w:rFonts w:ascii="Aptos" w:cs="Aptos" w:eastAsia="Aptos" w:hAnsi="Aptos"/>
          <w:sz w:val="24"/>
          <w:szCs w:val="24"/>
        </w:rPr>
        <w:t xml:space="preserve"> Query each storage layer for records tagged with the contract's trace ID, contract ID, or explicit provenance linkage. Do not purge by originating SPIFFE ID alone, as a single caller may have multiple contracts with different retention windows, and purging by caller identity would wipe unrelated interactions.</w:t>
      </w:r>
    </w:p>
    <w:p>
      <w:pPr>
        <w:spacing w:after="200"/>
      </w:pPr>
      <w:r>
        <w:rPr>
          <w:rFonts w:ascii="Aptos" w:cs="Aptos" w:eastAsia="Aptos" w:hAnsi="Aptos"/>
          <w:b/>
          <w:bCs/>
          <w:sz w:val="24"/>
          <w:szCs w:val="24"/>
        </w:rPr>
        <w:t xml:space="preserve">2. Purge content, preserve metadata.</w:t>
      </w:r>
      <w:r>
        <w:rPr>
          <w:rFonts w:ascii="Aptos" w:cs="Aptos" w:eastAsia="Aptos" w:hAnsi="Aptos"/>
          <w:sz w:val="24"/>
          <w:szCs w:val="24"/>
        </w:rPr>
        <w:t xml:space="preserve"> Delete the content (request/response payloads, conversation history, extracted facts). Retain the trace skeleton: trace ID, timestamps, agent IDs, contract compliance result, oversight decisions. This preserves the audit trail without retaining the data.</w:t>
      </w:r>
    </w:p>
    <w:p>
      <w:pPr>
        <w:spacing w:after="200"/>
      </w:pPr>
      <w:r>
        <w:rPr>
          <w:rFonts w:ascii="Aptos" w:cs="Aptos" w:eastAsia="Aptos" w:hAnsi="Aptos"/>
          <w:b/>
          <w:bCs/>
          <w:sz w:val="24"/>
          <w:szCs w:val="24"/>
        </w:rPr>
        <w:t xml:space="preserve">3. Handle derived artifacts.</w:t>
      </w:r>
      <w:r>
        <w:rPr>
          <w:rFonts w:ascii="Aptos" w:cs="Aptos" w:eastAsia="Aptos" w:hAnsi="Aptos"/>
          <w:sz w:val="24"/>
          <w:szCs w:val="24"/>
        </w:rPr>
        <w:t xml:space="preserve"> If the agent generated embeddings, cached results, or memory entries from the interaction, those must also be purged or anonymized. Deleting the source but leaving derived artifacts is not compliant (see A2A Protocol Spec, Retention Policy Enforcement).</w:t>
      </w:r>
    </w:p>
    <w:p>
      <w:pPr>
        <w:spacing w:after="200"/>
      </w:pPr>
      <w:r>
        <w:rPr>
          <w:rFonts w:ascii="Aptos" w:cs="Aptos" w:eastAsia="Aptos" w:hAnsi="Aptos"/>
          <w:b/>
          <w:bCs/>
          <w:sz w:val="24"/>
          <w:szCs w:val="24"/>
        </w:rPr>
        <w:t xml:space="preserve">4. Log the purge.</w:t>
      </w:r>
      <w:r>
        <w:rPr>
          <w:rFonts w:ascii="Aptos" w:cs="Aptos" w:eastAsia="Aptos" w:hAnsi="Aptos"/>
          <w:sz w:val="24"/>
          <w:szCs w:val="24"/>
        </w:rPr>
        <w:t xml:space="preserve"> Record that the purge occurred, what trace IDs were affected, which storage layers were cleaned, and whether any data was retained under a regulatory retention floor (see the audit logs row in the Memory Taxonomy table for applicable EU AI Act articles).</w:t>
      </w:r>
    </w:p>
    <w:p>
      <w:pPr>
        <w:pStyle w:val="Heading3"/>
        <w:spacing w:after="120" w:before="200"/>
      </w:pPr>
      <w:r>
        <w:rPr>
          <w:rFonts w:ascii="Aptos" w:cs="Aptos" w:eastAsia="Aptos" w:hAnsi="Aptos"/>
          <w:b/>
          <w:bCs/>
          <w:sz w:val="24"/>
          <w:szCs w:val="24"/>
        </w:rPr>
        <w:t xml:space="preserve">Conflicting Retention Policies</w:t>
      </w:r>
    </w:p>
    <w:p>
      <w:pPr>
        <w:spacing w:after="200"/>
      </w:pPr>
      <w:r>
        <w:rPr>
          <w:rFonts w:ascii="Aptos" w:cs="Aptos" w:eastAsia="Aptos" w:hAnsi="Aptos"/>
          <w:sz w:val="24"/>
          <w:szCs w:val="24"/>
        </w:rPr>
        <w:t xml:space="preserve">An agent serving multiple A2A callers may receive data subject to different retention policies. When data from multiple contracts is stored together in the same conversation history or memory store, the most restrictive retention_policy applies to the shared context. If this is operationally impractical, isolate storage by caller. Per-caller memory partitions cost more to manage but avoid the problem entirely.</w:t>
      </w:r>
    </w:p>
    <w:p>
      <w:pPr>
        <w:pStyle w:val="Heading3"/>
        <w:spacing w:after="120" w:before="200"/>
      </w:pPr>
      <w:r>
        <w:rPr>
          <w:rFonts w:ascii="Aptos" w:cs="Aptos" w:eastAsia="Aptos" w:hAnsi="Aptos"/>
          <w:b/>
          <w:bCs/>
          <w:sz w:val="24"/>
          <w:szCs w:val="24"/>
        </w:rPr>
        <w:t xml:space="preserve">Context TTL Enforcement</w:t>
      </w:r>
    </w:p>
    <w:p>
      <w:pPr>
        <w:spacing w:after="200"/>
      </w:pPr>
      <w:r>
        <w:rPr>
          <w:rFonts w:ascii="Aptos" w:cs="Aptos" w:eastAsia="Aptos" w:hAnsi="Aptos"/>
          <w:sz w:val="24"/>
          <w:szCs w:val="24"/>
        </w:rPr>
        <w:t xml:space="preserve">The A2A Protocol Specification defines an optional context_ttl contract term with three values: "immediate" (wipe the short-term buffer when the session closes), "session" (persist context only for the duration of the session), and "retain" (subject to the standard retention_policy). When a behavioral contract includes context_ttl, the receiving agent must enforce it at the storage layer.</w:t>
      </w:r>
    </w:p>
    <w:p>
      <w:pPr>
        <w:spacing w:after="200"/>
      </w:pPr>
      <w:r>
        <w:rPr>
          <w:rFonts w:ascii="Aptos" w:cs="Aptos" w:eastAsia="Aptos" w:hAnsi="Aptos"/>
          <w:sz w:val="24"/>
          <w:szCs w:val="24"/>
        </w:rPr>
        <w:t xml:space="preserve">For "immediate": when the A2A session ends (connection close, final response sent, or session token expiry), purge the in-flight context window, any scratch state derived from it, and any conversation history entries created during that session. This must happen as part of session teardown, not as a deferred background job. If the agent persists conversation history by default, the session teardown hook must override that default for contracts with context_ttl set to "immediate."</w:t>
      </w:r>
    </w:p>
    <w:p>
      <w:pPr>
        <w:spacing w:after="200"/>
      </w:pPr>
      <w:r>
        <w:rPr>
          <w:rFonts w:ascii="Aptos" w:cs="Aptos" w:eastAsia="Aptos" w:hAnsi="Aptos"/>
          <w:sz w:val="24"/>
          <w:szCs w:val="24"/>
        </w:rPr>
        <w:t xml:space="preserve">For "session": context may remain accessible for the duration of the session (useful for multi-turn interactions), but must be purged when the session ends. The difference from "immediate" is timing: "session" allows context to persist across turns within one session, while "immediate" treats each turn as isolated. Both result in a purge at session close.</w:t>
      </w:r>
    </w:p>
    <w:p>
      <w:pPr>
        <w:spacing w:after="200"/>
      </w:pPr>
      <w:r>
        <w:rPr>
          <w:rFonts w:ascii="Aptos" w:cs="Aptos" w:eastAsia="Aptos" w:hAnsi="Aptos"/>
          <w:sz w:val="24"/>
          <w:szCs w:val="24"/>
        </w:rPr>
        <w:t xml:space="preserve">For "retain": context is subject to the standard retention_policy term and follows the contract-aware purge process described above. This is the default if context_ttl is not specified.</w:t>
      </w:r>
    </w:p>
    <w:p>
      <w:pPr>
        <w:pStyle w:val="Heading2"/>
        <w:spacing w:after="180" w:before="240"/>
      </w:pPr>
      <w:r>
        <w:rPr>
          <w:rFonts w:ascii="Aptos" w:cs="Aptos" w:eastAsia="Aptos" w:hAnsi="Aptos"/>
          <w:b/>
          <w:bCs/>
          <w:sz w:val="28"/>
          <w:szCs w:val="28"/>
        </w:rPr>
        <w:t xml:space="preserve">PII Scrubbing</w:t>
      </w:r>
    </w:p>
    <w:p>
      <w:pPr>
        <w:spacing w:after="200"/>
      </w:pPr>
      <w:r>
        <w:rPr>
          <w:rFonts w:ascii="Aptos" w:cs="Aptos" w:eastAsia="Aptos" w:hAnsi="Aptos"/>
          <w:sz w:val="24"/>
          <w:szCs w:val="24"/>
        </w:rPr>
        <w:t xml:space="preserve">PII can enter agent memory through A2A requests, RAG retrieval, or tool call results. The data_classification contract term controls what classification of data may cross the boundary, but PII can appear in data at any classification level.</w:t>
      </w:r>
    </w:p>
    <w:p>
      <w:pPr>
        <w:spacing w:after="200"/>
      </w:pPr>
      <w:r>
        <w:rPr>
          <w:rFonts w:ascii="Aptos" w:cs="Aptos" w:eastAsia="Aptos" w:hAnsi="Aptos"/>
          <w:sz w:val="24"/>
          <w:szCs w:val="24"/>
        </w:rPr>
        <w:t xml:space="preserve">At ingest (preventive): run PII detection (Presidio, AWS Comprehend, or equivalent) on incoming A2A request payloads before they enter the agent's reasoning pipeline. Redact or mask detected PII based on the contract's data_classification. This is the Layer 7 enforcement described in the A2A Protocol Spec's Data Classification Enforcement section.</w:t>
      </w:r>
    </w:p>
    <w:p>
      <w:pPr>
        <w:spacing w:after="200"/>
      </w:pPr>
      <w:r>
        <w:rPr>
          <w:rFonts w:ascii="Aptos" w:cs="Aptos" w:eastAsia="Aptos" w:hAnsi="Aptos"/>
          <w:sz w:val="24"/>
          <w:szCs w:val="24"/>
        </w:rPr>
        <w:t xml:space="preserve">At rest (detective): run periodic PII scans on persistent memory stores and conversation logs. Flag any PII that survived the ingest filter. This catches cases where PII was embedded in natural language that the ingest-time detector missed, such as a Social Security number written as "my number is five five five" rather than in a machine-readable format.</w:t>
      </w:r>
    </w:p>
    <w:p>
      <w:pPr>
        <w:spacing w:after="200"/>
      </w:pPr>
      <w:r>
        <w:rPr>
          <w:rFonts w:ascii="Aptos" w:cs="Aptos" w:eastAsia="Aptos" w:hAnsi="Aptos"/>
          <w:sz w:val="24"/>
          <w:szCs w:val="24"/>
        </w:rPr>
        <w:t xml:space="preserve">On purge (complete): when a retention-triggered purge runs, verify that the purge removed all PII associated with the affected trace IDs. Post-purge PII scans on the affected storage partitions are the verification mechanism.</w:t>
      </w:r>
    </w:p>
    <w:p>
      <w:pPr>
        <w:pStyle w:val="Heading2"/>
        <w:spacing w:after="180" w:before="240"/>
      </w:pPr>
      <w:r>
        <w:rPr>
          <w:rFonts w:ascii="Aptos" w:cs="Aptos" w:eastAsia="Aptos" w:hAnsi="Aptos"/>
          <w:b/>
          <w:bCs/>
          <w:sz w:val="28"/>
          <w:szCs w:val="28"/>
        </w:rPr>
        <w:t xml:space="preserve">Token Budget Management</w:t>
      </w:r>
    </w:p>
    <w:p>
      <w:pPr>
        <w:spacing w:after="200"/>
      </w:pPr>
      <w:r>
        <w:rPr>
          <w:rFonts w:ascii="Aptos" w:cs="Aptos" w:eastAsia="Aptos" w:hAnsi="Aptos"/>
          <w:sz w:val="24"/>
          <w:szCs w:val="24"/>
        </w:rPr>
        <w:t xml:space="preserve">Context window size is a finite resource. In A2A chains, context accumulates as each agent appends its contribution. Without management, a chain of 5 agents can consume 80% of the final agent's context window with upstream history, leaving minimal room for the agent's own reasoning.</w:t>
      </w:r>
    </w:p>
    <w:p>
      <w:pPr>
        <w:spacing w:after="200"/>
      </w:pPr>
      <w:r>
        <w:rPr>
          <w:rFonts w:ascii="Aptos" w:cs="Aptos" w:eastAsia="Aptos" w:hAnsi="Aptos"/>
          <w:sz w:val="24"/>
          <w:szCs w:val="24"/>
        </w:rPr>
        <w:t xml:space="preserve">Operational controls: set a maximum context injection budget per A2A hop. A reasonable starting point is that no more than 20% of the receiving agent's context window should be consumed by the caller's context. Summarize or truncate upstream context before forwarding. Log context utilization as a metric, since a rising trend may indicate that upstream agents are sending increasingly verbose payloads. This ties into Section 1 (Behavioral Drift Detection).</w:t>
      </w:r>
    </w:p>
    <w:p>
      <w:pPr>
        <w:pStyle w:val="Heading2"/>
        <w:spacing w:after="180" w:before="240"/>
      </w:pPr>
      <w:r>
        <w:rPr>
          <w:rFonts w:ascii="Aptos" w:cs="Aptos" w:eastAsia="Aptos" w:hAnsi="Aptos"/>
          <w:b/>
          <w:bCs/>
          <w:sz w:val="28"/>
          <w:szCs w:val="28"/>
        </w:rPr>
        <w:t xml:space="preserve">Cost Monitoring and Budget Enforcement</w:t>
      </w:r>
    </w:p>
    <w:p>
      <w:pPr>
        <w:spacing w:after="200"/>
      </w:pPr>
      <w:r>
        <w:rPr>
          <w:rFonts w:ascii="Aptos" w:cs="Aptos" w:eastAsia="Aptos" w:hAnsi="Aptos"/>
          <w:sz w:val="24"/>
          <w:szCs w:val="24"/>
        </w:rPr>
        <w:t xml:space="preserve">The A2A Protocol Specification defines optional budget_limit and cost_reporting behavioral contract terms. When a contract includes a budget_limit, the receiving agent must track cumulative cost and halt execution before exceeding the ceiling. This section covers the operational side: how to meter costs, where to store running totals, and what to alert on.</w:t>
      </w:r>
    </w:p>
    <w:p>
      <w:pPr>
        <w:spacing w:after="200"/>
      </w:pPr>
      <w:r>
        <w:rPr>
          <w:rFonts w:ascii="Aptos" w:cs="Aptos" w:eastAsia="Aptos" w:hAnsi="Aptos"/>
          <w:sz w:val="24"/>
          <w:szCs w:val="24"/>
        </w:rPr>
        <w:t xml:space="preserve">Cost metering starts at the inference layer. Each model call has a known cost (tokens in, tokens out, multiplied by the provider's rate). Instrument the inference client to emit a cost metric per call, tagged with the trace ID and contract ID. If the agent makes tool calls with their own costs (paid API calls, database queries billed by compute), instrument those as well. Sum these per-request and compare against the contract's budget_limit before returning the response.</w:t>
      </w:r>
    </w:p>
    <w:p>
      <w:pPr>
        <w:spacing w:after="200"/>
      </w:pPr>
      <w:r>
        <w:rPr>
          <w:rFonts w:ascii="Aptos" w:cs="Aptos" w:eastAsia="Aptos" w:hAnsi="Aptos"/>
          <w:sz w:val="24"/>
          <w:szCs w:val="24"/>
        </w:rPr>
        <w:t xml:space="preserve">For session-scoped budgets, maintain a running total in the same store that tracks session state (the session token cache described in the Implementation Guide, Section 4). On each request, load the cumulative cost, add the current request's cost, and check against max_amount. If the new total would exceed the ceiling, return a budget_exceeded error with the current cumulative cost and the ceiling in the response body. The requester can then decide whether to renegotiate or terminate the session.</w:t>
      </w:r>
    </w:p>
    <w:p>
      <w:pPr>
        <w:spacing w:after="200"/>
      </w:pPr>
      <w:r>
        <w:rPr>
          <w:rFonts w:ascii="Aptos" w:cs="Aptos" w:eastAsia="Aptos" w:hAnsi="Aptos"/>
          <w:sz w:val="24"/>
          <w:szCs w:val="24"/>
        </w:rPr>
        <w:t xml:space="preserve">When cost_reporting is enabled, include the cost_incurred field in every response. This is straightforward for single-agent calls. For sub-delegation chains, the cost must include downstream costs. The downstream agent's cost_incurred response (if cost_reporting was propagated to its contract) feeds back into the parent's running total. If the downstream agent does not support cost_reporting, the parent must estimate the downstream cost from the pricing field in the downstream agent's Agent Card.</w:t>
      </w:r>
    </w:p>
    <w:p>
      <w:pPr>
        <w:spacing w:after="200"/>
      </w:pPr>
      <w:r>
        <w:rPr>
          <w:rFonts w:ascii="Aptos" w:cs="Aptos" w:eastAsia="Aptos" w:hAnsi="Aptos"/>
          <w:sz w:val="24"/>
          <w:szCs w:val="24"/>
        </w:rPr>
        <w:t xml:space="preserve">Alerting: set a warning threshold at 80% of the budget_limit. When cumulative cost crosses 80%, log a warning against the trace ID so operators can see which sessions are approaching their ceiling. At 95%, escalate to a high-severity alert. These thresholds give the requester a chance to extend the budget or gracefully wind down the session before a hard stop.</w:t>
      </w:r>
    </w:p>
    <w:p>
      <w:pPr>
        <w:spacing w:after="200"/>
      </w:pPr>
      <w:r>
        <w:rPr>
          <w:rFonts w:ascii="Aptos" w:cs="Aptos" w:eastAsia="Aptos" w:hAnsi="Aptos"/>
          <w:sz w:val="24"/>
          <w:szCs w:val="24"/>
        </w:rPr>
        <w:t xml:space="preserve">For organizations that manage cost through infrastructure billing rather than contract-level budgets, this section still applies at the aggregate level. Track cost per agent, per team, and per dependency edge in the mesh. The metrics from Section 1 (Behavioral Drift Detection) should include cost-per-request as a monitored metric. A sudden spike in cost-per-request often correlates with behavioral drift (the agent is making more tool calls, generating longer responses, or delegating to more expensive downstream agents).</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Every agent has a documented memory footprint mapped to AISI layers. Retention enforcement purges contract-associated data on expiration across all storage layers, with auditable purge records. PII scrubbing runs at ingest, at rest, and on purge. Context injection budgets are set per A2A hop and logged. Conflicting retention policies are handled by applying the most restrictive policy or isolating storage per caller. Agents with budget_limit contracts track cumulative cost per session, enforce ceilings before exceeding them, and alert at 80% and 95% thresholds.</w:t>
      </w:r>
    </w:p>
    <w:p>
      <w:r>
        <w:br w:type="page"/>
      </w:r>
    </w:p>
    <w:p>
      <w:pPr>
        <w:pStyle w:val="Heading1"/>
        <w:spacing w:after="240" w:before="360"/>
      </w:pPr>
      <w:r>
        <w:rPr>
          <w:rFonts w:ascii="Aptos" w:cs="Aptos" w:eastAsia="Aptos" w:hAnsi="Aptos"/>
          <w:b/>
          <w:bCs/>
          <w:sz w:val="32"/>
          <w:szCs w:val="32"/>
        </w:rPr>
        <w:t xml:space="preserve">6. Change Control for Agent Meshes</w:t>
      </w:r>
    </w:p>
    <w:p>
      <w:pPr>
        <w:pBdr>
          <w:left w:val="single" w:color="2E6F40" w:sz="6" w:space="8"/>
        </w:pBdr>
        <w:spacing w:after="100"/>
        <w:ind w:left="360"/>
      </w:pPr>
      <w:r>
        <w:rPr>
          <w:rFonts w:ascii="Aptos" w:cs="Aptos" w:eastAsia="Aptos" w:hAnsi="Aptos"/>
          <w:b/>
          <w:bCs/>
          <w:sz w:val="22"/>
          <w:szCs w:val="22"/>
        </w:rPr>
        <w:t xml:space="preserve">IT-10: Change management</w:t>
      </w:r>
      <w:r>
        <w:rPr>
          <w:rFonts w:ascii="Aptos" w:cs="Aptos" w:eastAsia="Aptos" w:hAnsi="Aptos"/>
          <w:color w:val="666666"/>
          <w:sz w:val="20"/>
          <w:szCs w:val="20"/>
        </w:rPr>
        <w:t xml:space="preserve">  |  AISI Layers 2, 3, 5</w:t>
      </w:r>
    </w:p>
    <w:p>
      <w:pPr>
        <w:pBdr>
          <w:left w:val="single" w:color="2E6F40" w:sz="6" w:space="8"/>
        </w:pBdr>
        <w:spacing w:after="100"/>
        <w:ind w:left="360"/>
      </w:pPr>
      <w:r>
        <w:rPr>
          <w:rFonts w:ascii="Aptos" w:cs="Aptos" w:eastAsia="Aptos" w:hAnsi="Aptos"/>
          <w:b/>
          <w:bCs/>
          <w:sz w:val="22"/>
          <w:szCs w:val="22"/>
        </w:rPr>
        <w:t xml:space="preserve">A2A-2: Signed Agent Cards</w:t>
      </w:r>
      <w:r>
        <w:rPr>
          <w:rFonts w:ascii="Aptos" w:cs="Aptos" w:eastAsia="Aptos" w:hAnsi="Aptos"/>
          <w:color w:val="666666"/>
          <w:sz w:val="20"/>
          <w:szCs w:val="20"/>
        </w:rPr>
        <w:t xml:space="preserve">  |  AISI Layer 7</w:t>
      </w:r>
    </w:p>
    <w:p>
      <w:pPr>
        <w:pBdr>
          <w:left w:val="single" w:color="2E6F40" w:sz="6" w:space="8"/>
        </w:pBdr>
        <w:spacing w:after="100"/>
        <w:ind w:left="360"/>
      </w:pPr>
      <w:r>
        <w:rPr>
          <w:rFonts w:ascii="Aptos" w:cs="Aptos" w:eastAsia="Aptos" w:hAnsi="Aptos"/>
          <w:b/>
          <w:bCs/>
          <w:sz w:val="22"/>
          <w:szCs w:val="22"/>
        </w:rPr>
        <w:t xml:space="preserve">A2A-12: Revocation propagation</w:t>
      </w:r>
      <w:r>
        <w:rPr>
          <w:rFonts w:ascii="Aptos" w:cs="Aptos" w:eastAsia="Aptos" w:hAnsi="Aptos"/>
          <w:color w:val="666666"/>
          <w:sz w:val="20"/>
          <w:szCs w:val="20"/>
        </w:rPr>
        <w:t xml:space="preserve">  |  AISI Layers 6, 7</w:t>
      </w:r>
    </w:p>
    <w:p>
      <w:pPr>
        <w:spacing w:after="120"/>
      </w:pPr>
    </w:p>
    <w:p>
      <w:pPr>
        <w:pStyle w:val="Heading2"/>
        <w:spacing w:after="180" w:before="240"/>
      </w:pPr>
      <w:r>
        <w:rPr>
          <w:rFonts w:ascii="Aptos" w:cs="Aptos" w:eastAsia="Aptos" w:hAnsi="Aptos"/>
          <w:b/>
          <w:bCs/>
          <w:sz w:val="28"/>
          <w:szCs w:val="28"/>
        </w:rPr>
        <w:t xml:space="preserve">The Problem</w:t>
      </w:r>
    </w:p>
    <w:p>
      <w:pPr>
        <w:spacing w:after="200"/>
      </w:pPr>
      <w:r>
        <w:rPr>
          <w:rFonts w:ascii="Aptos" w:cs="Aptos" w:eastAsia="Aptos" w:hAnsi="Aptos"/>
          <w:sz w:val="24"/>
          <w:szCs w:val="24"/>
        </w:rPr>
        <w:t xml:space="preserve">In traditional microservices, changing one service can break its direct consumers. In an A2A mesh, the impact goes further. Changing Agent A's behavior affects Agent B (which calls A), Agent C (which calls B and depends on A's output indirectly), and Agent D (which uses Agent A's Agent Card to decide whether to accept delegation from Agent B). The blast radius of a change includes every agent that depends on the changed agent, directly or indirectly.</w:t>
      </w:r>
    </w:p>
    <w:p>
      <w:pPr>
        <w:spacing w:after="200"/>
      </w:pPr>
      <w:r>
        <w:rPr>
          <w:rFonts w:ascii="Aptos" w:cs="Aptos" w:eastAsia="Aptos" w:hAnsi="Aptos"/>
          <w:sz w:val="24"/>
          <w:szCs w:val="24"/>
        </w:rPr>
        <w:t xml:space="preserve">Baseline Controls IT-10 requires change management with approval gates, rollback plans, and post-deployment verification. In an A2A context, those requirements need specifics: what constitutes a breaking change, how to coordinate updates across independently deployed agents, and how to roll back when a change cascades.</w:t>
      </w:r>
    </w:p>
    <w:p>
      <w:pPr>
        <w:pStyle w:val="Heading2"/>
        <w:spacing w:after="180" w:before="240"/>
      </w:pPr>
      <w:r>
        <w:rPr>
          <w:rFonts w:ascii="Aptos" w:cs="Aptos" w:eastAsia="Aptos" w:hAnsi="Aptos"/>
          <w:b/>
          <w:bCs/>
          <w:sz w:val="28"/>
          <w:szCs w:val="28"/>
        </w:rPr>
        <w:t xml:space="preserve">Change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Change Type</w:t>
            </w:r>
          </w:p>
        </w:tc>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Impact</w:t>
            </w:r>
          </w:p>
        </w:tc>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Agent Card Version Impact</w:t>
            </w:r>
          </w:p>
        </w:tc>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Requires Downstream Notification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Model version update (same family)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Potential behavioral drift, same API contract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Minor version bump + re-sign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No, but monitor drift per Section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Model swap (different family or provider)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Likely behavioral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Major version bump + re-sign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Yes, all agents in dependency graph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Prompt template change (non-breaking)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No observable behavior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Patch version bump + re-sign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Prompt template change (breaking)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Output format, scope, or tool usage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Major version bump + re-sign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Yes, all direct callers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Tool addition or removal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Capability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Major version bump + re-sign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Yes, all agents referencing this capability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RAG index update (routine)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Data freshness improvement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No Agent Card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No, handled by freshness scoring per Section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RAG index schema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Retrieval behavior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No Agent Card change, but update Agent-BOM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Only if output quality is affected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Infrastructure change (namespace, network)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Connectivity or latency impact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No Agent Card change (endpoint unchanged)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Only if endpoint or latency SLA changes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Behavioral contract term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Agreement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Major version bump + re-sign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Yes, all current contract holders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MaaS model version rotation (provider-initiated)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Silent behavioral drift if provider updates the model behind a stable alias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No Agent Card change if model_fingerprint is absent; Patch version bump + re-sign if model_fingerprint is tracked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No, but monitor drift per Section 1 and verify model_fingerprint if published</w:t>
            </w:r>
          </w:p>
        </w:tc>
      </w:tr>
    </w:tbl>
    <w:p>
      <w:pPr>
        <w:spacing w:after="120"/>
      </w:pPr>
    </w:p>
    <w:p>
      <w:pPr>
        <w:spacing w:after="200"/>
      </w:pPr>
      <w:r>
        <w:rPr>
          <w:rFonts w:ascii="Aptos" w:cs="Aptos" w:eastAsia="Aptos" w:hAnsi="Aptos"/>
          <w:sz w:val="24"/>
          <w:szCs w:val="24"/>
        </w:rPr>
        <w:t xml:space="preserve">The A2A Protocol Specification's Card Lifecycle Rules define the full versioning contract for Agent Cards, including that version changes to required fields must increment the major version number. The table above summarizes the most common change types; consult the Protocol Spec for the complete rules.</w:t>
      </w:r>
    </w:p>
    <w:p>
      <w:pPr>
        <w:pStyle w:val="Heading2"/>
        <w:spacing w:after="180" w:before="240"/>
      </w:pPr>
      <w:r>
        <w:rPr>
          <w:rFonts w:ascii="Aptos" w:cs="Aptos" w:eastAsia="Aptos" w:hAnsi="Aptos"/>
          <w:b/>
          <w:bCs/>
          <w:sz w:val="28"/>
          <w:szCs w:val="28"/>
        </w:rPr>
        <w:t xml:space="preserve">Dependency Graph Awareness</w:t>
      </w:r>
    </w:p>
    <w:p>
      <w:pPr>
        <w:spacing w:after="200"/>
      </w:pPr>
      <w:r>
        <w:rPr>
          <w:rFonts w:ascii="Aptos" w:cs="Aptos" w:eastAsia="Aptos" w:hAnsi="Aptos"/>
          <w:sz w:val="24"/>
          <w:szCs w:val="24"/>
        </w:rPr>
        <w:t xml:space="preserve">You cannot manage change in a mesh without knowing the dependency graph. Build and maintain a map of which agents call which other agents. Three sources contribute to this map:</w:t>
      </w:r>
    </w:p>
    <w:p>
      <w:pPr>
        <w:spacing w:after="200"/>
      </w:pPr>
      <w:r>
        <w:rPr>
          <w:rFonts w:ascii="Aptos" w:cs="Aptos" w:eastAsia="Aptos" w:hAnsi="Aptos"/>
          <w:sz w:val="24"/>
          <w:szCs w:val="24"/>
        </w:rPr>
        <w:t xml:space="preserve">The Agent Card dependencies field is the first source. Each Agent Card should declare its downstream dependencies. This gives you the declared graph.</w:t>
      </w:r>
    </w:p>
    <w:p>
      <w:pPr>
        <w:spacing w:after="200"/>
      </w:pPr>
      <w:r>
        <w:rPr>
          <w:rFonts w:ascii="Aptos" w:cs="Aptos" w:eastAsia="Aptos" w:hAnsi="Aptos"/>
          <w:sz w:val="24"/>
          <w:szCs w:val="24"/>
        </w:rPr>
        <w:t xml:space="preserve">Trace plane data is the second source. Trace IDs that span multiple agents reveal the actual call graph. Discrepancies between declared and observed are findings (see Section 2, Shadow AI Discovery).</w:t>
      </w:r>
    </w:p>
    <w:p>
      <w:pPr>
        <w:spacing w:after="200"/>
      </w:pPr>
      <w:r>
        <w:rPr>
          <w:rFonts w:ascii="Aptos" w:cs="Aptos" w:eastAsia="Aptos" w:hAnsi="Aptos"/>
          <w:sz w:val="24"/>
          <w:szCs w:val="24"/>
        </w:rPr>
        <w:t xml:space="preserve">SPIRE registration entries are the third source. The set of SPIFFE IDs and their selector bindings show which workload identities exist and where they run.</w:t>
      </w:r>
    </w:p>
    <w:p>
      <w:pPr>
        <w:spacing w:after="200"/>
      </w:pPr>
      <w:r>
        <w:rPr>
          <w:rFonts w:ascii="Aptos" w:cs="Aptos" w:eastAsia="Aptos" w:hAnsi="Aptos"/>
          <w:sz w:val="24"/>
          <w:szCs w:val="24"/>
        </w:rPr>
        <w:t xml:space="preserve">When evaluating a change, query the dependency graph to identify all agents that could be affected. For breaking changes, generate a notification list from the graph and include it in the change request.</w:t>
      </w:r>
    </w:p>
    <w:p>
      <w:pPr>
        <w:pStyle w:val="Heading2"/>
        <w:spacing w:after="180" w:before="240"/>
      </w:pPr>
      <w:r>
        <w:rPr>
          <w:rFonts w:ascii="Aptos" w:cs="Aptos" w:eastAsia="Aptos" w:hAnsi="Aptos"/>
          <w:b/>
          <w:bCs/>
          <w:sz w:val="28"/>
          <w:szCs w:val="28"/>
        </w:rPr>
        <w:t xml:space="preserve">Coordinated Rollout</w:t>
      </w:r>
    </w:p>
    <w:p>
      <w:pPr>
        <w:pStyle w:val="Heading3"/>
        <w:spacing w:after="120" w:before="200"/>
      </w:pPr>
      <w:r>
        <w:rPr>
          <w:rFonts w:ascii="Aptos" w:cs="Aptos" w:eastAsia="Aptos" w:hAnsi="Aptos"/>
          <w:b/>
          <w:bCs/>
          <w:sz w:val="24"/>
          <w:szCs w:val="24"/>
        </w:rPr>
        <w:t xml:space="preserve">Canary Deployment</w:t>
      </w:r>
    </w:p>
    <w:p>
      <w:pPr>
        <w:spacing w:after="200"/>
      </w:pPr>
      <w:r>
        <w:rPr>
          <w:rFonts w:ascii="Aptos" w:cs="Aptos" w:eastAsia="Aptos" w:hAnsi="Aptos"/>
          <w:sz w:val="24"/>
          <w:szCs w:val="24"/>
        </w:rPr>
        <w:t xml:space="preserve">For breaking changes, deploy the new version alongside the old version and route a percentage of traffic to the canary. Monitor the drift metrics from Section 1 on both versions. If the canary shows contract violation rates above baseline, roll back before promoting.</w:t>
      </w:r>
    </w:p>
    <w:p>
      <w:pPr>
        <w:spacing w:after="200"/>
      </w:pPr>
      <w:r>
        <w:rPr>
          <w:rFonts w:ascii="Aptos" w:cs="Aptos" w:eastAsia="Aptos" w:hAnsi="Aptos"/>
          <w:sz w:val="24"/>
          <w:szCs w:val="24"/>
        </w:rPr>
        <w:t xml:space="preserve">In an A2A context, canary deployment requires that the Agent Card system supports concurrent versions: the canary publishes a new card (with the new major version), and downstream agents must be configured to accept both versions during the canary window. If your card verification logic rejects unknown versions, the canary will fail. Plan for this in your card verification policy.</w:t>
      </w:r>
    </w:p>
    <w:p>
      <w:pPr>
        <w:pStyle w:val="Heading3"/>
        <w:spacing w:after="120" w:before="200"/>
      </w:pPr>
      <w:r>
        <w:rPr>
          <w:rFonts w:ascii="Aptos" w:cs="Aptos" w:eastAsia="Aptos" w:hAnsi="Aptos"/>
          <w:b/>
          <w:bCs/>
          <w:sz w:val="24"/>
          <w:szCs w:val="24"/>
        </w:rPr>
        <w:t xml:space="preserve">Rolling Update Coordination</w:t>
      </w:r>
    </w:p>
    <w:p>
      <w:pPr>
        <w:spacing w:after="200"/>
      </w:pPr>
      <w:r>
        <w:rPr>
          <w:rFonts w:ascii="Aptos" w:cs="Aptos" w:eastAsia="Aptos" w:hAnsi="Aptos"/>
          <w:sz w:val="24"/>
          <w:szCs w:val="24"/>
        </w:rPr>
        <w:t xml:space="preserve">When a change requires coordinated updates across multiple agents, such as a contract term change that both parties must adopt simultaneously, use a phased approach:</w:t>
      </w:r>
    </w:p>
    <w:p>
      <w:pPr>
        <w:spacing w:after="200"/>
      </w:pPr>
      <w:r>
        <w:rPr>
          <w:rFonts w:ascii="Aptos" w:cs="Aptos" w:eastAsia="Aptos" w:hAnsi="Aptos"/>
          <w:sz w:val="24"/>
          <w:szCs w:val="24"/>
        </w:rPr>
        <w:t xml:space="preserve">Phase 1, Prepare: deploy the updated contract support to all agents without activating it. Both old and new contract versions are accepted.</w:t>
      </w:r>
    </w:p>
    <w:p>
      <w:pPr>
        <w:spacing w:after="200"/>
      </w:pPr>
      <w:r>
        <w:rPr>
          <w:rFonts w:ascii="Aptos" w:cs="Aptos" w:eastAsia="Aptos" w:hAnsi="Aptos"/>
          <w:sz w:val="24"/>
          <w:szCs w:val="24"/>
        </w:rPr>
        <w:t xml:space="preserve">Phase 2, Migrate: switch new interactions to the new contract version. Existing in-flight interactions complete under the old contract.</w:t>
      </w:r>
    </w:p>
    <w:p>
      <w:pPr>
        <w:spacing w:after="200"/>
      </w:pPr>
      <w:r>
        <w:rPr>
          <w:rFonts w:ascii="Aptos" w:cs="Aptos" w:eastAsia="Aptos" w:hAnsi="Aptos"/>
          <w:sz w:val="24"/>
          <w:szCs w:val="24"/>
        </w:rPr>
        <w:t xml:space="preserve">Phase 3, Enforce: remove support for the old contract version. Any agent still using the old version fails with a structured error.</w:t>
      </w:r>
    </w:p>
    <w:p>
      <w:pPr>
        <w:spacing w:after="200"/>
      </w:pPr>
      <w:r>
        <w:rPr>
          <w:rFonts w:ascii="Aptos" w:cs="Aptos" w:eastAsia="Aptos" w:hAnsi="Aptos"/>
          <w:sz w:val="24"/>
          <w:szCs w:val="24"/>
        </w:rPr>
        <w:t xml:space="preserve">This is the same pattern used for API versioning in traditional services, applied to behavioral contracts.</w:t>
      </w:r>
    </w:p>
    <w:p>
      <w:pPr>
        <w:pStyle w:val="Heading2"/>
        <w:spacing w:after="180" w:before="240"/>
      </w:pPr>
      <w:r>
        <w:rPr>
          <w:rFonts w:ascii="Aptos" w:cs="Aptos" w:eastAsia="Aptos" w:hAnsi="Aptos"/>
          <w:b/>
          <w:bCs/>
          <w:sz w:val="28"/>
          <w:szCs w:val="28"/>
        </w:rPr>
        <w:t xml:space="preserve">Rollback</w:t>
      </w:r>
    </w:p>
    <w:p>
      <w:pPr>
        <w:spacing w:after="200"/>
      </w:pPr>
      <w:r>
        <w:rPr>
          <w:rFonts w:ascii="Aptos" w:cs="Aptos" w:eastAsia="Aptos" w:hAnsi="Aptos"/>
          <w:sz w:val="24"/>
          <w:szCs w:val="24"/>
        </w:rPr>
        <w:t xml:space="preserve">Every change must have a rollback plan filed before approval. For A2A agents, the rollback plan must address:</w:t>
      </w:r>
    </w:p>
    <w:p>
      <w:pPr>
        <w:spacing w:after="200"/>
      </w:pPr>
      <w:r>
        <w:rPr>
          <w:rFonts w:ascii="Aptos" w:cs="Aptos" w:eastAsia="Aptos" w:hAnsi="Aptos"/>
          <w:sz w:val="24"/>
          <w:szCs w:val="24"/>
        </w:rPr>
        <w:t xml:space="preserve">Agent version: can you redeploy the previous container image? Is the previous model version still available in the registry?</w:t>
      </w:r>
    </w:p>
    <w:p>
      <w:pPr>
        <w:spacing w:after="200"/>
      </w:pPr>
      <w:r>
        <w:rPr>
          <w:rFonts w:ascii="Aptos" w:cs="Aptos" w:eastAsia="Aptos" w:hAnsi="Aptos"/>
          <w:sz w:val="24"/>
          <w:szCs w:val="24"/>
        </w:rPr>
        <w:t xml:space="preserve">Agent Card: if the card was re-signed with a new version, the old card must be available for re-publication. Rollback means re-signing with the old version, not just redeploying the old code.</w:t>
      </w:r>
    </w:p>
    <w:p>
      <w:pPr>
        <w:spacing w:after="200"/>
      </w:pPr>
      <w:r>
        <w:rPr>
          <w:rFonts w:ascii="Aptos" w:cs="Aptos" w:eastAsia="Aptos" w:hAnsi="Aptos"/>
          <w:sz w:val="24"/>
          <w:szCs w:val="24"/>
        </w:rPr>
        <w:t xml:space="preserve">Behavioral contracts: if in-flight contracts were negotiated under the new version, what happens to them on rollback? The rollback plan must specify whether in-flight contracts are honored to completion under the old behavior or terminated with a structured error.</w:t>
      </w:r>
    </w:p>
    <w:p>
      <w:pPr>
        <w:spacing w:after="200"/>
      </w:pPr>
      <w:r>
        <w:rPr>
          <w:rFonts w:ascii="Aptos" w:cs="Aptos" w:eastAsia="Aptos" w:hAnsi="Aptos"/>
          <w:sz w:val="24"/>
          <w:szCs w:val="24"/>
        </w:rPr>
        <w:t xml:space="preserve">Downstream state: if downstream agents cached the new Agent Card or adapted to the new behavior, rolling back the upstream agent may cause temporary contract mismatches. The rollback plan must account for the propagation delay.</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Every change to a production agent goes through a change request that includes: change classification, dependency graph impact analysis, rollback plan, and post-deployment verification criteria. Breaking changes trigger downstream notification. Canary deployments validate behavioral stability before full rollout. The dependency graph is maintained and reconciled against observed traffic. Rollback plans address agent code, Agent Cards, behavioral contracts, and downstream state.</w:t>
      </w:r>
    </w:p>
    <w:p>
      <w:r>
        <w:br w:type="page"/>
      </w:r>
    </w:p>
    <w:p>
      <w:pPr>
        <w:pStyle w:val="Heading1"/>
        <w:spacing w:after="240" w:before="360"/>
      </w:pPr>
      <w:r>
        <w:rPr>
          <w:rFonts w:ascii="Aptos" w:cs="Aptos" w:eastAsia="Aptos" w:hAnsi="Aptos"/>
          <w:b/>
          <w:bCs/>
          <w:sz w:val="32"/>
          <w:szCs w:val="32"/>
        </w:rPr>
        <w:t xml:space="preserve">7. Agent Decommission &amp; Sunset</w:t>
      </w:r>
    </w:p>
    <w:p>
      <w:pPr>
        <w:pBdr>
          <w:left w:val="single" w:color="2E6F40" w:sz="6" w:space="8"/>
        </w:pBdr>
        <w:spacing w:after="100"/>
        <w:ind w:left="360"/>
      </w:pPr>
      <w:r>
        <w:rPr>
          <w:rFonts w:ascii="Aptos" w:cs="Aptos" w:eastAsia="Aptos" w:hAnsi="Aptos"/>
          <w:b/>
          <w:bCs/>
          <w:sz w:val="22"/>
          <w:szCs w:val="22"/>
        </w:rPr>
        <w:t xml:space="preserve">A2A-2: Signed Agent Cards</w:t>
      </w:r>
      <w:r>
        <w:rPr>
          <w:rFonts w:ascii="Aptos" w:cs="Aptos" w:eastAsia="Aptos" w:hAnsi="Aptos"/>
          <w:color w:val="666666"/>
          <w:sz w:val="20"/>
          <w:szCs w:val="20"/>
        </w:rPr>
        <w:t xml:space="preserve">  |  AISI Layer 7</w:t>
      </w:r>
    </w:p>
    <w:p>
      <w:pPr>
        <w:pBdr>
          <w:left w:val="single" w:color="2E6F40" w:sz="6" w:space="8"/>
        </w:pBdr>
        <w:spacing w:after="100"/>
        <w:ind w:left="360"/>
      </w:pPr>
      <w:r>
        <w:rPr>
          <w:rFonts w:ascii="Aptos" w:cs="Aptos" w:eastAsia="Aptos" w:hAnsi="Aptos"/>
          <w:b/>
          <w:bCs/>
          <w:sz w:val="22"/>
          <w:szCs w:val="22"/>
        </w:rPr>
        <w:t xml:space="preserve">A2A-12: Revocation propagation</w:t>
      </w:r>
      <w:r>
        <w:rPr>
          <w:rFonts w:ascii="Aptos" w:cs="Aptos" w:eastAsia="Aptos" w:hAnsi="Aptos"/>
          <w:color w:val="666666"/>
          <w:sz w:val="20"/>
          <w:szCs w:val="20"/>
        </w:rPr>
        <w:t xml:space="preserve">  |  AISI Layers 6, 7</w:t>
      </w:r>
    </w:p>
    <w:p>
      <w:pPr>
        <w:pBdr>
          <w:left w:val="single" w:color="2E6F40" w:sz="6" w:space="8"/>
        </w:pBdr>
        <w:spacing w:after="100"/>
        <w:ind w:left="360"/>
      </w:pPr>
      <w:r>
        <w:rPr>
          <w:rFonts w:ascii="Aptos" w:cs="Aptos" w:eastAsia="Aptos" w:hAnsi="Aptos"/>
          <w:b/>
          <w:bCs/>
          <w:sz w:val="22"/>
          <w:szCs w:val="22"/>
        </w:rPr>
        <w:t xml:space="preserve">SEC-8: Access reviews</w:t>
      </w:r>
      <w:r>
        <w:rPr>
          <w:rFonts w:ascii="Aptos" w:cs="Aptos" w:eastAsia="Aptos" w:hAnsi="Aptos"/>
          <w:color w:val="666666"/>
          <w:sz w:val="20"/>
          <w:szCs w:val="20"/>
        </w:rPr>
        <w:t xml:space="preserve">  |  AISI Layers 6, 7</w:t>
      </w:r>
    </w:p>
    <w:p>
      <w:pPr>
        <w:spacing w:after="120"/>
      </w:pPr>
    </w:p>
    <w:p>
      <w:pPr>
        <w:pStyle w:val="Heading2"/>
        <w:spacing w:after="180" w:before="240"/>
      </w:pPr>
      <w:r>
        <w:rPr>
          <w:rFonts w:ascii="Aptos" w:cs="Aptos" w:eastAsia="Aptos" w:hAnsi="Aptos"/>
          <w:b/>
          <w:bCs/>
          <w:sz w:val="28"/>
          <w:szCs w:val="28"/>
        </w:rPr>
        <w:t xml:space="preserve">The Problem</w:t>
      </w:r>
    </w:p>
    <w:p>
      <w:pPr>
        <w:spacing w:after="200"/>
      </w:pPr>
      <w:r>
        <w:rPr>
          <w:rFonts w:ascii="Aptos" w:cs="Aptos" w:eastAsia="Aptos" w:hAnsi="Aptos"/>
          <w:sz w:val="24"/>
          <w:szCs w:val="24"/>
        </w:rPr>
        <w:t xml:space="preserve">Agents get retired. A capability is replaced by a better agent, a project ends, a third-party agent fails a risk review, or an agent's model reaches end-of-life. Unlike decommissioning a traditional service (where you remove the endpoint and clean up DNS), decommissioning an A2A agent involves identity revocation, contract termination, dependency migration, memory purge, and trace archive. If any of these are missed, you end up with orphaned credentials, stale Agent Cards that could be spoofed, or data that should have been purged lingering in memory stores.</w:t>
      </w:r>
    </w:p>
    <w:p>
      <w:pPr>
        <w:pStyle w:val="Heading2"/>
        <w:spacing w:after="180" w:before="240"/>
      </w:pPr>
      <w:r>
        <w:rPr>
          <w:rFonts w:ascii="Aptos" w:cs="Aptos" w:eastAsia="Aptos" w:hAnsi="Aptos"/>
          <w:b/>
          <w:bCs/>
          <w:sz w:val="28"/>
          <w:szCs w:val="28"/>
        </w:rPr>
        <w:t xml:space="preserve">Decommission Checklist</w:t>
      </w:r>
    </w:p>
    <w:p>
      <w:pPr>
        <w:spacing w:after="200"/>
      </w:pPr>
      <w:r>
        <w:rPr>
          <w:rFonts w:ascii="Aptos" w:cs="Aptos" w:eastAsia="Aptos" w:hAnsi="Aptos"/>
          <w:sz w:val="24"/>
          <w:szCs w:val="24"/>
        </w:rPr>
        <w:t xml:space="preserve">This is sequential. Each step depends on the previous one completing.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Phase</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Step</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1. Announce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Notify dependent 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Query the dependency graph (Section 6) for all agents that call or are called by the target agent. Notify their owners with the sunset timeline. Minimum notice: 2 release cycles.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2. Deprecate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Mark Agent Card as deprecated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Update the Agent Card with a deprecation flag and sunset date. Agents checking the card can log warnings and begin migration. The agent continues to operate normally.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3. Drain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Stop accepting new contracts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Configure the agent's Layer 6 to reject new behavioral contract negotiations while honoring existing in-flight contracts to completion. No new A2A sessions, but existing sessions are not interrupted.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4. Migrate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Verify dependents have migrated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Confirm that all dependent agents have updated their configurations to use the replacement agent (or removed the dependency). Monitor traffic: if calls are still arriving, migration is incomplete.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5. Revoke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Revoke credentials and Agent Card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Delete the SPIRE registration entry. Remove the Agent Card from the registry and mark it as revoked. If the card signing key is per-agent, revoke the key as well. If the signing key is shared across agents (such as a CI/CD pipeline key), do not revoke it; only remove the card artifact. Revoke a shared key only if it is compromised. After this step, no new mTLS connections can be established.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6. Purge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Enforce final retention purge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Run the contract-aware purge (Section 5) for all trace IDs associated with this agent. Honor applicable regulatory retention floors (see the Memory Taxonomy table in Section 5 for guidance on which EU AI Act articles apply based on your provider or deployer role). Purge persistent memory, cached tool results, and any RAG embeddings derived from this agent's interactions.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7. Archive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Archive trace history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Export the agent's trace metadata (not content, which was purged) to long-term archive. This preserves the ability to answer "what did this agent do?" for compliance purposes without retaining the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8. Clean 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Remove 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Delete the namespace, service accounts, ConfigMaps, Vault policies, NetworkPolicies, and OPA rules associated with the agent. Remove the agent from the dependency graph.</w:t>
            </w:r>
          </w:p>
        </w:tc>
      </w:tr>
    </w:tbl>
    <w:p>
      <w:pPr>
        <w:pStyle w:val="Heading2"/>
        <w:spacing w:after="180" w:before="240"/>
      </w:pPr>
      <w:r>
        <w:rPr>
          <w:rFonts w:ascii="Aptos" w:cs="Aptos" w:eastAsia="Aptos" w:hAnsi="Aptos"/>
          <w:b/>
          <w:bCs/>
          <w:sz w:val="28"/>
          <w:szCs w:val="28"/>
        </w:rPr>
        <w:t xml:space="preserve">Handling Third-Party Agent Removal</w:t>
      </w:r>
    </w:p>
    <w:p>
      <w:pPr>
        <w:spacing w:after="200"/>
      </w:pPr>
      <w:r>
        <w:rPr>
          <w:rFonts w:ascii="Aptos" w:cs="Aptos" w:eastAsia="Aptos" w:hAnsi="Aptos"/>
          <w:sz w:val="24"/>
          <w:szCs w:val="24"/>
        </w:rPr>
        <w:t xml:space="preserve">When a third-party agent fails a risk review (Baseline Controls SEC-9) and must be removed, the timeline compresses. You may not have the luxury of a multi-release deprecation window. In this case:</w:t>
      </w:r>
    </w:p>
    <w:p>
      <w:pPr>
        <w:spacing w:after="200"/>
      </w:pPr>
      <w:r>
        <w:rPr>
          <w:rFonts w:ascii="Aptos" w:cs="Aptos" w:eastAsia="Aptos" w:hAnsi="Aptos"/>
          <w:sz w:val="24"/>
          <w:szCs w:val="24"/>
        </w:rPr>
        <w:t xml:space="preserve">Immediate block: update the AuthorizationPolicy to deny all traffic to and from the third-party agent's SPIFFE ID. This stops communication instantly.</w:t>
      </w:r>
    </w:p>
    <w:p>
      <w:pPr>
        <w:spacing w:after="200"/>
      </w:pPr>
      <w:r>
        <w:rPr>
          <w:rFonts w:ascii="Aptos" w:cs="Aptos" w:eastAsia="Aptos" w:hAnsi="Aptos"/>
          <w:sz w:val="24"/>
          <w:szCs w:val="24"/>
        </w:rPr>
        <w:t xml:space="preserve">Emergency migration: dependent agents that relied on the blocked agent will start failing. Deploy a fallback, whether that is a replacement agent, a degraded-mode handler that returns structured errors, or a circuit breaker that routes requests to a human queue.</w:t>
      </w:r>
    </w:p>
    <w:p>
      <w:pPr>
        <w:spacing w:after="200"/>
      </w:pPr>
      <w:r>
        <w:rPr>
          <w:rFonts w:ascii="Aptos" w:cs="Aptos" w:eastAsia="Aptos" w:hAnsi="Aptos"/>
          <w:sz w:val="24"/>
          <w:szCs w:val="24"/>
        </w:rPr>
        <w:t xml:space="preserve">Accelerated purge: run the content retention purge immediately. Do not wait for the contract retention window. Audit trail metadata (trace IDs, timestamps, compliance decisions) is still preserved per regulatory retention floors. If the agent is being removed for security reasons, the data it processed may be compromised. Consult your IR team on whether to treat this as an incident.</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Every agent has a decommission runbook that follows the checklist above. No agent is removed by simply deleting its namespace. Dependencies are migrated before credentials are revoked. The retention purge runs before infrastructure cleanup. Trace metadata is archived. After decommission, the agent's SPIFFE ID, Agent Card, and all credentials are irrecoverable. The dependency graph is updated to reflect the removal.</w:t>
      </w:r>
    </w:p>
    <w:p>
      <w:r>
        <w:br w:type="page"/>
      </w:r>
    </w:p>
    <w:p>
      <w:pPr>
        <w:pStyle w:val="Heading1"/>
        <w:spacing w:after="240" w:before="360"/>
      </w:pPr>
      <w:r>
        <w:rPr>
          <w:rFonts w:ascii="Aptos" w:cs="Aptos" w:eastAsia="Aptos" w:hAnsi="Aptos"/>
          <w:b/>
          <w:bCs/>
          <w:sz w:val="32"/>
          <w:szCs w:val="32"/>
        </w:rPr>
        <w:t xml:space="preserve">Control Cross-Reference</w:t>
      </w:r>
    </w:p>
    <w:p>
      <w:pPr>
        <w:spacing w:after="200"/>
      </w:pPr>
      <w:r>
        <w:rPr>
          <w:rFonts w:ascii="Aptos" w:cs="Aptos" w:eastAsia="Aptos" w:hAnsi="Aptos"/>
          <w:sz w:val="24"/>
          <w:szCs w:val="24"/>
        </w:rPr>
        <w:t xml:space="preserve">The following table maps each Baseline Control referenced in this document to the section where its operational guidance appears.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Control</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Priority</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Section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AI-4 Prompt / system policy versioning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4. Prompt Template Versioning &amp; Deprecation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AI-6 RAG data access governance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3. RAG Index Freshness &amp; Stale Data, 5. Agent Memory &amp; Context Hygiene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AI-7 Embedding integrity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3. RAG Index Freshness &amp; Stale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AI-11 Behavioral drift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1. Behavioral Drift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A2A-2 Signed Agent Cards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2. Shadow AI Discovery, 6. Change Control, 7. Decommission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A2A-12 Revocation propagation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6. Change Control, 7. Decommission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A2A-13 Budget enforcement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5. Agent Memory &amp; Context Hygiene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IT-4 Resource quotas + autoscaling limits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5. Agent Memory &amp; Context Hygiene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IT-6 Observability stack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1. Behavioral Drift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IT-10 Change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4. Prompt Template Versioning &amp; Deprecation, 6. Change Control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SEC-8 Access reviews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2. Shadow AI Discovery, 7. Decommission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SEC-9 Third-party agent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2. Shadow AI Discovery, 7. Decommission</w:t>
            </w:r>
          </w:p>
        </w:tc>
      </w:tr>
    </w:tbl>
    <w:p>
      <w:pPr>
        <w:spacing w:after="120"/>
      </w:pPr>
    </w:p>
    <w:p>
      <w:pPr>
        <w:pStyle w:val="Heading1"/>
        <w:spacing w:after="240" w:before="360"/>
      </w:pPr>
      <w:r>
        <w:rPr>
          <w:rFonts w:ascii="Aptos" w:cs="Aptos" w:eastAsia="Aptos" w:hAnsi="Aptos"/>
          <w:b/>
          <w:bCs/>
          <w:sz w:val="32"/>
          <w:szCs w:val="32"/>
        </w:rPr>
        <w:t xml:space="preserve">Companion Documents</w:t>
      </w:r>
    </w:p>
    <w:p>
      <w:pPr>
        <w:spacing w:after="200"/>
      </w:pPr>
      <w:r>
        <w:rPr>
          <w:rFonts w:ascii="Aptos" w:cs="Aptos" w:eastAsia="Aptos" w:hAnsi="Aptos"/>
          <w:sz w:val="24"/>
          <w:szCs w:val="24"/>
        </w:rPr>
        <w:t xml:space="preserve">This document is part of the AISI Model v1.0 document set:</w:t>
      </w:r>
    </w:p>
    <w:p>
      <w:pPr>
        <w:spacing w:after="200"/>
      </w:pPr>
      <w:r>
        <w:rPr>
          <w:rFonts w:ascii="Aptos" w:cs="Aptos" w:eastAsia="Aptos" w:hAnsi="Aptos"/>
          <w:b/>
          <w:bCs/>
          <w:sz w:val="24"/>
          <w:szCs w:val="24"/>
        </w:rPr>
        <w:t xml:space="preserve">AISI Model v1.0.</w:t>
      </w:r>
      <w:r>
        <w:rPr>
          <w:rFonts w:ascii="Aptos" w:cs="Aptos" w:eastAsia="Aptos" w:hAnsi="Aptos"/>
          <w:sz w:val="24"/>
          <w:szCs w:val="24"/>
        </w:rPr>
        <w:t xml:space="preserve"> The seven-layer reference architecture and A2A negotiation sequence.</w:t>
      </w:r>
    </w:p>
    <w:p>
      <w:pPr>
        <w:spacing w:after="200"/>
      </w:pPr>
      <w:r>
        <w:rPr>
          <w:rFonts w:ascii="Aptos" w:cs="Aptos" w:eastAsia="Aptos" w:hAnsi="Aptos"/>
          <w:b/>
          <w:bCs/>
          <w:sz w:val="24"/>
          <w:szCs w:val="24"/>
        </w:rPr>
        <w:t xml:space="preserve">A2A Protocol Specification.</w:t>
      </w:r>
      <w:r>
        <w:rPr>
          <w:rFonts w:ascii="Aptos" w:cs="Aptos" w:eastAsia="Aptos" w:hAnsi="Aptos"/>
          <w:sz w:val="24"/>
          <w:szCs w:val="24"/>
        </w:rPr>
        <w:t xml:space="preserve"> Agent Cards, Behavioral Contracts (including Data Classification Enforcement and Retention Policy Enforcement), Authentication, and Graduated Oversight.</w:t>
      </w:r>
    </w:p>
    <w:p>
      <w:pPr>
        <w:spacing w:after="200"/>
      </w:pPr>
      <w:r>
        <w:rPr>
          <w:rFonts w:ascii="Aptos" w:cs="Aptos" w:eastAsia="Aptos" w:hAnsi="Aptos"/>
          <w:b/>
          <w:bCs/>
          <w:sz w:val="24"/>
          <w:szCs w:val="24"/>
        </w:rPr>
        <w:t xml:space="preserve">Security Reference.</w:t>
      </w:r>
      <w:r>
        <w:rPr>
          <w:rFonts w:ascii="Aptos" w:cs="Aptos" w:eastAsia="Aptos" w:hAnsi="Aptos"/>
          <w:sz w:val="24"/>
          <w:szCs w:val="24"/>
        </w:rPr>
        <w:t xml:space="preserve"> OWASP and MITRE ATLAS mappings, A2A-specific threat vectors, agent supply chain controls, governance framework mapping.</w:t>
      </w:r>
    </w:p>
    <w:p>
      <w:pPr>
        <w:spacing w:after="200"/>
      </w:pPr>
      <w:r>
        <w:rPr>
          <w:rFonts w:ascii="Aptos" w:cs="Aptos" w:eastAsia="Aptos" w:hAnsi="Aptos"/>
          <w:b/>
          <w:bCs/>
          <w:sz w:val="24"/>
          <w:szCs w:val="24"/>
        </w:rPr>
        <w:t xml:space="preserve">Baseline Controls.</w:t>
      </w:r>
      <w:r>
        <w:rPr>
          <w:rFonts w:ascii="Aptos" w:cs="Aptos" w:eastAsia="Aptos" w:hAnsi="Aptos"/>
          <w:sz w:val="24"/>
          <w:szCs w:val="24"/>
        </w:rPr>
        <w:t xml:space="preserve"> The minimum required controls for production A2A deployments, organized by team.</w:t>
      </w:r>
    </w:p>
    <w:p>
      <w:pPr>
        <w:spacing w:after="200"/>
      </w:pPr>
      <w:r>
        <w:rPr>
          <w:rFonts w:ascii="Aptos" w:cs="Aptos" w:eastAsia="Aptos" w:hAnsi="Aptos"/>
          <w:b/>
          <w:bCs/>
          <w:sz w:val="24"/>
          <w:szCs w:val="24"/>
        </w:rPr>
        <w:t xml:space="preserve">Implementation Guide.</w:t>
      </w:r>
      <w:r>
        <w:rPr>
          <w:rFonts w:ascii="Aptos" w:cs="Aptos" w:eastAsia="Aptos" w:hAnsi="Aptos"/>
          <w:sz w:val="24"/>
          <w:szCs w:val="24"/>
        </w:rPr>
        <w:t xml:space="preserve"> How to deploy A2A systems on production infrastructure: namespaces, SPIRE, mTLS, NetworkPolicy, OPA, OpenTelemetry, Vault, and container supply chain.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sz w:val="18"/>
        <w:szCs w:val="18"/>
      </w:rPr>
      <w:t xml:space="preserve">Page </w:t>
    </w:r>
    <w:r>
      <w:rPr>
        <w:rFonts w:ascii="Aptos" w:cs="Aptos" w:eastAsia="Aptos" w:hAnsi="Apto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999999"/>
        <w:sz w:val="18"/>
        <w:szCs w:val="18"/>
      </w:rPr>
      <w:t xml:space="preserve">AISI Model v1.0 | Operations &amp; Lifecycle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ptos" w:cs="Aptos" w:eastAsia="Aptos" w:hAnsi="Aptos"/>
      <w:b/>
      <w:bCs/>
      <w:sz w:val="32"/>
      <w:szCs w:val="32"/>
    </w:rPr>
  </w:style>
  <w:style w:type="paragraph" w:styleId="Heading2">
    <w:name w:val="Heading 2"/>
    <w:basedOn w:val="Normal"/>
    <w:next w:val="Normal"/>
    <w:qFormat/>
    <w:pPr>
      <w:spacing w:after="180" w:before="240"/>
      <w:outlineLvl w:val="1"/>
    </w:pPr>
    <w:rPr>
      <w:rFonts w:ascii="Aptos" w:cs="Aptos" w:eastAsia="Aptos" w:hAnsi="Aptos"/>
      <w:b/>
      <w:bCs/>
      <w:sz w:val="28"/>
      <w:szCs w:val="28"/>
    </w:rPr>
  </w:style>
  <w:style w:type="paragraph" w:styleId="Heading3">
    <w:name w:val="Heading 3"/>
    <w:basedOn w:val="Normal"/>
    <w:next w:val="Normal"/>
    <w:qFormat/>
    <w:pPr>
      <w:spacing w:after="120" w:before="200"/>
      <w:outlineLvl w:val="2"/>
    </w:pPr>
    <w:rPr>
      <w:rFonts w:ascii="Aptos" w:cs="Aptos" w:eastAsia="Aptos" w:hAnsi="Aptos"/>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2026-03-30T04:35:21.339Z</dcterms:created>
  <dcterms:modified xsi:type="dcterms:W3CDTF">2026-03-30T04:35:21.339Z</dcterms:modified>
</cp:coreProperties>
</file>

<file path=docProps/custom.xml><?xml version="1.0" encoding="utf-8"?>
<Properties xmlns="http://schemas.openxmlformats.org/officeDocument/2006/custom-properties" xmlns:vt="http://schemas.openxmlformats.org/officeDocument/2006/docPropsVTypes"/>
</file>