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1: The Beginning</w:t>
      </w:r>
    </w:p>
    <w:p>
      <w:r>
        <w:t>It was a bright cold day in April, and the clocks were striking thirteen. This is the first paragraph of the first chapter.</w:t>
      </w:r>
    </w:p>
    <w:p>
      <w:r>
        <w:t>The second paragraph continues the story. This demonstrates that the import process handles multiple paragraphs.</w:t>
      </w:r>
    </w:p>
    <w:p>
      <w:pPr>
        <w:pStyle w:val="Heading1"/>
      </w:pPr>
      <w:r>
        <w:t>Chapter 2: The Journey</w:t>
      </w:r>
    </w:p>
    <w:p>
      <w:r>
        <w:t>The journey began at dawn. Our hero set out with determination and hope.</w:t>
      </w:r>
    </w:p>
    <w:p>
      <w:r>
        <w:t>As the sun rose higher, the path became more challenging.</w:t>
      </w:r>
    </w:p>
    <w:p>
      <w:pPr>
        <w:pStyle w:val="Heading1"/>
      </w:pPr>
      <w:r>
        <w:t>Chapter 3: The Discovery</w:t>
      </w:r>
    </w:p>
    <w:p>
      <w:r>
        <w:t>In the depths of the ancient forest, a remarkable discovery awaited.</w:t>
      </w:r>
    </w:p>
    <w:p>
      <w:r>
        <w:t>The discovery changed everything. This was the turning point in the tale.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