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rFonts w:ascii="Open Sans" w:cs="Open Sans" w:eastAsia="Open Sans" w:hAnsi="Open Sans"/>
          <w:color w:val="ffffff"/>
          <w:sz w:val="60"/>
          <w:szCs w:val="60"/>
          <w:highlight w:val="black"/>
        </w:rPr>
      </w:pPr>
      <w:bookmarkStart w:colFirst="0" w:colLast="0" w:name="_kdbg2vx7txzg" w:id="0"/>
      <w:bookmarkEnd w:id="0"/>
      <w:r w:rsidDel="00000000" w:rsidR="00000000" w:rsidRPr="00000000">
        <w:rPr>
          <w:rFonts w:ascii="Open Sans" w:cs="Open Sans" w:eastAsia="Open Sans" w:hAnsi="Open Sans"/>
          <w:color w:val="ffffff"/>
          <w:sz w:val="60"/>
          <w:szCs w:val="60"/>
          <w:highlight w:val="black"/>
          <w:rtl w:val="0"/>
        </w:rPr>
        <w:t xml:space="preserve">Smart Contracts: A Traditional Investor’s Guide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ffffff"/>
          <w:sz w:val="60"/>
          <w:szCs w:val="60"/>
          <w:highlight w:val="black"/>
        </w:rPr>
        <w:drawing>
          <wp:inline distB="114300" distT="114300" distL="114300" distR="114300">
            <wp:extent cx="304800" cy="304800"/>
            <wp:effectExtent b="0" l="0" r="0" t="0"/>
            <wp:docPr descr="Writer: Jason Rowlett" id="2" name="image1.jpg"/>
            <a:graphic>
              <a:graphicData uri="http://schemas.openxmlformats.org/drawingml/2006/picture">
                <pic:pic>
                  <pic:nvPicPr>
                    <pic:cNvPr descr="Writer: Jason Rowlett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1"/>
            <w:szCs w:val="21"/>
            <w:highlight w:val="black"/>
            <w:rtl w:val="0"/>
          </w:rPr>
          <w:t xml:space="preserve">Jason Rowlett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ffffff"/>
          <w:sz w:val="21"/>
          <w:szCs w:val="21"/>
          <w:highlight w:val="black"/>
          <w:rtl w:val="0"/>
        </w:rPr>
        <w:t xml:space="preserve">Apr 4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ffffff"/>
          <w:sz w:val="21"/>
          <w:szCs w:val="21"/>
          <w:highlight w:val="black"/>
          <w:rtl w:val="0"/>
        </w:rPr>
        <w:t xml:space="preserve">3 min read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i w:val="1"/>
          <w:color w:val="ffffff"/>
          <w:sz w:val="33"/>
          <w:szCs w:val="33"/>
          <w:highlight w:val="black"/>
        </w:rPr>
      </w:pPr>
      <w:bookmarkStart w:colFirst="0" w:colLast="0" w:name="_afnbnhs5y53c" w:id="1"/>
      <w:bookmarkEnd w:id="1"/>
      <w:r w:rsidDel="00000000" w:rsidR="00000000" w:rsidRPr="00000000">
        <w:rPr>
          <w:rFonts w:ascii="Open Sans" w:cs="Open Sans" w:eastAsia="Open Sans" w:hAnsi="Open Sans"/>
          <w:i w:val="1"/>
          <w:color w:val="ffffff"/>
          <w:sz w:val="33"/>
          <w:szCs w:val="33"/>
          <w:highlight w:val="black"/>
          <w:rtl w:val="0"/>
        </w:rPr>
        <w:t xml:space="preserve">For traditional investors, smart contracts offer a way to expand investment horizons, streamline operations, and reduce friction.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="360" w:lineRule="auto"/>
        <w:ind w:left="600" w:firstLine="0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</w:rPr>
        <w:drawing>
          <wp:inline distB="114300" distT="114300" distL="114300" distR="114300">
            <wp:extent cx="3333750" cy="3333750"/>
            <wp:effectExtent b="0" l="0" r="0" t="0"/>
            <wp:docPr descr="For traditional investors, smart contracts offer a way to expand investment horizons, streamline operations, and reduce friction. " id="1" name="image2.png"/>
            <a:graphic>
              <a:graphicData uri="http://schemas.openxmlformats.org/drawingml/2006/picture">
                <pic:pic>
                  <pic:nvPicPr>
                    <pic:cNvPr descr="For traditional investors, smart contracts offer a way to expand investment horizons, streamline operations, and reduce friction. 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0" w:before="260" w:line="360" w:lineRule="auto"/>
        <w:ind w:left="600" w:firstLine="0"/>
        <w:rPr>
          <w:rFonts w:ascii="Open Sans" w:cs="Open Sans" w:eastAsia="Open Sans" w:hAnsi="Open Sans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1"/>
          <w:szCs w:val="21"/>
          <w:highlight w:val="black"/>
          <w:rtl w:val="0"/>
        </w:rPr>
        <w:t xml:space="preserve">Foretoken Media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The world of crypto is littered with jargon. But one term stands above the rest in shaping the future of digital finance: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smart contracts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. While they might sound technical or intimidating, smart contracts are surprisingly simple in concept—and profoundly transformative in practice.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For traditional investors who have built their portfolios on stocks, bonds, real estate, or commodities, understanding how smart contracts work is crucial to navigating blockchain-based opportunities.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This guide offers a straightforward introduction to smart contracts—what they are, how they work, and why they matter—especially for those used to conventional investment vehicles.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cjrohaofae1l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What Is a Smart Contract?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At its core, a smart contract is a self-executing digital agreement coded on a blockchain. It’s a program that automatically performs predefined actions when specific conditions are met.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Key characteristics: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Autonomous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Executes without the need for intermediaries.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Immutable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Once deployed on the blockchain, the contract code cannot be changed.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Transparent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Code is visible and verifiable on-chain.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Secure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Operates on cryptographically secure networks.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Think of it like a digital vending machine. You insert crypto, select your product, and—if the input matches the programmed logic—you receive your item automatically. No cashier, no middleman, no human intervention.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jcew53s53hmt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Why Should Traditional Investors Care?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Smart contracts power much of the blockchain and crypto ecosystem—from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decentralized finance (DeFi)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protocols to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tokenized assets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insurance automation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, and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supply chain management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They offer: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Lower Transaction Costs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No need for brokers, legal teams, or banks to verify or process agreements.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Faster Settlements – 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Instant execution upon condition fulfillment—no waiting for bank transfers or office hours.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Reduced Counterparty Risk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Trust is placed in code rather than people or institutions.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Global Access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Anyone with an internet connection can participate, creating unprecedented liquidity.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For investors, this translates into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streamlined asset management, fractionalized investment opportunities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, and access to new, programmable financial instruments.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8zb5px4gtovk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Real-World Use Cases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1. Tokenized Real Estate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Imagine investing in a piece of a property. A smart contract could handle rent disbursements, ownership transfers, and profit sharing—all without involving a third party.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2. Decentralized Lending Platforms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Protocols like Aave and Compound use smart contracts to automatically match lenders with borrowers and distribute interest.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3. Treasury Bills and Bonds on Blockchain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New platforms are issuing government debt on-chain. Smart contracts automate interest payments, maturity redemptions, and investor verifications.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4. Automated Insurance Claims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Flight delayed? A smart contract could verify the event through an oracle and automatically trigger a payout—no paperwork necessary.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5. Supply Chain Finance – 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Contracts can be used to verify that goods were delivered and release payment accordingly.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zh8f45b8b6cl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How Do Smart Contracts Actually Work?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Smart contracts are written in programming languages like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Solidity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(for Ethereum) and then deployed on blockchain networks. Once live, they continuously monitor for predefined inputs or conditions and act accordingly.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For example: A contract might say,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"If wallet A sends 1 ETH to wallet B, then release token X from wallet B to wallet A."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These scripts can become extremely complex, incorporating multiple parties, time-based triggers, or interactions with external data feeds (known as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oracles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od5li2ofqmn6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What Are the Risks?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While smart contracts reduce some risks, they introduce others: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Code Exploits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If the code has vulnerabilities, attackers can exploit them—sometimes with millions of dollars at stake.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Irreversibility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Once a contract executes, it cannot be reversed.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Regulatory Gray Areas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Legal frameworks haven’t caught up, especially regarding contract enforcement and investor protection.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Investor Tip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When investing in platforms or assets that use smart contracts, look for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audited contracts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reputable development teams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iciv6cz9fxvd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Evaluating Projects That Use Smart Contracts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When assessing an opportunity, consider: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Is the contract audited?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What chain is it deployed on?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(Ethereum, Solana, etc.)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Can the contract be upgraded or is it immutable?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What external data (oracles) does it rely on?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How active and reputable is the development team?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For example, a gold-backed RWA token may use smart contracts to validate deposits and control issuance. Understanding these mechanics helps assess the </w:t>
      </w: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security, legitimacy, and investment potential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of the token.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94.5454545454545" w:lineRule="auto"/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</w:rPr>
      </w:pPr>
      <w:bookmarkStart w:colFirst="0" w:colLast="0" w:name="_9oxte74yx0kc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ffffff"/>
          <w:sz w:val="33"/>
          <w:szCs w:val="33"/>
          <w:highlight w:val="black"/>
          <w:rtl w:val="0"/>
        </w:rPr>
        <w:t xml:space="preserve">How to Get Started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You don’t need to become a coder. But familiarizing yourself with how contracts operate on-chain will deepen your ability to judge projects and platforms.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Etherscan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– View smart contract code and transaction history.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DeFiLlama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– Explore projects and metrics across DeFi.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Chainlink Docs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 – Learn about oracles and off-chain data.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ffff"/>
          <w:sz w:val="27"/>
          <w:szCs w:val="27"/>
          <w:highlight w:val="black"/>
          <w:rtl w:val="0"/>
        </w:rPr>
        <w:t xml:space="preserve">Hands-On Tip</w:t>
      </w: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: Try interacting with a low-risk contract, like minting a test NFT or connecting a wallet to a DeFi app with a small amount. Understanding comes faster with experience.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rPr>
          <w:rFonts w:ascii="Open Sans" w:cs="Open Sans" w:eastAsia="Open Sans" w:hAnsi="Open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7"/>
          <w:szCs w:val="27"/>
          <w:highlight w:val="black"/>
          <w:rtl w:val="0"/>
        </w:rPr>
        <w:t xml:space="preserve">Smart contracts are the backbone of blockchain innovation. While smart contracts come with technical and regulatory risks, understanding their mechanics unlocks the door to a smarter, more efficient future of investing.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ffffff"/>
        <w:sz w:val="27"/>
        <w:szCs w:val="27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ffffff"/>
        <w:sz w:val="27"/>
        <w:szCs w:val="27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ffffff"/>
        <w:sz w:val="27"/>
        <w:szCs w:val="27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Open Sans" w:cs="Open Sans" w:eastAsia="Open Sans" w:hAnsi="Open Sans"/>
        <w:color w:val="ffffff"/>
        <w:sz w:val="21"/>
        <w:szCs w:val="21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ffffff"/>
        <w:sz w:val="27"/>
        <w:szCs w:val="27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ffffff"/>
        <w:sz w:val="27"/>
        <w:szCs w:val="27"/>
        <w:highlight w:val="black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foretoken.co/profile/jason/profile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