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40" w:lineRule="auto"/>
        <w:jc w:val="center"/>
      </w:pPr>
      <w:r>
        <w:rPr>
          <w:rFonts w:ascii="Arial" w:hAnsi="Arial"/>
          <w:b/>
          <w:sz w:val="24"/>
        </w:rPr>
        <w:t>FARMER-FISHERFOLK PRECISION RESOURCE ALLOCATION MANAGEMENT SYSTEM WITH GEO-MAPPING (FFPRAMS)</w:t>
      </w:r>
    </w:p>
    <w:p>
      <w:pPr>
        <w:spacing w:before="240" w:after="240" w:line="240" w:lineRule="auto"/>
        <w:jc w:val="center"/>
      </w:pPr>
      <w:r>
        <w:rPr>
          <w:rFonts w:ascii="Arial" w:hAnsi="Arial"/>
          <w:b/>
          <w:sz w:val="24"/>
        </w:rPr>
        <w:t>CHAPTER IV</w:t>
      </w:r>
    </w:p>
    <w:p>
      <w:pPr>
        <w:spacing w:before="240" w:after="240" w:line="240" w:lineRule="auto"/>
        <w:jc w:val="center"/>
      </w:pPr>
      <w:r>
        <w:rPr>
          <w:rFonts w:ascii="Arial" w:hAnsi="Arial"/>
          <w:b/>
          <w:sz w:val="24"/>
        </w:rPr>
        <w:t>RESULTS AND DISCUSSIONS</w:t>
      </w:r>
    </w:p>
    <w:p>
      <w:pPr>
        <w:jc w:val="both"/>
      </w:pPr>
      <w:r>
        <w:rPr>
          <w:rFonts w:ascii="Arial" w:hAnsi="Arial"/>
          <w:sz w:val="24"/>
        </w:rPr>
        <w:t>This chapter shows a detailed discussion and analysis of the data, along with the results of this study. It involves the profiles of the respective respondents in the research and the system testing results for the Farmer-Fisherfolk Precision Resource Allocation Management System with Geo-Mapping (FFPRAMS), with a focus on Sectoral Profiling, Resource Allocation, SMS Broadcast Notifications, and Barangay Geo-Mapping.</w:t>
      </w:r>
    </w:p>
    <w:p>
      <w:pPr>
        <w:spacing w:before="240" w:after="120" w:line="240" w:lineRule="auto"/>
        <w:jc w:val="left"/>
      </w:pPr>
      <w:r>
        <w:rPr>
          <w:rFonts w:ascii="Arial" w:hAnsi="Arial"/>
          <w:b/>
          <w:sz w:val="24"/>
        </w:rPr>
        <w:t>4.1 Results of the Study</w:t>
      </w:r>
    </w:p>
    <w:p>
      <w:pPr>
        <w:jc w:val="both"/>
      </w:pPr>
      <w:r>
        <w:rPr>
          <w:rFonts w:ascii="Arial" w:hAnsi="Arial"/>
          <w:sz w:val="24"/>
        </w:rPr>
        <w:t>The first objective aims to design and develop a Farmer-Fisherfolk Precision Resource Allocation Management System with Geo-Mapping, featuring the following technical features: 5-step sectoral beneficiary registration and profiling wizard, pre-registration duplicate detection algorithm, dual-control resource allocation, Semaphore SMS broadcast notifications, and interactive 23-barangay geo-mapping.</w:t>
      </w:r>
    </w:p>
    <w:p>
      <w:pPr>
        <w:jc w:val="both"/>
      </w:pPr>
      <w:r>
        <w:rPr>
          <w:rFonts w:ascii="Arial" w:hAnsi="Arial"/>
          <w:sz w:val="24"/>
        </w:rPr>
        <w:t>The result of this objective was a system successfully designed and developed with all intended technical features, including 5-step sectoral beneficiary registration and profiling wizard, pre-registration duplicate detection algorithm, dual-control resource allocation, Semaphore SMS broadcast notifications, and interactive 23-barangay geo-mapping.</w:t>
      </w:r>
    </w:p>
    <w:p>
      <w:pPr>
        <w:spacing w:line="240" w:lineRule="auto" w:before="240" w:after="0"/>
        <w:jc w:val="left"/>
      </w:pPr>
      <w:r>
        <w:rPr>
          <w:rFonts w:ascii="Arial" w:hAnsi="Arial"/>
          <w:b/>
          <w:sz w:val="24"/>
        </w:rPr>
        <w:t>Figure 19</w:t>
      </w:r>
    </w:p>
    <w:p>
      <w:pPr>
        <w:spacing w:line="240" w:lineRule="auto" w:before="0" w:after="120"/>
        <w:jc w:val="center"/>
      </w:pPr>
      <w:r>
        <w:rPr>
          <w:rFonts w:ascii="Arial" w:hAnsi="Arial"/>
          <w:sz w:val="24"/>
        </w:rPr>
        <w:t>Objective 1.1- Sectoral Beneficiary Profiling and 5-Step Sectoral Beneficiary Registration and Profiling Wizard Interface</w:t>
      </w:r>
    </w:p>
    <w:p>
      <w:pPr>
        <w:jc w:val="center"/>
      </w:pPr>
      <w:r>
        <w:rPr>
          <w:rFonts w:ascii="Arial" w:hAnsi="Arial"/>
          <w:sz w:val="24"/>
        </w:rPr>
        <w:t>[ Figure 19: Sectoral Beneficiary Profiling and 5-Step Sectoral Beneficiary Registration and Profiling Wizard Interface ]</w:t>
      </w:r>
    </w:p>
    <w:p>
      <w:pPr>
        <w:jc w:val="both"/>
      </w:pPr>
      <w:r>
        <w:rPr>
          <w:rFonts w:ascii="Arial" w:hAnsi="Arial"/>
          <w:sz w:val="24"/>
        </w:rPr>
        <w:t>The Figure 19 above illustrates the 5-step sectoral beneficiary profiling wizard, through which staff members register farmers, fisherfolk, and agrarian reform beneficiaries. The interface allows encoders to select government ID types (PhilSys ID, Senior Citizen ID, RSBSA Number, FishR Number) and input registration numbers via keyboard numpad, ensuring fast, reliable data entry without third-party camera scanning dependencies. Furthermore, the step-by-step wizard structure ensures 100% compliance with Department of Agriculture RSBSA and BFAR FishR registration standards.</w:t>
      </w:r>
    </w:p>
    <w:p>
      <w:pPr>
        <w:spacing w:line="240" w:lineRule="auto" w:before="240" w:after="0"/>
        <w:jc w:val="left"/>
      </w:pPr>
      <w:r>
        <w:rPr>
          <w:rFonts w:ascii="Arial" w:hAnsi="Arial"/>
          <w:b/>
          <w:sz w:val="24"/>
        </w:rPr>
        <w:t>Figure 20</w:t>
      </w:r>
    </w:p>
    <w:p>
      <w:pPr>
        <w:spacing w:line="240" w:lineRule="auto" w:before="0" w:after="120"/>
        <w:jc w:val="center"/>
      </w:pPr>
      <w:r>
        <w:rPr>
          <w:rFonts w:ascii="Arial" w:hAnsi="Arial"/>
          <w:b/>
          <w:sz w:val="24"/>
        </w:rPr>
        <w:t>Objective 1.2- Multi-Agency Program and Resource Allocation Interface</w:t>
      </w:r>
    </w:p>
    <w:p>
      <w:pPr>
        <w:jc w:val="center"/>
      </w:pPr>
      <w:r>
        <w:rPr>
          <w:rFonts w:ascii="Arial" w:hAnsi="Arial"/>
          <w:i/>
          <w:sz w:val="24"/>
        </w:rPr>
        <w:t>[ Figure 20: Multi-Agency Program and Resource Allocation Interface ]</w:t>
      </w:r>
    </w:p>
    <w:p>
      <w:pPr>
        <w:jc w:val="both"/>
      </w:pPr>
      <w:r>
        <w:rPr>
          <w:rFonts w:ascii="Arial" w:hAnsi="Arial"/>
          <w:sz w:val="24"/>
        </w:rPr>
        <w:t>The Figure 20 above presents the multi-agency assistance program management and resource allocation interface. The system allows Administrators to configure DA, BFAR, and DAR assistance programs, attach mandatory legal compliance documents, and execute both direct assistance releases and multi-barangay distribution events. Budgetary safeguards prevent allocation requests from exceeding remaining program balances.</w:t>
      </w:r>
    </w:p>
    <w:p>
      <w:pPr>
        <w:spacing w:line="240" w:lineRule="auto" w:before="240" w:after="0"/>
        <w:jc w:val="left"/>
      </w:pPr>
      <w:r>
        <w:rPr>
          <w:rFonts w:ascii="Arial" w:hAnsi="Arial"/>
          <w:b/>
          <w:sz w:val="24"/>
        </w:rPr>
        <w:t>Figure 21</w:t>
      </w:r>
    </w:p>
    <w:p>
      <w:pPr>
        <w:spacing w:line="240" w:lineRule="auto" w:before="0" w:after="120"/>
        <w:jc w:val="center"/>
      </w:pPr>
      <w:r>
        <w:rPr>
          <w:rFonts w:ascii="Arial" w:hAnsi="Arial"/>
          <w:b/>
          <w:sz w:val="24"/>
        </w:rPr>
        <w:t>Objective 1.3- Semaphore SMS Broadcast Notification Dispatch Log Interface</w:t>
      </w:r>
    </w:p>
    <w:p>
      <w:pPr>
        <w:jc w:val="center"/>
      </w:pPr>
      <w:r>
        <w:rPr>
          <w:rFonts w:ascii="Arial" w:hAnsi="Arial"/>
          <w:i/>
          <w:sz w:val="24"/>
        </w:rPr>
        <w:t>[ Figure 21: Semaphore SMS Notification Dispatch Log Interface ]</w:t>
      </w:r>
    </w:p>
    <w:p>
      <w:pPr>
        <w:jc w:val="both"/>
      </w:pPr>
      <w:r>
        <w:rPr>
          <w:rFonts w:ascii="Arial" w:hAnsi="Arial"/>
          <w:sz w:val="24"/>
        </w:rPr>
        <w:t>The Figure 21 above presents the Semaphore SMS broadcast notification dispatch log interface. The module enables LGU staff to broadcast automated distribution schedules, claim locations, and voucher codes directly to beneficiaries' mobile numbers. The interface tracks delivery status (Sent, Failed, Pending), logs API message IDs, and provides single-click retry functionality for failed SMS dispatches.</w:t>
      </w:r>
    </w:p>
    <w:p>
      <w:pPr>
        <w:spacing w:line="240" w:lineRule="auto" w:before="240" w:after="0"/>
        <w:jc w:val="left"/>
      </w:pPr>
      <w:r>
        <w:rPr>
          <w:rFonts w:ascii="Arial" w:hAnsi="Arial"/>
          <w:b/>
          <w:sz w:val="24"/>
        </w:rPr>
        <w:t>Figure 22</w:t>
      </w:r>
    </w:p>
    <w:p>
      <w:pPr>
        <w:spacing w:line="240" w:lineRule="auto" w:before="0" w:after="120"/>
        <w:jc w:val="center"/>
      </w:pPr>
      <w:r>
        <w:rPr>
          <w:rFonts w:ascii="Arial" w:hAnsi="Arial"/>
          <w:b/>
          <w:sz w:val="24"/>
        </w:rPr>
        <w:t>Objective 1.4- Interactive 23-Barangay Geo-Mapping Interface</w:t>
      </w:r>
    </w:p>
    <w:p>
      <w:pPr>
        <w:jc w:val="center"/>
      </w:pPr>
      <w:r>
        <w:rPr>
          <w:rFonts w:ascii="Arial" w:hAnsi="Arial"/>
          <w:i/>
          <w:sz w:val="24"/>
        </w:rPr>
        <w:t>[ Figure 22: Interactive 23-Barangay Geo-Mapping Interface ]</w:t>
      </w:r>
    </w:p>
    <w:p>
      <w:pPr>
        <w:jc w:val="both"/>
      </w:pPr>
      <w:r>
        <w:rPr>
          <w:rFonts w:ascii="Arial" w:hAnsi="Arial"/>
          <w:sz w:val="24"/>
        </w:rPr>
        <w:t>The Figure 22 above shows the interactive 23-barangay geo-mapping interface powered by Leaflet.js. The map displays spatial clusters of registered agricultural beneficiaries across coastal and inland barangays of Enrique B. Magalona. Municipal executives can filter map pins by government agency, sectoral livelihood classification, and distribution event status, enabling spatial decision support for equitable resource distribution.</w:t>
      </w:r>
    </w:p>
    <w:p>
      <w:pPr>
        <w:spacing w:line="240" w:lineRule="auto" w:before="240" w:after="0"/>
        <w:jc w:val="left"/>
      </w:pPr>
      <w:r>
        <w:rPr>
          <w:rFonts w:ascii="Arial" w:hAnsi="Arial"/>
          <w:b/>
          <w:sz w:val="24"/>
        </w:rPr>
        <w:t>Figure 23</w:t>
      </w:r>
    </w:p>
    <w:p>
      <w:pPr>
        <w:spacing w:line="240" w:lineRule="auto" w:before="0" w:after="120"/>
        <w:jc w:val="center"/>
      </w:pPr>
      <w:r>
        <w:rPr>
          <w:rFonts w:ascii="Arial" w:hAnsi="Arial"/>
          <w:b/>
          <w:sz w:val="24"/>
        </w:rPr>
        <w:t>Objective 1.5- System Audit Trail and Compliance Reporting Interface</w:t>
      </w:r>
    </w:p>
    <w:p>
      <w:pPr>
        <w:jc w:val="center"/>
      </w:pPr>
      <w:r>
        <w:rPr>
          <w:rFonts w:ascii="Arial" w:hAnsi="Arial"/>
          <w:i/>
          <w:sz w:val="24"/>
        </w:rPr>
        <w:t>[ Figure 23: System Audit Trail and Compliance Reporting Interface ]</w:t>
      </w:r>
    </w:p>
    <w:p>
      <w:pPr>
        <w:jc w:val="both"/>
      </w:pPr>
      <w:r>
        <w:rPr>
          <w:rFonts w:ascii="Arial" w:hAnsi="Arial"/>
          <w:sz w:val="24"/>
        </w:rPr>
        <w:t>The Figure 23 above shows the system audit trail and automated compliance reporting interface. The system logs every user transaction with immutable timestamps, user IDs, and IP addresses. The reporting engine generates official portrait PDF summaries and exports CSV audit files to support Commission on Audit (COA) municipal compliance reviews.</w:t>
      </w:r>
    </w:p>
    <w:p>
      <w:pPr>
        <w:spacing w:before="240" w:after="120" w:line="240" w:lineRule="auto"/>
        <w:jc w:val="left"/>
      </w:pPr>
      <w:r>
        <w:rPr>
          <w:rFonts w:ascii="Arial" w:hAnsi="Arial"/>
          <w:b/>
          <w:sz w:val="24"/>
        </w:rPr>
        <w:t>4.2 Black-box and White-box Testing Results</w:t>
      </w:r>
    </w:p>
    <w:p>
      <w:pPr>
        <w:jc w:val="both"/>
      </w:pPr>
      <w:r>
        <w:rPr>
          <w:rFonts w:ascii="Arial" w:hAnsi="Arial"/>
          <w:sz w:val="24"/>
        </w:rPr>
        <w:t>The second objective of this study aims to test the functionality of the technical features mentioned in Objective 1.</w:t>
      </w:r>
    </w:p>
    <w:p>
      <w:pPr>
        <w:jc w:val="both"/>
      </w:pPr>
      <w:r>
        <w:t>The result of this objective was that the system's technical features were successfully tested using both Black-box testing (executed via automated Qase.io test management suites covering functional test cases TC-001 through TC-0095) and White-box testing (executed via automated PHPUnit test suites covering internal code logic and database integrity) to confirm that all functions, input validations, security boundaries, database queries, and workflows operated as designed.</w:t>
      </w:r>
    </w:p>
    <w:p>
      <w:pPr>
        <w:spacing w:line="240" w:lineRule="auto" w:before="120" w:after="0"/>
        <w:jc w:val="left"/>
      </w:pPr>
      <w:r>
        <w:rPr>
          <w:rFonts w:ascii="Arial" w:hAnsi="Arial"/>
          <w:b/>
          <w:sz w:val="24"/>
        </w:rPr>
        <w:t>Table 44</w:t>
      </w:r>
    </w:p>
    <w:p>
      <w:pPr>
        <w:spacing w:line="240" w:lineRule="auto" w:before="0" w:after="120"/>
        <w:jc w:val="both"/>
      </w:pPr>
      <w:r>
        <w:rPr>
          <w:rFonts w:ascii="Arial" w:hAnsi="Arial"/>
          <w:b w:val="0"/>
          <w:sz w:val="24"/>
        </w:rPr>
        <w:t>Black-box Testing of the Alpha Testing of Registration and Authentication Case</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1152"/>
        <w:gridCol w:w="2448"/>
        <w:gridCol w:w="2736"/>
        <w:gridCol w:w="1152"/>
        <w:gridCol w:w="576"/>
        <w:gridCol w:w="576"/>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900" w:type="dxa"/>
            <w:tcMar>
              <w:top w:w="60" w:type="dxa"/>
              <w:bottom w:w="60" w:type="dxa"/>
              <w:left w:w="80" w:type="dxa"/>
              <w:right w:w="80" w:type="dxa"/>
            </w:tcMar>
          </w:tcPr>
          <w:p>
            <w:pPr>
              <w:spacing w:before="0" w:after="0" w:line="240" w:lineRule="auto"/>
              <w:jc w:val="center"/>
            </w:pPr>
            <w:r>
              <w:rPr>
                <w:rFonts w:ascii="Arial" w:hAnsi="Arial"/>
                <w:b/>
                <w:sz w:val="20"/>
              </w:rPr>
              <w:t>Test Case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000" w:type="dxa"/>
            <w:tcMar>
              <w:top w:w="60" w:type="dxa"/>
              <w:bottom w:w="60" w:type="dxa"/>
              <w:left w:w="80" w:type="dxa"/>
              <w:right w:w="80" w:type="dxa"/>
            </w:tcMar>
          </w:tcPr>
          <w:p>
            <w:pPr>
              <w:spacing w:before="0" w:after="0" w:line="240" w:lineRule="auto"/>
              <w:jc w:val="center"/>
            </w:pPr>
            <w:r>
              <w:rPr>
                <w:rFonts w:ascii="Arial" w:hAnsi="Arial"/>
                <w:b/>
                <w:sz w:val="20"/>
              </w:rPr>
              <w:t>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300" w:type="dxa"/>
            <w:tcMar>
              <w:top w:w="60" w:type="dxa"/>
              <w:bottom w:w="60" w:type="dxa"/>
              <w:left w:w="80" w:type="dxa"/>
              <w:right w:w="80" w:type="dxa"/>
            </w:tcMar>
          </w:tcPr>
          <w:p>
            <w:pPr>
              <w:spacing w:before="0" w:after="0" w:line="240" w:lineRule="auto"/>
              <w:jc w:val="center"/>
            </w:pPr>
            <w:r>
              <w:rPr>
                <w:rFonts w:ascii="Arial" w:hAnsi="Arial"/>
                <w:b/>
                <w:sz w:val="20"/>
              </w:rPr>
              <w:t>Expected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200" w:type="dxa"/>
            <w:tcMar>
              <w:top w:w="60" w:type="dxa"/>
              <w:bottom w:w="60" w:type="dxa"/>
              <w:left w:w="80" w:type="dxa"/>
              <w:right w:w="80" w:type="dxa"/>
            </w:tcMar>
          </w:tcPr>
          <w:p>
            <w:pPr>
              <w:spacing w:before="0" w:after="0" w:line="240" w:lineRule="auto"/>
              <w:jc w:val="center"/>
            </w:pPr>
            <w:r>
              <w:rPr>
                <w:rFonts w:ascii="Arial" w:hAnsi="Arial"/>
                <w:b/>
                <w:sz w:val="20"/>
              </w:rPr>
              <w:t>Actual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60" w:type="dxa"/>
            <w:tcMar>
              <w:top w:w="60" w:type="dxa"/>
              <w:bottom w:w="60" w:type="dxa"/>
              <w:left w:w="80" w:type="dxa"/>
              <w:right w:w="80" w:type="dxa"/>
            </w:tcMar>
          </w:tcPr>
          <w:p>
            <w:pPr>
              <w:spacing w:before="0" w:after="0" w:line="240" w:lineRule="auto"/>
              <w:jc w:val="center"/>
            </w:pPr>
            <w:r>
              <w:rPr>
                <w:rFonts w:ascii="Arial" w:hAnsi="Arial"/>
                <w:b/>
                <w:sz w:val="20"/>
              </w:rPr>
              <w:t>Pass/ Fail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100" w:type="dxa"/>
            <w:tcMar>
              <w:top w:w="60" w:type="dxa"/>
              <w:bottom w:w="60" w:type="dxa"/>
              <w:left w:w="80" w:type="dxa"/>
              <w:right w:w="80" w:type="dxa"/>
            </w:tcMar>
          </w:tcPr>
          <w:p>
            <w:pPr>
              <w:spacing w:before="0" w:after="0" w:line="240" w:lineRule="auto"/>
              <w:jc w:val="center"/>
            </w:pPr>
            <w:r>
              <w:rPr>
                <w:rFonts w:ascii="Arial" w:hAnsi="Arial"/>
                <w:b/>
                <w:sz w:val="20"/>
              </w:rPr>
              <w:t>Comments</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logs in with valid credentials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authenticates credentials, prompts for 2FA TOTP code if enabled, and displays the Admin Dashboard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logs in with valid credentials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authenticates credentials and displays the Staff Dashboard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User attempts login with incorrect password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rejects login attempt and displays credential error notice ('These credentials do not match our records.')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User attempts login with non-existent email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rejects login attempt and displays credential error notice ('These credentials do not match our records.')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Deactivated user attempts login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blocks login attempt and displays account deactivated alert ('Your account has been deactivated. Please contact your administrator.')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Unauthenticated user accesses admin page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blocks access and redirects user to the login page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User session remains idle for 60 minutes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invalidates idle session and redirects user to the login page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User logs out of the system</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terminates active session and redirects to the login page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User logs in via Google OAuth 2.0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verifies Google account, prompts for 2FA TOTP code if enabled, and displays the dashboard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User unlinks Google account from profile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removes Google account link and displays confirmation notice ('Google account unlinked successfully.')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verifies 2FA TOTP code on challenge screen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6-digit TOTP code and displays the Admin Dashboard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configures 2FA TOTP security in profile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verifies current password, displays QR code for authenticator app, activates 2FA, and shows recovery codes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without 2FA attempts dashboard access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redirects user to 2FA Setup page for mandatory activation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First-time user logs in with temporary password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detects password update flag and redirects user to password reset form</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User requests password reset link via email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sends password reset email link and updates account password upon verification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bl>
    <w:p>
      <w:pPr>
        <w:jc w:val="left"/>
      </w:pPr>
      <w:r>
        <w:rPr>
          <w:rFonts w:ascii="Arial" w:hAnsi="Arial"/>
          <w:sz w:val="24"/>
        </w:rPr>
        <w:t>Table 44 summarizes the registration, authentication, and profile security test cases (TC-001 through TC-0015). The evaluation verifies multi-role login controls, failed attempt rate limiting, idle session timeouts, Google OAuth 2.0 Single Sign-On, Admin Two-Factor Authentication (2FA) TOTP challenges, mandatory 2FA redirects, first-time password updates, and email password reset workflows.</w:t>
      </w:r>
    </w:p>
    <w:p>
      <w:pPr>
        <w:spacing w:line="240" w:lineRule="auto" w:before="120" w:after="0"/>
        <w:jc w:val="left"/>
      </w:pPr>
      <w:r>
        <w:rPr>
          <w:rFonts w:ascii="Arial" w:hAnsi="Arial"/>
          <w:b/>
          <w:sz w:val="24"/>
        </w:rPr>
        <w:t>Table 45</w:t>
      </w:r>
    </w:p>
    <w:p>
      <w:pPr>
        <w:spacing w:line="240" w:lineRule="auto" w:before="0" w:after="120"/>
        <w:jc w:val="both"/>
      </w:pPr>
      <w:r>
        <w:rPr>
          <w:rFonts w:ascii="Arial" w:hAnsi="Arial"/>
          <w:b w:val="0"/>
          <w:sz w:val="24"/>
        </w:rPr>
        <w:t>Black-box Testing of the Alpha Testing of Beneficiary Registration and Profiling Case</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1152"/>
        <w:gridCol w:w="2448"/>
        <w:gridCol w:w="2736"/>
        <w:gridCol w:w="1152"/>
        <w:gridCol w:w="576"/>
        <w:gridCol w:w="576"/>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900" w:type="dxa"/>
            <w:tcMar>
              <w:top w:w="60" w:type="dxa"/>
              <w:bottom w:w="60" w:type="dxa"/>
              <w:left w:w="80" w:type="dxa"/>
              <w:right w:w="80" w:type="dxa"/>
            </w:tcMar>
          </w:tcPr>
          <w:p>
            <w:pPr>
              <w:spacing w:before="0" w:after="0" w:line="240" w:lineRule="auto"/>
              <w:jc w:val="center"/>
            </w:pPr>
            <w:r>
              <w:rPr>
                <w:rFonts w:ascii="Arial" w:hAnsi="Arial"/>
                <w:b/>
                <w:sz w:val="20"/>
              </w:rPr>
              <w:t>Test Case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000" w:type="dxa"/>
            <w:tcMar>
              <w:top w:w="60" w:type="dxa"/>
              <w:bottom w:w="60" w:type="dxa"/>
              <w:left w:w="80" w:type="dxa"/>
              <w:right w:w="80" w:type="dxa"/>
            </w:tcMar>
          </w:tcPr>
          <w:p>
            <w:pPr>
              <w:spacing w:before="0" w:after="0" w:line="240" w:lineRule="auto"/>
              <w:jc w:val="center"/>
            </w:pPr>
            <w:r>
              <w:rPr>
                <w:rFonts w:ascii="Arial" w:hAnsi="Arial"/>
                <w:b/>
                <w:sz w:val="20"/>
              </w:rPr>
              <w:t>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300" w:type="dxa"/>
            <w:tcMar>
              <w:top w:w="60" w:type="dxa"/>
              <w:bottom w:w="60" w:type="dxa"/>
              <w:left w:w="80" w:type="dxa"/>
              <w:right w:w="80" w:type="dxa"/>
            </w:tcMar>
          </w:tcPr>
          <w:p>
            <w:pPr>
              <w:spacing w:before="0" w:after="0" w:line="240" w:lineRule="auto"/>
              <w:jc w:val="center"/>
            </w:pPr>
            <w:r>
              <w:rPr>
                <w:rFonts w:ascii="Arial" w:hAnsi="Arial"/>
                <w:b/>
                <w:sz w:val="20"/>
              </w:rPr>
              <w:t>Expected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200" w:type="dxa"/>
            <w:tcMar>
              <w:top w:w="60" w:type="dxa"/>
              <w:bottom w:w="60" w:type="dxa"/>
              <w:left w:w="80" w:type="dxa"/>
              <w:right w:w="80" w:type="dxa"/>
            </w:tcMar>
          </w:tcPr>
          <w:p>
            <w:pPr>
              <w:spacing w:before="0" w:after="0" w:line="240" w:lineRule="auto"/>
              <w:jc w:val="center"/>
            </w:pPr>
            <w:r>
              <w:rPr>
                <w:rFonts w:ascii="Arial" w:hAnsi="Arial"/>
                <w:b/>
                <w:sz w:val="20"/>
              </w:rPr>
              <w:t>Actual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60" w:type="dxa"/>
            <w:tcMar>
              <w:top w:w="60" w:type="dxa"/>
              <w:bottom w:w="60" w:type="dxa"/>
              <w:left w:w="80" w:type="dxa"/>
              <w:right w:w="80" w:type="dxa"/>
            </w:tcMar>
          </w:tcPr>
          <w:p>
            <w:pPr>
              <w:spacing w:before="0" w:after="0" w:line="240" w:lineRule="auto"/>
              <w:jc w:val="center"/>
            </w:pPr>
            <w:r>
              <w:rPr>
                <w:rFonts w:ascii="Arial" w:hAnsi="Arial"/>
                <w:b/>
                <w:sz w:val="20"/>
              </w:rPr>
              <w:t>Pass/ Fail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100" w:type="dxa"/>
            <w:tcMar>
              <w:top w:w="60" w:type="dxa"/>
              <w:bottom w:w="60" w:type="dxa"/>
              <w:left w:w="80" w:type="dxa"/>
              <w:right w:w="80" w:type="dxa"/>
            </w:tcMar>
          </w:tcPr>
          <w:p>
            <w:pPr>
              <w:spacing w:before="0" w:after="0" w:line="240" w:lineRule="auto"/>
              <w:jc w:val="center"/>
            </w:pPr>
            <w:r>
              <w:rPr>
                <w:rFonts w:ascii="Arial" w:hAnsi="Arial"/>
                <w:b/>
                <w:sz w:val="20"/>
              </w:rPr>
              <w:t>Comments</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opens beneficiary registration form</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displays multi-step profiling wizard with dynamic category selection and progress tracker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registers new beneficiary (Farmer, Fisherfolk, or Both classification)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validates input fields, saves demographics, links classification-specific details, and creates active profile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selects Government ID type and enters ID number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selected ID type, enforces input format rules, and accepts valid ID details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TC-0019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submits form with missing required fields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highlights missing required fields and blocks form submission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TC-0020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registers beneficiary matching existing Name, Date of Birth, or Mobile Contact Number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detects potential duplicate beneficiary via fuzzy name, Date of Birth, and contact number matching, displays duplicate warning modal, and requires confirmation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TC-0021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registers farmer matching existing RSBSA Number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checks RSBSA Number against existing records and displays duplicate warning alert modal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TC-0022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registers fisherfolk or agrarian reform beneficiary matching existing FishR or CLOA/EP Number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checks FishR or CLOA/EP Number against existing records and displays duplicate warning alert modal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before="0" w:after="0"/>
              <w:jc w:val="center"/>
            </w:pPr>
            <w:r>
              <w:rPr>
                <w:rFonts w:ascii="Arial" w:hAnsi="Arial"/>
                <w:sz w:val="20"/>
              </w:rPr>
              <w:t>TC-0023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uploads beneficiary ID document attachment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file format and size, attaches file, and displays upload confirmation badge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TC-0024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views registered beneficiary profile photo</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displays beneficiary profile photo image in profile header card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TC-0025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updates beneficiary contact details and address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updates contact info, saves changes, and displays profile update notification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TC-0026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executes Bulk Beneficiary CSV Import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parses CSV file, validates row parameters, displays preview table, and bulk-inserts records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TC-0027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rolls back imported CSV batch</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rolls back imported CSV batch cleanly and updates beneficiary count summary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TC-0028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submits beneficiary profile edit request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creates pending update request and displays side-by-side diff in Admin approval queue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TC-0029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approves or rejects beneficiary profile edit request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applies approved changes to profile and logs audit entry, or records rejection reason and reverts pending state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executes Bulk Agency Assignment for beneficiaries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attaches selected beneficiaries to target government agency (DA/BFAR/DAR) in batch</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bl>
    <w:p>
      <w:pPr>
        <w:jc w:val="left"/>
      </w:pPr>
      <w:r>
        <w:rPr>
          <w:rFonts w:ascii="Arial" w:hAnsi="Arial"/>
          <w:sz w:val="24"/>
        </w:rPr>
        <w:t>Table 45 summarizes the beneficiary registration and profiling test cases (TC-0016 through TC-0030). The results verify the 5-step sectoral profiling wizard for Farmers and Fisherfolk, Valid Government ID selection and format verification, duplicate detection triggers (Name+DOB, RSBSA, FishR), photo attachments, Bulk CSV Import, Staff Update Request Approval Queue, and Bulk Agency Assignments.</w:t>
      </w:r>
    </w:p>
    <w:p>
      <w:pPr>
        <w:spacing w:line="240" w:lineRule="auto" w:before="120" w:after="0"/>
        <w:jc w:val="left"/>
      </w:pPr>
      <w:r>
        <w:rPr>
          <w:rFonts w:ascii="Arial" w:hAnsi="Arial"/>
          <w:b/>
          <w:sz w:val="24"/>
        </w:rPr>
        <w:t>Table 46</w:t>
      </w:r>
    </w:p>
    <w:p>
      <w:pPr>
        <w:spacing w:line="240" w:lineRule="auto" w:before="0" w:after="120"/>
        <w:jc w:val="both"/>
      </w:pPr>
      <w:r>
        <w:rPr>
          <w:rFonts w:ascii="Arial" w:hAnsi="Arial"/>
          <w:b w:val="0"/>
          <w:sz w:val="24"/>
        </w:rPr>
        <w:t>Black-box Testing of the Alpha Testing of Agency and Assistance Program Management Case</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1152"/>
        <w:gridCol w:w="2448"/>
        <w:gridCol w:w="2736"/>
        <w:gridCol w:w="1152"/>
        <w:gridCol w:w="576"/>
        <w:gridCol w:w="576"/>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900" w:type="dxa"/>
            <w:tcMar>
              <w:top w:w="60" w:type="dxa"/>
              <w:bottom w:w="60" w:type="dxa"/>
              <w:left w:w="80" w:type="dxa"/>
              <w:right w:w="80" w:type="dxa"/>
            </w:tcMar>
          </w:tcPr>
          <w:p>
            <w:pPr>
              <w:spacing w:before="0" w:after="0" w:line="240" w:lineRule="auto"/>
              <w:jc w:val="center"/>
            </w:pPr>
            <w:r>
              <w:rPr>
                <w:rFonts w:ascii="Arial" w:hAnsi="Arial"/>
                <w:b/>
                <w:sz w:val="20"/>
              </w:rPr>
              <w:t>Test Case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000" w:type="dxa"/>
            <w:tcMar>
              <w:top w:w="60" w:type="dxa"/>
              <w:bottom w:w="60" w:type="dxa"/>
              <w:left w:w="80" w:type="dxa"/>
              <w:right w:w="80" w:type="dxa"/>
            </w:tcMar>
          </w:tcPr>
          <w:p>
            <w:pPr>
              <w:spacing w:before="0" w:after="0" w:line="240" w:lineRule="auto"/>
              <w:jc w:val="center"/>
            </w:pPr>
            <w:r>
              <w:rPr>
                <w:rFonts w:ascii="Arial" w:hAnsi="Arial"/>
                <w:b/>
                <w:sz w:val="20"/>
              </w:rPr>
              <w:t>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300" w:type="dxa"/>
            <w:tcMar>
              <w:top w:w="60" w:type="dxa"/>
              <w:bottom w:w="60" w:type="dxa"/>
              <w:left w:w="80" w:type="dxa"/>
              <w:right w:w="80" w:type="dxa"/>
            </w:tcMar>
          </w:tcPr>
          <w:p>
            <w:pPr>
              <w:spacing w:before="0" w:after="0" w:line="240" w:lineRule="auto"/>
              <w:jc w:val="center"/>
            </w:pPr>
            <w:r>
              <w:rPr>
                <w:rFonts w:ascii="Arial" w:hAnsi="Arial"/>
                <w:b/>
                <w:sz w:val="20"/>
              </w:rPr>
              <w:t>Expected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200" w:type="dxa"/>
            <w:tcMar>
              <w:top w:w="60" w:type="dxa"/>
              <w:bottom w:w="60" w:type="dxa"/>
              <w:left w:w="80" w:type="dxa"/>
              <w:right w:w="80" w:type="dxa"/>
            </w:tcMar>
          </w:tcPr>
          <w:p>
            <w:pPr>
              <w:spacing w:before="0" w:after="0" w:line="240" w:lineRule="auto"/>
              <w:jc w:val="center"/>
            </w:pPr>
            <w:r>
              <w:rPr>
                <w:rFonts w:ascii="Arial" w:hAnsi="Arial"/>
                <w:b/>
                <w:sz w:val="20"/>
              </w:rPr>
              <w:t>Actual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60" w:type="dxa"/>
            <w:tcMar>
              <w:top w:w="60" w:type="dxa"/>
              <w:bottom w:w="60" w:type="dxa"/>
              <w:left w:w="80" w:type="dxa"/>
              <w:right w:w="80" w:type="dxa"/>
            </w:tcMar>
          </w:tcPr>
          <w:p>
            <w:pPr>
              <w:spacing w:before="0" w:after="0" w:line="240" w:lineRule="auto"/>
              <w:jc w:val="center"/>
            </w:pPr>
            <w:r>
              <w:rPr>
                <w:rFonts w:ascii="Arial" w:hAnsi="Arial"/>
                <w:b/>
                <w:sz w:val="20"/>
              </w:rPr>
              <w:t>Pass/ Fail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100" w:type="dxa"/>
            <w:tcMar>
              <w:top w:w="60" w:type="dxa"/>
              <w:bottom w:w="60" w:type="dxa"/>
              <w:left w:w="80" w:type="dxa"/>
              <w:right w:w="80" w:type="dxa"/>
            </w:tcMar>
          </w:tcPr>
          <w:p>
            <w:pPr>
              <w:spacing w:before="0" w:after="0" w:line="240" w:lineRule="auto"/>
              <w:jc w:val="center"/>
            </w:pPr>
            <w:r>
              <w:rPr>
                <w:rFonts w:ascii="Arial" w:hAnsi="Arial"/>
                <w:b/>
                <w:sz w:val="20"/>
              </w:rPr>
              <w:t>Comments</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creates assistance program in draft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validates program parameters, links partner agency, and saves program in draft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uploads program legal mandate (MOU/EO)</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attaches legal mandate document to program and updates compliance checklist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views program legal mandate document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streams stored MOU/EO legal document securely for inspection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toggles program Active/Inactive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status toggle request, updates program status label, and logs action to audit trail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creates new Assistance Purpose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validates purpose name (Seeds, Fertilizer, Cash Aid) and adds active purpose record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creates new Resource Type category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validates resource unit parameters and links category to partner agency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creates new partner government agency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validates agency acronym and full name, and creates active partner agency profile record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configures agency dynamic form field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saves dynamic field configuration and renders new input field in profiling wizard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TC-0039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configures mandatory toggles for core government IDs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updates mandatory requirement flags for RSBSA, FishR, and CLOA/EP IDs, enforcing input validation during registration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configures custom fields under Personal Information section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field parameters (label, input type, required flag) and saves custom field configuration under Personal Information section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configures sector-specific custom fields (Farmer, Fisherfolk, or Agrarian)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field parameters and saves custom field configuration under the selected sector section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updates assistance program budget and details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updates program parameters, recalculates remaining available budget balance, and records action in audit log</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deactivates an active assistance program</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prompts for confirmation, updates program status to Inactive, blocks new resource allocations, and preserves historical disbursement records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creates distribution event with target barangay coverage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event parameters, attaches target coverage barangays, creates event record in Pending status, and logs action to audit trail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deactivates partner government agency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prompts for password confirmation, validates input, sets agency status to inactive, and restricts new program linkages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bl>
    <w:p>
      <w:pPr>
        <w:jc w:val="left"/>
      </w:pPr>
      <w:r>
        <w:rPr>
          <w:rFonts w:ascii="Arial" w:hAnsi="Arial"/>
          <w:sz w:val="24"/>
        </w:rPr>
        <w:t>Table 46 summarizes the government agency, assistance program, and system fields configuration test cases (TC-0031 through TC-0045). The system enforces MOU legal compliance document mandates before program activation, supports dynamic agency-specific custom form fields (TC-0039), configures classification core field mandatory rules for RSBSA, FishR, and DAR IDs (TC-0040), manages global personal information form field options (TC-0041), manages sector-specific form field options (TC-0042), and handles soft-deactivations and single-page tabbed settings navigation.</w:t>
      </w:r>
    </w:p>
    <w:p>
      <w:pPr>
        <w:spacing w:line="240" w:lineRule="auto" w:before="120" w:after="0"/>
        <w:jc w:val="left"/>
      </w:pPr>
      <w:r>
        <w:rPr>
          <w:rFonts w:ascii="Arial" w:hAnsi="Arial"/>
          <w:b/>
          <w:sz w:val="24"/>
        </w:rPr>
        <w:t>Table 47</w:t>
      </w:r>
    </w:p>
    <w:p>
      <w:pPr>
        <w:spacing w:line="240" w:lineRule="auto" w:before="0" w:after="120"/>
        <w:jc w:val="both"/>
      </w:pPr>
      <w:r>
        <w:rPr>
          <w:rFonts w:ascii="Arial" w:hAnsi="Arial"/>
          <w:b w:val="0"/>
          <w:sz w:val="24"/>
        </w:rPr>
        <w:t>Black-box Testing of the Alpha Testing of Resource Allocation and Distribution Case</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1152"/>
        <w:gridCol w:w="2448"/>
        <w:gridCol w:w="2736"/>
        <w:gridCol w:w="1152"/>
        <w:gridCol w:w="576"/>
        <w:gridCol w:w="576"/>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900" w:type="dxa"/>
            <w:tcMar>
              <w:top w:w="60" w:type="dxa"/>
              <w:bottom w:w="60" w:type="dxa"/>
              <w:left w:w="80" w:type="dxa"/>
              <w:right w:w="80" w:type="dxa"/>
            </w:tcMar>
          </w:tcPr>
          <w:p>
            <w:pPr>
              <w:spacing w:before="0" w:after="0" w:line="240" w:lineRule="auto"/>
              <w:jc w:val="center"/>
            </w:pPr>
            <w:r>
              <w:rPr>
                <w:rFonts w:ascii="Arial" w:hAnsi="Arial"/>
                <w:b/>
                <w:sz w:val="20"/>
              </w:rPr>
              <w:t>Test Case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000" w:type="dxa"/>
            <w:tcMar>
              <w:top w:w="60" w:type="dxa"/>
              <w:bottom w:w="60" w:type="dxa"/>
              <w:left w:w="80" w:type="dxa"/>
              <w:right w:w="80" w:type="dxa"/>
            </w:tcMar>
          </w:tcPr>
          <w:p>
            <w:pPr>
              <w:spacing w:before="0" w:after="0" w:line="240" w:lineRule="auto"/>
              <w:jc w:val="center"/>
            </w:pPr>
            <w:r>
              <w:rPr>
                <w:rFonts w:ascii="Arial" w:hAnsi="Arial"/>
                <w:b/>
                <w:sz w:val="20"/>
              </w:rPr>
              <w:t>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300" w:type="dxa"/>
            <w:tcMar>
              <w:top w:w="60" w:type="dxa"/>
              <w:bottom w:w="60" w:type="dxa"/>
              <w:left w:w="80" w:type="dxa"/>
              <w:right w:w="80" w:type="dxa"/>
            </w:tcMar>
          </w:tcPr>
          <w:p>
            <w:pPr>
              <w:spacing w:before="0" w:after="0" w:line="240" w:lineRule="auto"/>
              <w:jc w:val="center"/>
            </w:pPr>
            <w:r>
              <w:rPr>
                <w:rFonts w:ascii="Arial" w:hAnsi="Arial"/>
                <w:b/>
                <w:sz w:val="20"/>
              </w:rPr>
              <w:t>Expected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200" w:type="dxa"/>
            <w:tcMar>
              <w:top w:w="60" w:type="dxa"/>
              <w:bottom w:w="60" w:type="dxa"/>
              <w:left w:w="80" w:type="dxa"/>
              <w:right w:w="80" w:type="dxa"/>
            </w:tcMar>
          </w:tcPr>
          <w:p>
            <w:pPr>
              <w:spacing w:before="0" w:after="0" w:line="240" w:lineRule="auto"/>
              <w:jc w:val="center"/>
            </w:pPr>
            <w:r>
              <w:rPr>
                <w:rFonts w:ascii="Arial" w:hAnsi="Arial"/>
                <w:b/>
                <w:sz w:val="20"/>
              </w:rPr>
              <w:t>Actual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60" w:type="dxa"/>
            <w:tcMar>
              <w:top w:w="60" w:type="dxa"/>
              <w:bottom w:w="60" w:type="dxa"/>
              <w:left w:w="80" w:type="dxa"/>
              <w:right w:w="80" w:type="dxa"/>
            </w:tcMar>
          </w:tcPr>
          <w:p>
            <w:pPr>
              <w:spacing w:before="0" w:after="0" w:line="240" w:lineRule="auto"/>
              <w:jc w:val="center"/>
            </w:pPr>
            <w:r>
              <w:rPr>
                <w:rFonts w:ascii="Arial" w:hAnsi="Arial"/>
                <w:b/>
                <w:sz w:val="20"/>
              </w:rPr>
              <w:t>Pass/ Fail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100" w:type="dxa"/>
            <w:tcMar>
              <w:top w:w="60" w:type="dxa"/>
              <w:bottom w:w="60" w:type="dxa"/>
              <w:left w:w="80" w:type="dxa"/>
              <w:right w:w="80" w:type="dxa"/>
            </w:tcMar>
          </w:tcPr>
          <w:p>
            <w:pPr>
              <w:spacing w:before="0" w:after="0" w:line="240" w:lineRule="auto"/>
              <w:jc w:val="center"/>
            </w:pPr>
            <w:r>
              <w:rPr>
                <w:rFonts w:ascii="Arial" w:hAnsi="Arial"/>
                <w:b/>
                <w:sz w:val="20"/>
              </w:rPr>
              <w:t>Comments</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creates Direct Assistance allocation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validates input, deducts program budget, and creates record in allocated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creates bulk scheduled direct allocations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validates multiple beneficiary entries and creates scheduled direct allocations in allocated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inputs bulk pre-released direct allocations with historical dates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beneficiary entries, verifies historical dates, and records direct allocations directly in Claimed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TC-0049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creates bulk distribution event allocations via interactive recipient roster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budget splits, checks barangay target coverage, verifies eligibility, and creates allocation records in Pending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adds beneficiary to an already approved event roster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requires post-approval override justification reason and queues addition request for Administrator approval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creates allocation exceeding program budget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blocks allocation save action and displays budget limit alert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submits amendment request for a Direct or Event-based allocation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justification, creates pending amendment request, and notifies Administrator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approves allocation amendment request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applies requested allocation adjustment (amount/quantity/add/remove) and logs approval in audit trail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rejects allocation amendment request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records rejection reason, leaves original allocation unchanged, and notifies requesting Staff</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Administrator approves distribution event beneficiary list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locks event roster, sets beneficiary list approval status, and enables event status transition to Ongoing</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transitions event status to In Progress (Ongoing)</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sets event status to Ongoing, enables claims desk, and locks beneficiary list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stages Direct or Event-based allocation for release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updates allocation status to For Releasing and auto-cancels pending amendments with audit log</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transitions event status to Completed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finalizes distribution metrics, verifies critical compliance, computes claim rates, and sets event status to Completed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TC-0059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processes release with webcam photo verification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verifies webcam photo against profile image and sets allocation status to Claimed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customizes 3-signatory PDF distribution controls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updates Prepared/Facilitated/Verified signatories on preview and PDF roster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exports distribution recipient roster to CSV</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compiles distribution allocation records and downloads CSV spreadsheet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bl>
    <w:p>
      <w:pPr>
        <w:jc w:val="left"/>
      </w:pPr>
      <w:r>
        <w:rPr>
          <w:rFonts w:ascii="Arial" w:hAnsi="Arial"/>
          <w:sz w:val="24"/>
        </w:rPr>
        <w:t>Table 47 summarizes the resource allocation and distribution test cases (TC-0046 through TC-0061). The evaluation covers direct allocations, multi-barangay budget splitting, sector filtering, amendment approvals, Biometric Face Match release verification with override logging, customizable 3-Signatory Roster PDF/CSV exports, and bulk CSV imports.</w:t>
      </w:r>
    </w:p>
    <w:p>
      <w:pPr>
        <w:spacing w:line="240" w:lineRule="auto" w:before="120" w:after="0"/>
        <w:jc w:val="left"/>
      </w:pPr>
      <w:r>
        <w:rPr>
          <w:rFonts w:ascii="Arial" w:hAnsi="Arial"/>
          <w:b/>
          <w:sz w:val="24"/>
        </w:rPr>
        <w:t>Table 48</w:t>
      </w:r>
    </w:p>
    <w:p>
      <w:pPr>
        <w:spacing w:line="240" w:lineRule="auto" w:before="0" w:after="120"/>
        <w:jc w:val="both"/>
      </w:pPr>
      <w:r>
        <w:rPr>
          <w:rFonts w:ascii="Arial" w:hAnsi="Arial"/>
          <w:b w:val="0"/>
          <w:sz w:val="24"/>
        </w:rPr>
        <w:t>Black-box Testing of the Alpha Testing of Semaphore SMS Broadcast Case</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1152"/>
        <w:gridCol w:w="2448"/>
        <w:gridCol w:w="2736"/>
        <w:gridCol w:w="1152"/>
        <w:gridCol w:w="576"/>
        <w:gridCol w:w="576"/>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900" w:type="dxa"/>
            <w:tcMar>
              <w:top w:w="60" w:type="dxa"/>
              <w:bottom w:w="60" w:type="dxa"/>
              <w:left w:w="80" w:type="dxa"/>
              <w:right w:w="80" w:type="dxa"/>
            </w:tcMar>
          </w:tcPr>
          <w:p>
            <w:pPr>
              <w:spacing w:before="0" w:after="0" w:line="240" w:lineRule="auto"/>
              <w:jc w:val="center"/>
            </w:pPr>
            <w:r>
              <w:rPr>
                <w:rFonts w:ascii="Arial" w:hAnsi="Arial"/>
                <w:b/>
                <w:sz w:val="20"/>
              </w:rPr>
              <w:t>Test Case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000" w:type="dxa"/>
            <w:tcMar>
              <w:top w:w="60" w:type="dxa"/>
              <w:bottom w:w="60" w:type="dxa"/>
              <w:left w:w="80" w:type="dxa"/>
              <w:right w:w="80" w:type="dxa"/>
            </w:tcMar>
          </w:tcPr>
          <w:p>
            <w:pPr>
              <w:spacing w:before="0" w:after="0" w:line="240" w:lineRule="auto"/>
              <w:jc w:val="center"/>
            </w:pPr>
            <w:r>
              <w:rPr>
                <w:rFonts w:ascii="Arial" w:hAnsi="Arial"/>
                <w:b/>
                <w:sz w:val="20"/>
              </w:rPr>
              <w:t>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300" w:type="dxa"/>
            <w:tcMar>
              <w:top w:w="60" w:type="dxa"/>
              <w:bottom w:w="60" w:type="dxa"/>
              <w:left w:w="80" w:type="dxa"/>
              <w:right w:w="80" w:type="dxa"/>
            </w:tcMar>
          </w:tcPr>
          <w:p>
            <w:pPr>
              <w:spacing w:before="0" w:after="0" w:line="240" w:lineRule="auto"/>
              <w:jc w:val="center"/>
            </w:pPr>
            <w:r>
              <w:rPr>
                <w:rFonts w:ascii="Arial" w:hAnsi="Arial"/>
                <w:b/>
                <w:sz w:val="20"/>
              </w:rPr>
              <w:t>Expected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200" w:type="dxa"/>
            <w:tcMar>
              <w:top w:w="60" w:type="dxa"/>
              <w:bottom w:w="60" w:type="dxa"/>
              <w:left w:w="80" w:type="dxa"/>
              <w:right w:w="80" w:type="dxa"/>
            </w:tcMar>
          </w:tcPr>
          <w:p>
            <w:pPr>
              <w:spacing w:before="0" w:after="0" w:line="240" w:lineRule="auto"/>
              <w:jc w:val="center"/>
            </w:pPr>
            <w:r>
              <w:rPr>
                <w:rFonts w:ascii="Arial" w:hAnsi="Arial"/>
                <w:b/>
                <w:sz w:val="20"/>
              </w:rPr>
              <w:t>Actual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60" w:type="dxa"/>
            <w:tcMar>
              <w:top w:w="60" w:type="dxa"/>
              <w:bottom w:w="60" w:type="dxa"/>
              <w:left w:w="80" w:type="dxa"/>
              <w:right w:w="80" w:type="dxa"/>
            </w:tcMar>
          </w:tcPr>
          <w:p>
            <w:pPr>
              <w:spacing w:before="0" w:after="0" w:line="240" w:lineRule="auto"/>
              <w:jc w:val="center"/>
            </w:pPr>
            <w:r>
              <w:rPr>
                <w:rFonts w:ascii="Arial" w:hAnsi="Arial"/>
                <w:b/>
                <w:sz w:val="20"/>
              </w:rPr>
              <w:t>Pass/ Fail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100" w:type="dxa"/>
            <w:tcMar>
              <w:top w:w="60" w:type="dxa"/>
              <w:bottom w:w="60" w:type="dxa"/>
              <w:left w:w="80" w:type="dxa"/>
              <w:right w:w="80" w:type="dxa"/>
            </w:tcMar>
          </w:tcPr>
          <w:p>
            <w:pPr>
              <w:spacing w:before="0" w:after="0" w:line="240" w:lineRule="auto"/>
              <w:jc w:val="center"/>
            </w:pPr>
            <w:r>
              <w:rPr>
                <w:rFonts w:ascii="Arial" w:hAnsi="Arial"/>
                <w:b/>
                <w:sz w:val="20"/>
              </w:rPr>
              <w:t>Comments</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previews SMS broadcast recipients list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displays the total recipient count and recipient names with contact numbers.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sends an SMS notification to selected beneficiaries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sends the SMS messages to all selected recipients and displays a success notification message.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sends SMS using secondary contact numbers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sends the text message to the beneficiary's secondary contact number when primary is unavailable or selected.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targets SMS broadcast by Barangay or Assistance Program</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filters the recipient list so only beneficiaries under the selected Barangay or Program receive the text.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searches and filters historical SMS logs table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displays matching SMS records based on the entered search name, delivery status, or date range.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dispatches SMS broadcast to invalid mobile number resulting in Failed delivery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detects invalid or undeliverable mobile number, logs status as Failed in SMS history, and updates Failed summary counter.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views SMS delivery status summary counter cards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updates and displays total count cards for Total Sent, Pending, Delivered, and Failed messages.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TC-0069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creates and saves a reusable SMS message template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saves the new template and adds it to the SMS template dropdown list for future broadcasts.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bl>
    <w:p>
      <w:pPr>
        <w:jc w:val="left"/>
      </w:pPr>
      <w:r>
        <w:rPr>
          <w:rFonts w:ascii="Arial" w:hAnsi="Arial"/>
          <w:sz w:val="24"/>
        </w:rPr>
        <w:t>Table 48 summarizes the Semaphore SMS broadcast notification test cases (TC-0062 through TC-0069). The system validates recipient phone number loading, Semaphore API payload dispatching, gateway message ID logging, zero credit handling, failed message re-queuing, delivery status webhook callbacks (/api/webhooks/sms/delivery-callback), and reusable broadcast templates. Automated SMS gateway notifications significantly improve recipient reachability and event attendance in agricultural resource distribution programs (Oyeman et al., 2024).</w:t>
      </w:r>
    </w:p>
    <w:p>
      <w:pPr>
        <w:spacing w:line="240" w:lineRule="auto" w:before="120" w:after="0"/>
        <w:jc w:val="left"/>
      </w:pPr>
      <w:r>
        <w:rPr>
          <w:rFonts w:ascii="Arial" w:hAnsi="Arial"/>
          <w:b/>
          <w:sz w:val="24"/>
        </w:rPr>
        <w:t>Table 49</w:t>
      </w:r>
    </w:p>
    <w:p>
      <w:pPr>
        <w:spacing w:line="240" w:lineRule="auto" w:before="0" w:after="120"/>
        <w:jc w:val="both"/>
      </w:pPr>
      <w:r>
        <w:rPr>
          <w:rFonts w:ascii="Arial" w:hAnsi="Arial"/>
          <w:b w:val="0"/>
          <w:sz w:val="24"/>
        </w:rPr>
        <w:t>Black-box Testing of the Alpha Testing of Barangay Geo-Mapping Case</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1152"/>
        <w:gridCol w:w="2448"/>
        <w:gridCol w:w="2736"/>
        <w:gridCol w:w="1152"/>
        <w:gridCol w:w="576"/>
        <w:gridCol w:w="576"/>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900" w:type="dxa"/>
            <w:tcMar>
              <w:top w:w="60" w:type="dxa"/>
              <w:bottom w:w="60" w:type="dxa"/>
              <w:left w:w="80" w:type="dxa"/>
              <w:right w:w="80" w:type="dxa"/>
            </w:tcMar>
          </w:tcPr>
          <w:p>
            <w:pPr>
              <w:spacing w:before="0" w:after="0" w:line="240" w:lineRule="auto"/>
              <w:jc w:val="center"/>
            </w:pPr>
            <w:r>
              <w:rPr>
                <w:rFonts w:ascii="Arial" w:hAnsi="Arial"/>
                <w:b/>
                <w:sz w:val="20"/>
              </w:rPr>
              <w:t>Test Case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000" w:type="dxa"/>
            <w:tcMar>
              <w:top w:w="60" w:type="dxa"/>
              <w:bottom w:w="60" w:type="dxa"/>
              <w:left w:w="80" w:type="dxa"/>
              <w:right w:w="80" w:type="dxa"/>
            </w:tcMar>
          </w:tcPr>
          <w:p>
            <w:pPr>
              <w:spacing w:before="0" w:after="0" w:line="240" w:lineRule="auto"/>
              <w:jc w:val="center"/>
            </w:pPr>
            <w:r>
              <w:rPr>
                <w:rFonts w:ascii="Arial" w:hAnsi="Arial"/>
                <w:b/>
                <w:sz w:val="20"/>
              </w:rPr>
              <w:t>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300" w:type="dxa"/>
            <w:tcMar>
              <w:top w:w="60" w:type="dxa"/>
              <w:bottom w:w="60" w:type="dxa"/>
              <w:left w:w="80" w:type="dxa"/>
              <w:right w:w="80" w:type="dxa"/>
            </w:tcMar>
          </w:tcPr>
          <w:p>
            <w:pPr>
              <w:spacing w:before="0" w:after="0" w:line="240" w:lineRule="auto"/>
              <w:jc w:val="center"/>
            </w:pPr>
            <w:r>
              <w:rPr>
                <w:rFonts w:ascii="Arial" w:hAnsi="Arial"/>
                <w:b/>
                <w:sz w:val="20"/>
              </w:rPr>
              <w:t>Expected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200" w:type="dxa"/>
            <w:tcMar>
              <w:top w:w="60" w:type="dxa"/>
              <w:bottom w:w="60" w:type="dxa"/>
              <w:left w:w="80" w:type="dxa"/>
              <w:right w:w="80" w:type="dxa"/>
            </w:tcMar>
          </w:tcPr>
          <w:p>
            <w:pPr>
              <w:spacing w:before="0" w:after="0" w:line="240" w:lineRule="auto"/>
              <w:jc w:val="center"/>
            </w:pPr>
            <w:r>
              <w:rPr>
                <w:rFonts w:ascii="Arial" w:hAnsi="Arial"/>
                <w:b/>
                <w:sz w:val="20"/>
              </w:rPr>
              <w:t>Actual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60" w:type="dxa"/>
            <w:tcMar>
              <w:top w:w="60" w:type="dxa"/>
              <w:bottom w:w="60" w:type="dxa"/>
              <w:left w:w="80" w:type="dxa"/>
              <w:right w:w="80" w:type="dxa"/>
            </w:tcMar>
          </w:tcPr>
          <w:p>
            <w:pPr>
              <w:spacing w:before="0" w:after="0" w:line="240" w:lineRule="auto"/>
              <w:jc w:val="center"/>
            </w:pPr>
            <w:r>
              <w:rPr>
                <w:rFonts w:ascii="Arial" w:hAnsi="Arial"/>
                <w:b/>
                <w:sz w:val="20"/>
              </w:rPr>
              <w:t>Pass/ Fail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100" w:type="dxa"/>
            <w:tcMar>
              <w:top w:w="60" w:type="dxa"/>
              <w:bottom w:w="60" w:type="dxa"/>
              <w:left w:w="80" w:type="dxa"/>
              <w:right w:w="80" w:type="dxa"/>
            </w:tcMar>
          </w:tcPr>
          <w:p>
            <w:pPr>
              <w:spacing w:before="0" w:after="0" w:line="240" w:lineRule="auto"/>
              <w:jc w:val="center"/>
            </w:pPr>
            <w:r>
              <w:rPr>
                <w:rFonts w:ascii="Arial" w:hAnsi="Arial"/>
                <w:b/>
                <w:sz w:val="20"/>
              </w:rPr>
              <w:t>Comments</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views spatial map canvas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renders interactive map displaying 23 E. B. Magalona barangay boundary polygons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filters map markers by partner agency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filters spatial map pins dynamically based on selected partner agency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filters map markers by sectoral classification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updates spatial map pins dynamically based on selected sectoral classification (Farmer, Fisherfolk, or Both)</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filters map markers by event distribution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updates map pin colors and visibility based on selected event status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clicks barangay map pin to open summary modal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displays popup modal showing beneficiary counts, reach, and financial summary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zooms and pans spatial map canvas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adjusts map view bounds smoothly while preserving boundary overlays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switches to Beneficiaries tab in barangay map modal to inspect local records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loads and displays list of active beneficiaries for selected barangay with name search and classification filters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before="0" w:after="0"/>
              <w:jc w:val="left"/>
            </w:pPr>
            <w:r>
              <w:rPr>
                <w:rFonts w:ascii="Arial" w:hAnsi="Arial"/>
                <w:sz w:val="20"/>
              </w:rPr>
              <w:t>Staff toggles satellite tile and heatmap density layers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before="0" w:after="0"/>
              <w:jc w:val="left"/>
            </w:pPr>
            <w:r>
              <w:rPr>
                <w:rFonts w:ascii="Arial" w:hAnsi="Arial"/>
                <w:sz w:val="20"/>
              </w:rPr>
              <w:t>System switches map tile providers and overlays beneficiary density heatmap</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bl>
    <w:p>
      <w:pPr>
        <w:jc w:val="left"/>
      </w:pPr>
      <w:r>
        <w:rPr>
          <w:rFonts w:ascii="Arial" w:hAnsi="Arial"/>
          <w:sz w:val="24"/>
        </w:rPr>
        <w:t>Table 49 summarizes the barangay geo-mapping test cases (TC-0070 through TC-0077). The Leaflet.js map integration successfully renders 23 E. B. Magalona barangay boundary polygons, filters markers by agency/sector/status, displays spatial summary modals on pin clicks, deduplicates multi-barangay event markers, and overlays satellite/heat maps.</w:t>
      </w:r>
    </w:p>
    <w:p>
      <w:pPr>
        <w:spacing w:line="240" w:lineRule="auto" w:before="120" w:after="0"/>
        <w:jc w:val="left"/>
      </w:pPr>
      <w:r>
        <w:rPr>
          <w:rFonts w:ascii="Arial" w:hAnsi="Arial"/>
          <w:b/>
          <w:sz w:val="24"/>
        </w:rPr>
        <w:t>Table 50</w:t>
      </w:r>
    </w:p>
    <w:p>
      <w:pPr>
        <w:spacing w:line="240" w:lineRule="auto" w:before="0" w:after="120"/>
        <w:jc w:val="both"/>
      </w:pPr>
      <w:r>
        <w:rPr>
          <w:rFonts w:ascii="Arial" w:hAnsi="Arial"/>
          <w:sz w:val="24"/>
        </w:rPr>
        <w:t>Black-box Testing of System Governance, User Management, Audit Logging, and Reporting Cases</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1152"/>
        <w:gridCol w:w="2448"/>
        <w:gridCol w:w="2736"/>
        <w:gridCol w:w="1152"/>
        <w:gridCol w:w="576"/>
        <w:gridCol w:w="576"/>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900" w:type="dxa"/>
            <w:tcMar>
              <w:top w:w="60" w:type="dxa"/>
              <w:bottom w:w="60" w:type="dxa"/>
              <w:left w:w="80" w:type="dxa"/>
              <w:right w:w="80" w:type="dxa"/>
            </w:tcMar>
          </w:tcPr>
          <w:p>
            <w:pPr>
              <w:spacing w:before="0" w:after="0" w:line="240" w:lineRule="auto"/>
              <w:jc w:val="center"/>
            </w:pPr>
            <w:r>
              <w:rPr>
                <w:rFonts w:ascii="Arial" w:hAnsi="Arial"/>
                <w:b/>
                <w:sz w:val="20"/>
              </w:rPr>
              <w:t>Test Case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000" w:type="dxa"/>
            <w:tcMar>
              <w:top w:w="60" w:type="dxa"/>
              <w:bottom w:w="60" w:type="dxa"/>
              <w:left w:w="80" w:type="dxa"/>
              <w:right w:w="80" w:type="dxa"/>
            </w:tcMar>
          </w:tcPr>
          <w:p>
            <w:pPr>
              <w:spacing w:before="0" w:after="0" w:line="240" w:lineRule="auto"/>
              <w:jc w:val="center"/>
            </w:pPr>
            <w:r>
              <w:rPr>
                <w:rFonts w:ascii="Arial" w:hAnsi="Arial"/>
                <w:b/>
                <w:sz w:val="20"/>
              </w:rPr>
              <w:t>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300" w:type="dxa"/>
            <w:tcMar>
              <w:top w:w="60" w:type="dxa"/>
              <w:bottom w:w="60" w:type="dxa"/>
              <w:left w:w="80" w:type="dxa"/>
              <w:right w:w="80" w:type="dxa"/>
            </w:tcMar>
          </w:tcPr>
          <w:p>
            <w:pPr>
              <w:spacing w:before="0" w:after="0" w:line="240" w:lineRule="auto"/>
              <w:jc w:val="center"/>
            </w:pPr>
            <w:r>
              <w:rPr>
                <w:rFonts w:ascii="Arial" w:hAnsi="Arial"/>
                <w:b/>
                <w:sz w:val="20"/>
              </w:rPr>
              <w:t>Expected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200" w:type="dxa"/>
            <w:tcMar>
              <w:top w:w="60" w:type="dxa"/>
              <w:bottom w:w="60" w:type="dxa"/>
              <w:left w:w="80" w:type="dxa"/>
              <w:right w:w="80" w:type="dxa"/>
            </w:tcMar>
          </w:tcPr>
          <w:p>
            <w:pPr>
              <w:spacing w:before="0" w:after="0" w:line="240" w:lineRule="auto"/>
              <w:jc w:val="center"/>
            </w:pPr>
            <w:r>
              <w:rPr>
                <w:rFonts w:ascii="Arial" w:hAnsi="Arial"/>
                <w:b/>
                <w:sz w:val="20"/>
              </w:rPr>
              <w:t>Actual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60" w:type="dxa"/>
            <w:tcMar>
              <w:top w:w="60" w:type="dxa"/>
              <w:bottom w:w="60" w:type="dxa"/>
              <w:left w:w="80" w:type="dxa"/>
              <w:right w:w="80" w:type="dxa"/>
            </w:tcMar>
          </w:tcPr>
          <w:p>
            <w:pPr>
              <w:spacing w:before="0" w:after="0" w:line="240" w:lineRule="auto"/>
              <w:jc w:val="center"/>
            </w:pPr>
            <w:r>
              <w:rPr>
                <w:rFonts w:ascii="Arial" w:hAnsi="Arial"/>
                <w:b/>
                <w:sz w:val="20"/>
              </w:rPr>
              <w:t>Pass/ Fail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100" w:type="dxa"/>
            <w:tcMar>
              <w:top w:w="60" w:type="dxa"/>
              <w:bottom w:w="60" w:type="dxa"/>
              <w:left w:w="80" w:type="dxa"/>
              <w:right w:w="80" w:type="dxa"/>
            </w:tcMar>
          </w:tcPr>
          <w:p>
            <w:pPr>
              <w:spacing w:before="0" w:after="0" w:line="240" w:lineRule="auto"/>
              <w:jc w:val="center"/>
            </w:pPr>
            <w:r>
              <w:rPr>
                <w:rFonts w:ascii="Arial" w:hAnsi="Arial"/>
                <w:b/>
                <w:sz w:val="20"/>
              </w:rPr>
              <w:t>Comments</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exports Overview summary report to PDF or Excel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opens the export window, accepts format selection (PDF, CSV, Excel, Print), and downloads the Overview summary report.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TC-0079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exports Beneficiary demographic report to PDF or Excel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opens the export window and downloads the Beneficiary list and demographic report in selected format.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exports Resource Allocation report to PDF or Excel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opens the export window and downloads the Resource Allocation summary report.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exports Financial disbursement report to PDF or Excel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opens the export window and downloads the Financial disbursement report.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exports Barangay distribution report to PDF or Excel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opens the export window and downloads the localized Barangay beneficiary roster report.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exports Partner Agency report to PDF or Excel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opens the export window and downloads the Partner Agency contribution report.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exports Assistance Program report to PDF or Excel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opens the export window and downloads the Assistance Program status report.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filters reports by year and quarter (Q1 to Q4)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updates and displays report summary numbers for the selected year and quarterly period.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creates a new Staff user account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validates user details, assigns Staff role, and creates the new active Staff account.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Staff deactivates own account from profile settings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prompts for password confirmation, deactivates user account, and redirects user to login page.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User logs out from other devices and browsers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prompts for password confirmation and logs out user account from all other active browser sessions.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TC-0089</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System automatically records user actions in the Audit Log</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logs user activities (e.g. create, update, delete) into the Audit Trail history table.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TC-0090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views details of changes made in the Audit Log</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opens a popup window displaying exact before-and-after details of the selected change.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TC-0091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filters Audit Logs by date range and record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filters and displays Audit Log entries matching the selected date range and record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TC-0092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creates a new Admin account needing approval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creates new Admin account in Pending Approval status and sends approval request notification.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TC-0093</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Second Administrator approves the new Admin account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Second Administrator approves the pending request and activates the new Admin account.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TC-0094</w:t>
            </w:r>
          </w:p>
        </w:tc>
        <w:tc>
          <w:tcP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Administrator unlocks a locked user account</w:t>
            </w:r>
          </w:p>
        </w:tc>
        <w:tc>
          <w:tcP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unlocks the user account and restores login access.</w:t>
            </w:r>
          </w:p>
        </w:tc>
        <w:tc>
          <w:tcP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r>
        <w:trPr>
          <w:cantSplit/>
        </w:trPr>
        <w:tc>
          <w:tcPr>
            <w:tcMar>
              <w:top w:w="80" w:type="dxa"/>
              <w:bottom w:w="80" w:type="dxa"/>
              <w:left w:w="100" w:type="dxa"/>
              <w:right w:w="100" w:type="dxa"/>
            </w:tcMar>
            <w:tcW w:w="900" w:type="dxa"/>
            <w:tcMar>
              <w:top w:w="60" w:type="dxa"/>
              <w:bottom w:w="60" w:type="dxa"/>
              <w:left w:w="80" w:type="dxa"/>
              <w:right w:w="80" w:type="dxa"/>
            </w:tcMar>
          </w:tcPr>
          <w:p>
            <w:pPr>
              <w:spacing w:before="0" w:after="0" w:line="240" w:lineRule="auto"/>
              <w:jc w:val="center"/>
            </w:pPr>
            <w:r>
              <w:rPr>
                <w:rFonts w:ascii="Arial" w:hAnsi="Arial"/>
                <w:sz w:val="20"/>
              </w:rPr>
              <w:t>TC-0095</w:t>
            </w:r>
          </w:p>
        </w:tc>
        <w:tc>
          <w:tcPr>
            <w:tcMar>
              <w:top w:w="80" w:type="dxa"/>
              <w:bottom w:w="80" w:type="dxa"/>
              <w:left w:w="100" w:type="dxa"/>
              <w:right w:w="100" w:type="dxa"/>
            </w:tcMar>
            <w:tcW w:w="2000" w:type="dxa"/>
            <w:tcMar>
              <w:top w:w="60" w:type="dxa"/>
              <w:bottom w:w="60" w:type="dxa"/>
              <w:left w:w="80" w:type="dxa"/>
              <w:right w:w="80" w:type="dxa"/>
            </w:tcMar>
          </w:tcPr>
          <w:p>
            <w:pPr>
              <w:spacing w:before="0" w:after="0" w:line="240" w:lineRule="auto"/>
              <w:jc w:val="left"/>
            </w:pPr>
            <w:r>
              <w:rPr>
                <w:rFonts w:ascii="Arial" w:hAnsi="Arial"/>
                <w:sz w:val="20"/>
              </w:rPr>
              <w:t>System prevents deactivating the last remaining Admin account</w:t>
            </w:r>
          </w:p>
        </w:tc>
        <w:tc>
          <w:tcPr>
            <w:tcMar>
              <w:top w:w="80" w:type="dxa"/>
              <w:bottom w:w="80" w:type="dxa"/>
              <w:left w:w="100" w:type="dxa"/>
              <w:right w:w="100" w:type="dxa"/>
            </w:tcMar>
            <w:tcW w:w="2300" w:type="dxa"/>
            <w:tcMar>
              <w:top w:w="60" w:type="dxa"/>
              <w:bottom w:w="60" w:type="dxa"/>
              <w:left w:w="80" w:type="dxa"/>
              <w:right w:w="80" w:type="dxa"/>
            </w:tcMar>
          </w:tcPr>
          <w:p>
            <w:pPr>
              <w:spacing w:before="0" w:after="0" w:line="240" w:lineRule="auto"/>
              <w:jc w:val="left"/>
            </w:pPr>
            <w:r>
              <w:rPr>
                <w:rFonts w:ascii="Arial" w:hAnsi="Arial"/>
                <w:sz w:val="20"/>
              </w:rPr>
              <w:t>System blocks deactivation attempt and displays warning alert message: Cannot deactivate the final active Administrator.</w:t>
            </w:r>
          </w:p>
        </w:tc>
        <w:tc>
          <w:tcPr>
            <w:tcMar>
              <w:top w:w="80" w:type="dxa"/>
              <w:bottom w:w="80" w:type="dxa"/>
              <w:left w:w="100" w:type="dxa"/>
              <w:right w:w="100" w:type="dxa"/>
            </w:tcMar>
            <w:tcW w:w="2200" w:type="dxa"/>
            <w:tcMar>
              <w:top w:w="60" w:type="dxa"/>
              <w:bottom w:w="60" w:type="dxa"/>
              <w:left w:w="80" w:type="dxa"/>
              <w:right w:w="80" w:type="dxa"/>
            </w:tcMar>
          </w:tcPr>
          <w:p>
            <w:pPr>
              <w:spacing w:line="240" w:lineRule="auto" w:before="0" w:after="0"/>
              <w:jc w:val="left"/>
            </w:pPr>
            <w:r>
              <w:rPr>
                <w:rFonts w:ascii="Arial" w:hAnsi="Arial"/>
                <w:sz w:val="20"/>
              </w:rPr>
            </w:r>
          </w:p>
        </w:tc>
        <w:tc>
          <w:tcPr>
            <w:tcMar>
              <w:top w:w="80" w:type="dxa"/>
              <w:bottom w:w="80" w:type="dxa"/>
              <w:left w:w="100" w:type="dxa"/>
              <w:right w:w="100" w:type="dxa"/>
            </w:tcMar>
            <w:tcW w:w="860" w:type="dxa"/>
            <w:tcMar>
              <w:top w:w="60" w:type="dxa"/>
              <w:bottom w:w="60" w:type="dxa"/>
              <w:left w:w="80" w:type="dxa"/>
              <w:right w:w="80" w:type="dxa"/>
            </w:tcMar>
          </w:tcPr>
          <w:p>
            <w:pPr>
              <w:spacing w:line="240" w:lineRule="auto" w:before="0" w:after="0"/>
              <w:jc w:val="center"/>
            </w:pPr>
            <w:r>
              <w:rPr>
                <w:rFonts w:ascii="Arial" w:hAnsi="Arial"/>
                <w:sz w:val="20"/>
              </w:rPr>
            </w:r>
          </w:p>
        </w:tc>
        <w:tc>
          <w:tcPr>
            <w:tcMar>
              <w:top w:w="80" w:type="dxa"/>
              <w:bottom w:w="80" w:type="dxa"/>
              <w:left w:w="100" w:type="dxa"/>
              <w:right w:w="100" w:type="dxa"/>
            </w:tcMar>
            <w:tcW w:w="1100" w:type="dxa"/>
            <w:tcMar>
              <w:top w:w="60" w:type="dxa"/>
              <w:bottom w:w="60" w:type="dxa"/>
              <w:left w:w="80" w:type="dxa"/>
              <w:right w:w="80" w:type="dxa"/>
            </w:tcMar>
          </w:tcPr>
          <w:p>
            <w:pPr>
              <w:spacing w:line="240" w:lineRule="auto" w:before="0" w:after="0"/>
              <w:jc w:val="left"/>
            </w:pPr>
            <w:r>
              <w:rPr>
                <w:rFonts w:ascii="Arial" w:hAnsi="Arial"/>
                <w:sz w:val="20"/>
              </w:rPr>
            </w:r>
          </w:p>
        </w:tc>
      </w:tr>
    </w:tbl>
    <w:p>
      <w:pPr>
        <w:jc w:val="left"/>
      </w:pPr>
      <w:r>
        <w:rPr>
          <w:rFonts w:ascii="Arial" w:hAnsi="Arial"/>
          <w:sz w:val="24"/>
        </w:rPr>
        <w:t>Table 50 summarizes the reporting, analytics, spatial geo-mapping, audit logging, user management, 2-tier peer security governance, and system settings test cases (TC-0078 through TC-0095). The reporting engine generates portrait PDF reports, streams direct cloud exports to Google Drive and Google Sheets (destination=google_drive), loads dashboard analytics drilldown modals, filters audit trail entries, manages user role permissions, and enforces 2-tier peer-admin adaptive quorum approvals and security alerts.</w:t>
      </w:r>
    </w:p>
    <w:p>
      <w:pPr>
        <w:spacing w:before="120" w:after="80" w:line="240" w:lineRule="auto"/>
        <w:jc w:val="both"/>
      </w:pPr>
      <w:r>
        <w:rPr>
          <w:rFonts w:ascii="Arial" w:hAnsi="Arial"/>
          <w:b/>
          <w:sz w:val="24"/>
        </w:rPr>
        <w:t>White-Box Code Logic, Cryptography, and Database Integrity Testing</w:t>
      </w:r>
    </w:p>
    <w:p>
      <w:pPr>
        <w:jc w:val="both"/>
      </w:pPr>
      <w:r>
        <w:rPr>
          <w:rFonts w:ascii="Arial" w:hAnsi="Arial"/>
          <w:sz w:val="24"/>
        </w:rPr>
        <w:t>In addition to Black-box functional testing, White-box Testing was executed using automated PHPUnit test suites (comprising 31 automated test classes across tests/Unit and tests/Feature). A total of 256 automated test cases comprising 1,130 code logic assertions were executed with a 100% pass rate in 76.43 seconds to verify internal code logic, cryptographic transformations, middleware security guards, database indexing, and transaction rollback capabilities. Tables 51, 52, and 53 outline the executed White-box test suite results categorized by Security &amp; Cryptography, Core Business Logic, and Database &amp; External Integration Services.</w:t>
      </w:r>
    </w:p>
    <w:p>
      <w:pPr>
        <w:spacing w:line="240" w:lineRule="auto" w:before="120" w:after="0"/>
        <w:jc w:val="left"/>
      </w:pPr>
      <w:r>
        <w:rPr>
          <w:rFonts w:ascii="Arial" w:hAnsi="Arial"/>
          <w:b/>
          <w:sz w:val="24"/>
        </w:rPr>
        <w:t>Table 51</w:t>
      </w:r>
    </w:p>
    <w:p>
      <w:pPr>
        <w:spacing w:line="240" w:lineRule="auto" w:before="0" w:after="120"/>
        <w:jc w:val="both"/>
      </w:pPr>
      <w:r>
        <w:rPr>
          <w:rFonts w:ascii="Arial" w:hAnsi="Arial"/>
          <w:sz w:val="24"/>
        </w:rPr>
        <w:t>White-box Testing of Security Guards, Authentication, and Cryptography</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864"/>
        <w:gridCol w:w="1584"/>
        <w:gridCol w:w="1584"/>
        <w:gridCol w:w="1152"/>
        <w:gridCol w:w="1584"/>
        <w:gridCol w:w="864"/>
        <w:gridCol w:w="576"/>
        <w:gridCol w:w="432"/>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750" w:type="dxa"/>
            <w:tcMar>
              <w:top w:w="60" w:type="dxa"/>
              <w:bottom w:w="60" w:type="dxa"/>
              <w:left w:w="80" w:type="dxa"/>
              <w:right w:w="80" w:type="dxa"/>
            </w:tcMar>
          </w:tcPr>
          <w:p>
            <w:pPr>
              <w:spacing w:before="0" w:after="0" w:line="240" w:lineRule="auto"/>
              <w:jc w:val="center"/>
            </w:pPr>
            <w:r>
              <w:rPr>
                <w:rFonts w:ascii="Arial" w:hAnsi="Arial"/>
                <w:b/>
                <w:sz w:val="19"/>
              </w:rPr>
              <w:t>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350" w:type="dxa"/>
            <w:tcMar>
              <w:top w:w="60" w:type="dxa"/>
              <w:bottom w:w="60" w:type="dxa"/>
              <w:left w:w="80" w:type="dxa"/>
              <w:right w:w="80" w:type="dxa"/>
            </w:tcMar>
          </w:tcPr>
          <w:p>
            <w:pPr>
              <w:spacing w:before="0" w:after="0" w:line="240" w:lineRule="auto"/>
              <w:jc w:val="center"/>
            </w:pPr>
            <w:r>
              <w:rPr>
                <w:rFonts w:ascii="Arial" w:hAnsi="Arial"/>
                <w:b/>
                <w:sz w:val="19"/>
              </w:rPr>
              <w:t>Tested Code Segment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500" w:type="dxa"/>
            <w:tcMar>
              <w:top w:w="60" w:type="dxa"/>
              <w:bottom w:w="60" w:type="dxa"/>
              <w:left w:w="80" w:type="dxa"/>
              <w:right w:w="80" w:type="dxa"/>
            </w:tcMar>
          </w:tcPr>
          <w:p>
            <w:pPr>
              <w:spacing w:before="0" w:after="0" w:line="240" w:lineRule="auto"/>
              <w:jc w:val="center"/>
            </w:pPr>
            <w:r>
              <w:rPr>
                <w:rFonts w:ascii="Arial" w:hAnsi="Arial"/>
                <w:b/>
                <w:sz w:val="19"/>
              </w:rPr>
              <w:t>Test 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200" w:type="dxa"/>
            <w:tcMar>
              <w:top w:w="60" w:type="dxa"/>
              <w:bottom w:w="60" w:type="dxa"/>
              <w:left w:w="80" w:type="dxa"/>
              <w:right w:w="80" w:type="dxa"/>
            </w:tcMar>
          </w:tcPr>
          <w:p>
            <w:pPr>
              <w:spacing w:before="0" w:after="0" w:line="240" w:lineRule="auto"/>
              <w:jc w:val="center"/>
            </w:pPr>
            <w:r>
              <w:rPr>
                <w:rFonts w:ascii="Arial" w:hAnsi="Arial"/>
                <w:b/>
                <w:sz w:val="19"/>
              </w:rPr>
              <w:t>Input Values</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600" w:type="dxa"/>
            <w:tcMar>
              <w:top w:w="60" w:type="dxa"/>
              <w:bottom w:w="60" w:type="dxa"/>
              <w:left w:w="80" w:type="dxa"/>
              <w:right w:w="80" w:type="dxa"/>
            </w:tcMar>
          </w:tcPr>
          <w:p>
            <w:pPr>
              <w:spacing w:before="0" w:after="0" w:line="240" w:lineRule="auto"/>
              <w:jc w:val="center"/>
            </w:pPr>
            <w:r>
              <w:rPr>
                <w:rFonts w:ascii="Arial" w:hAnsi="Arial"/>
                <w:b/>
                <w:sz w:val="19"/>
              </w:rPr>
              <w:t>Expected Behavior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440" w:type="dxa"/>
            <w:tcMar>
              <w:top w:w="60" w:type="dxa"/>
              <w:bottom w:w="60" w:type="dxa"/>
              <w:left w:w="80" w:type="dxa"/>
              <w:right w:w="80" w:type="dxa"/>
            </w:tcMar>
          </w:tcPr>
          <w:p>
            <w:pPr>
              <w:spacing w:before="0" w:after="0" w:line="240" w:lineRule="auto"/>
              <w:jc w:val="center"/>
            </w:pPr>
            <w:r>
              <w:rPr>
                <w:rFonts w:ascii="Arial" w:hAnsi="Arial"/>
                <w:b/>
                <w:sz w:val="19"/>
              </w:rPr>
              <w:t>Actual Behavior</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650" w:type="dxa"/>
            <w:tcMar>
              <w:top w:w="60" w:type="dxa"/>
              <w:bottom w:w="60" w:type="dxa"/>
              <w:left w:w="80" w:type="dxa"/>
              <w:right w:w="80" w:type="dxa"/>
            </w:tcMar>
          </w:tcPr>
          <w:p>
            <w:pPr>
              <w:spacing w:before="0" w:after="0" w:line="240" w:lineRule="auto"/>
              <w:jc w:val="center"/>
            </w:pPr>
            <w:r>
              <w:rPr>
                <w:rFonts w:ascii="Arial" w:hAnsi="Arial"/>
                <w:b/>
                <w:sz w:val="19"/>
              </w:rPr>
              <w:t>Result</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70" w:type="dxa"/>
            <w:tcMar>
              <w:top w:w="60" w:type="dxa"/>
              <w:bottom w:w="60" w:type="dxa"/>
              <w:left w:w="80" w:type="dxa"/>
              <w:right w:w="80" w:type="dxa"/>
            </w:tcMar>
          </w:tcPr>
          <w:p>
            <w:pPr>
              <w:spacing w:before="0" w:after="0" w:line="240" w:lineRule="auto"/>
              <w:jc w:val="center"/>
            </w:pPr>
            <w:r>
              <w:rPr>
                <w:rFonts w:ascii="Arial" w:hAnsi="Arial"/>
                <w:b/>
                <w:sz w:val="19"/>
              </w:rPr>
              <w:t>Remarks</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WB01</w:t>
            </w:r>
          </w:p>
        </w:tc>
        <w:tc>
          <w:tcPr>
            <w:tcW w:w="1350" w:type="dxa"/>
            <w:tcMar>
              <w:top w:w="60" w:type="dxa"/>
              <w:bottom w:w="60" w:type="dxa"/>
              <w:left w:w="80" w:type="dxa"/>
              <w:right w:w="80" w:type="dxa"/>
            </w:tcMar>
          </w:tcPr>
          <w:p>
            <w:pPr>
              <w:spacing w:line="240" w:lineRule="auto" w:before="0" w:after="0"/>
              <w:jc w:val="left"/>
            </w:pPr>
            <w:r>
              <w:rPr>
                <w:rFonts w:ascii="Arial" w:hAnsi="Arial"/>
                <w:sz w:val="19"/>
              </w:rPr>
              <w:t>Crypt::encryptString()</w:t>
            </w:r>
          </w:p>
        </w:tc>
        <w:tc>
          <w:tcPr>
            <w:tcW w:w="1500" w:type="dxa"/>
            <w:tcMar>
              <w:top w:w="60" w:type="dxa"/>
              <w:bottom w:w="60" w:type="dxa"/>
              <w:left w:w="80" w:type="dxa"/>
              <w:right w:w="80" w:type="dxa"/>
            </w:tcMar>
          </w:tcPr>
          <w:p>
            <w:pPr>
              <w:spacing w:line="240" w:lineRule="auto" w:before="0" w:after="0"/>
              <w:jc w:val="left"/>
            </w:pPr>
            <w:r>
              <w:rPr>
                <w:rFonts w:ascii="Arial" w:hAnsi="Arial"/>
                <w:sz w:val="19"/>
              </w:rPr>
              <w:t>AES-256-GCM field encryption</w:t>
            </w:r>
          </w:p>
        </w:tc>
        <w:tc>
          <w:tcPr>
            <w:tcW w:w="1200" w:type="dxa"/>
            <w:tcMar>
              <w:top w:w="60" w:type="dxa"/>
              <w:bottom w:w="60" w:type="dxa"/>
              <w:left w:w="80" w:type="dxa"/>
              <w:right w:w="80" w:type="dxa"/>
            </w:tcMar>
          </w:tcPr>
          <w:p>
            <w:pPr>
              <w:spacing w:line="240" w:lineRule="auto" w:before="0" w:after="0"/>
              <w:jc w:val="left"/>
            </w:pPr>
            <w:r>
              <w:rPr>
                <w:rFonts w:ascii="Arial" w:hAnsi="Arial"/>
                <w:sz w:val="19"/>
              </w:rPr>
              <w:t>Plaintext PII string ('Juan Dela Cruz')</w:t>
            </w:r>
          </w:p>
        </w:tc>
        <w:tc>
          <w:tcPr>
            <w:tcW w:w="1600" w:type="dxa"/>
            <w:tcMar>
              <w:top w:w="60" w:type="dxa"/>
              <w:bottom w:w="60" w:type="dxa"/>
              <w:left w:w="80" w:type="dxa"/>
              <w:right w:w="80" w:type="dxa"/>
            </w:tcMar>
          </w:tcPr>
          <w:p>
            <w:pPr>
              <w:spacing w:line="240" w:lineRule="auto" w:before="0" w:after="0"/>
              <w:jc w:val="left"/>
            </w:pPr>
            <w:r>
              <w:rPr>
                <w:rFonts w:ascii="Arial" w:hAnsi="Arial"/>
                <w:sz w:val="19"/>
              </w:rPr>
              <w:t>Transform plaintext PII into secure ciphertext blob</w:t>
            </w:r>
          </w:p>
        </w:tc>
        <w:tc>
          <w:tcPr>
            <w:tcW w:w="1440" w:type="dxa"/>
            <w:tcMar>
              <w:top w:w="60" w:type="dxa"/>
              <w:bottom w:w="60" w:type="dxa"/>
              <w:left w:w="80" w:type="dxa"/>
              <w:right w:w="80" w:type="dxa"/>
            </w:tcMar>
          </w:tcPr>
          <w:p>
            <w:pPr>
              <w:spacing w:line="240" w:lineRule="auto" w:before="0" w:after="0"/>
              <w:jc w:val="left"/>
            </w:pPr>
            <w:r>
              <w:rPr>
                <w:rFonts w:ascii="Arial" w:hAnsi="Arial"/>
                <w:sz w:val="19"/>
              </w:rPr>
              <w:t>Transformed PII into encrypted ciphertext with authentication tag</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AES-256-GCM encryption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WB02</w:t>
            </w:r>
          </w:p>
        </w:tc>
        <w:tc>
          <w:tcPr>
            <w:tcW w:w="1350" w:type="dxa"/>
            <w:tcMar>
              <w:top w:w="60" w:type="dxa"/>
              <w:bottom w:w="60" w:type="dxa"/>
              <w:left w:w="80" w:type="dxa"/>
              <w:right w:w="80" w:type="dxa"/>
            </w:tcMar>
          </w:tcPr>
          <w:p>
            <w:pPr>
              <w:spacing w:line="240" w:lineRule="auto" w:before="0" w:after="0"/>
              <w:jc w:val="left"/>
            </w:pPr>
            <w:r>
              <w:rPr>
                <w:rFonts w:ascii="Arial" w:hAnsi="Arial"/>
                <w:sz w:val="19"/>
              </w:rPr>
              <w:t>Crypt::decryptString()</w:t>
            </w:r>
          </w:p>
        </w:tc>
        <w:tc>
          <w:tcPr>
            <w:tcW w:w="1500" w:type="dxa"/>
            <w:tcMar>
              <w:top w:w="60" w:type="dxa"/>
              <w:bottom w:w="60" w:type="dxa"/>
              <w:left w:w="80" w:type="dxa"/>
              <w:right w:w="80" w:type="dxa"/>
            </w:tcMar>
          </w:tcPr>
          <w:p>
            <w:pPr>
              <w:spacing w:line="240" w:lineRule="auto" w:before="0" w:after="0"/>
              <w:jc w:val="left"/>
            </w:pPr>
            <w:r>
              <w:rPr>
                <w:rFonts w:ascii="Arial" w:hAnsi="Arial"/>
                <w:sz w:val="19"/>
              </w:rPr>
              <w:t>AES-256-GCM field decryption</w:t>
            </w:r>
          </w:p>
        </w:tc>
        <w:tc>
          <w:tcPr>
            <w:tcW w:w="1200" w:type="dxa"/>
            <w:tcMar>
              <w:top w:w="60" w:type="dxa"/>
              <w:bottom w:w="60" w:type="dxa"/>
              <w:left w:w="80" w:type="dxa"/>
              <w:right w:w="80" w:type="dxa"/>
            </w:tcMar>
          </w:tcPr>
          <w:p>
            <w:pPr>
              <w:spacing w:line="240" w:lineRule="auto" w:before="0" w:after="0"/>
              <w:jc w:val="left"/>
            </w:pPr>
            <w:r>
              <w:rPr>
                <w:rFonts w:ascii="Arial" w:hAnsi="Arial"/>
                <w:sz w:val="19"/>
              </w:rPr>
              <w:t>Encrypted ciphertext payload</w:t>
            </w:r>
          </w:p>
        </w:tc>
        <w:tc>
          <w:tcPr>
            <w:tcW w:w="1600" w:type="dxa"/>
            <w:tcMar>
              <w:top w:w="60" w:type="dxa"/>
              <w:bottom w:w="60" w:type="dxa"/>
              <w:left w:w="80" w:type="dxa"/>
              <w:right w:w="80" w:type="dxa"/>
            </w:tcMar>
          </w:tcPr>
          <w:p>
            <w:pPr>
              <w:spacing w:line="240" w:lineRule="auto" w:before="0" w:after="0"/>
              <w:jc w:val="left"/>
            </w:pPr>
            <w:r>
              <w:rPr>
                <w:rFonts w:ascii="Arial" w:hAnsi="Arial"/>
                <w:sz w:val="19"/>
              </w:rPr>
              <w:t>Decrypt payload and restore exact original plaintext PII</w:t>
            </w:r>
          </w:p>
        </w:tc>
        <w:tc>
          <w:tcPr>
            <w:tcW w:w="1440" w:type="dxa"/>
            <w:tcMar>
              <w:top w:w="60" w:type="dxa"/>
              <w:bottom w:w="60" w:type="dxa"/>
              <w:left w:w="80" w:type="dxa"/>
              <w:right w:w="80" w:type="dxa"/>
            </w:tcMar>
          </w:tcPr>
          <w:p>
            <w:pPr>
              <w:spacing w:line="240" w:lineRule="auto" w:before="0" w:after="0"/>
              <w:jc w:val="left"/>
            </w:pPr>
            <w:r>
              <w:rPr>
                <w:rFonts w:ascii="Arial" w:hAnsi="Arial"/>
                <w:sz w:val="19"/>
              </w:rPr>
              <w:t>Restored exact original plaintext without corruption</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AES-256-GCM decryption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WB03</w:t>
            </w:r>
          </w:p>
        </w:tc>
        <w:tc>
          <w:tcPr>
            <w:tcW w:w="1350" w:type="dxa"/>
            <w:tcMar>
              <w:top w:w="60" w:type="dxa"/>
              <w:bottom w:w="60" w:type="dxa"/>
              <w:left w:w="80" w:type="dxa"/>
              <w:right w:w="80" w:type="dxa"/>
            </w:tcMar>
          </w:tcPr>
          <w:p>
            <w:pPr>
              <w:spacing w:line="240" w:lineRule="auto" w:before="0" w:after="0"/>
              <w:jc w:val="left"/>
            </w:pPr>
            <w:r>
              <w:rPr>
                <w:rFonts w:ascii="Arial" w:hAnsi="Arial"/>
                <w:sz w:val="19"/>
              </w:rPr>
              <w:t>hash_hmac('sha256')</w:t>
            </w:r>
          </w:p>
        </w:tc>
        <w:tc>
          <w:tcPr>
            <w:tcW w:w="1500" w:type="dxa"/>
            <w:tcMar>
              <w:top w:w="60" w:type="dxa"/>
              <w:bottom w:w="60" w:type="dxa"/>
              <w:left w:w="80" w:type="dxa"/>
              <w:right w:w="80" w:type="dxa"/>
            </w:tcMar>
          </w:tcPr>
          <w:p>
            <w:pPr>
              <w:spacing w:line="240" w:lineRule="auto" w:before="0" w:after="0"/>
              <w:jc w:val="left"/>
            </w:pPr>
            <w:r>
              <w:rPr>
                <w:rFonts w:ascii="Arial" w:hAnsi="Arial"/>
                <w:sz w:val="19"/>
              </w:rPr>
              <w:t>HMAC-SHA256 blind index generation</w:t>
            </w:r>
          </w:p>
        </w:tc>
        <w:tc>
          <w:tcPr>
            <w:tcW w:w="1200" w:type="dxa"/>
            <w:tcMar>
              <w:top w:w="60" w:type="dxa"/>
              <w:bottom w:w="60" w:type="dxa"/>
              <w:left w:w="80" w:type="dxa"/>
              <w:right w:w="80" w:type="dxa"/>
            </w:tcMar>
          </w:tcPr>
          <w:p>
            <w:pPr>
              <w:spacing w:line="240" w:lineRule="auto" w:before="0" w:after="0"/>
              <w:jc w:val="left"/>
            </w:pPr>
            <w:r>
              <w:rPr>
                <w:rFonts w:ascii="Arial" w:hAnsi="Arial"/>
                <w:sz w:val="19"/>
              </w:rPr>
              <w:t>Raw contact number ('09171234567')</w:t>
            </w:r>
          </w:p>
        </w:tc>
        <w:tc>
          <w:tcPr>
            <w:tcW w:w="1600" w:type="dxa"/>
            <w:tcMar>
              <w:top w:w="60" w:type="dxa"/>
              <w:bottom w:w="60" w:type="dxa"/>
              <w:left w:w="80" w:type="dxa"/>
              <w:right w:w="80" w:type="dxa"/>
            </w:tcMar>
          </w:tcPr>
          <w:p>
            <w:pPr>
              <w:spacing w:line="240" w:lineRule="auto" w:before="0" w:after="0"/>
              <w:jc w:val="left"/>
            </w:pPr>
            <w:r>
              <w:rPr>
                <w:rFonts w:ascii="Arial" w:hAnsi="Arial"/>
                <w:sz w:val="19"/>
              </w:rPr>
              <w:t>Generate 64-character deterministic hex hash for blind lookup</w:t>
            </w:r>
          </w:p>
        </w:tc>
        <w:tc>
          <w:tcPr>
            <w:tcW w:w="1440" w:type="dxa"/>
            <w:tcMar>
              <w:top w:w="60" w:type="dxa"/>
              <w:bottom w:w="60" w:type="dxa"/>
              <w:left w:w="80" w:type="dxa"/>
              <w:right w:w="80" w:type="dxa"/>
            </w:tcMar>
          </w:tcPr>
          <w:p>
            <w:pPr>
              <w:spacing w:line="240" w:lineRule="auto" w:before="0" w:after="0"/>
              <w:jc w:val="left"/>
            </w:pPr>
            <w:r>
              <w:rPr>
                <w:rFonts w:ascii="Arial" w:hAnsi="Arial"/>
                <w:sz w:val="19"/>
              </w:rPr>
              <w:t>Generated 64-char hex hash allowing exact match queries</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Blind index search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WB04</w:t>
            </w:r>
          </w:p>
        </w:tc>
        <w:tc>
          <w:tcPr>
            <w:tcW w:w="1350" w:type="dxa"/>
            <w:tcMar>
              <w:top w:w="60" w:type="dxa"/>
              <w:bottom w:w="60" w:type="dxa"/>
              <w:left w:w="80" w:type="dxa"/>
              <w:right w:w="80" w:type="dxa"/>
            </w:tcMar>
          </w:tcPr>
          <w:p>
            <w:pPr>
              <w:spacing w:line="240" w:lineRule="auto" w:before="0" w:after="0"/>
              <w:jc w:val="left"/>
            </w:pPr>
            <w:r>
              <w:rPr>
                <w:rFonts w:ascii="Arial" w:hAnsi="Arial"/>
                <w:sz w:val="19"/>
              </w:rPr>
              <w:t>Middleware/CheckRole.php</w:t>
            </w:r>
          </w:p>
        </w:tc>
        <w:tc>
          <w:tcPr>
            <w:tcW w:w="1500" w:type="dxa"/>
            <w:tcMar>
              <w:top w:w="60" w:type="dxa"/>
              <w:bottom w:w="60" w:type="dxa"/>
              <w:left w:w="80" w:type="dxa"/>
              <w:right w:w="80" w:type="dxa"/>
            </w:tcMar>
          </w:tcPr>
          <w:p>
            <w:pPr>
              <w:spacing w:line="240" w:lineRule="auto" w:before="0" w:after="0"/>
              <w:jc w:val="left"/>
            </w:pPr>
            <w:r>
              <w:rPr>
                <w:rFonts w:ascii="Arial" w:hAnsi="Arial"/>
                <w:sz w:val="19"/>
              </w:rPr>
              <w:t>Role-based access guard</w:t>
            </w:r>
          </w:p>
        </w:tc>
        <w:tc>
          <w:tcPr>
            <w:tcW w:w="1200" w:type="dxa"/>
            <w:tcMar>
              <w:top w:w="60" w:type="dxa"/>
              <w:bottom w:w="60" w:type="dxa"/>
              <w:left w:w="80" w:type="dxa"/>
              <w:right w:w="80" w:type="dxa"/>
            </w:tcMar>
          </w:tcPr>
          <w:p>
            <w:pPr>
              <w:spacing w:line="240" w:lineRule="auto" w:before="0" w:after="0"/>
              <w:jc w:val="left"/>
            </w:pPr>
            <w:r>
              <w:rPr>
                <w:rFonts w:ascii="Arial" w:hAnsi="Arial"/>
                <w:sz w:val="19"/>
              </w:rPr>
              <w:t>Staff user request on Admin route (/admin/*)</w:t>
            </w:r>
          </w:p>
        </w:tc>
        <w:tc>
          <w:tcPr>
            <w:tcW w:w="1600" w:type="dxa"/>
            <w:tcMar>
              <w:top w:w="60" w:type="dxa"/>
              <w:bottom w:w="60" w:type="dxa"/>
              <w:left w:w="80" w:type="dxa"/>
              <w:right w:w="80" w:type="dxa"/>
            </w:tcMar>
          </w:tcPr>
          <w:p>
            <w:pPr>
              <w:spacing w:line="240" w:lineRule="auto" w:before="0" w:after="0"/>
              <w:jc w:val="left"/>
            </w:pPr>
            <w:r>
              <w:rPr>
                <w:rFonts w:ascii="Arial" w:hAnsi="Arial"/>
                <w:sz w:val="19"/>
              </w:rPr>
              <w:t>Intercept unauthorized request and return 403 Forbidden</w:t>
            </w:r>
          </w:p>
        </w:tc>
        <w:tc>
          <w:tcPr>
            <w:tcW w:w="1440" w:type="dxa"/>
            <w:tcMar>
              <w:top w:w="60" w:type="dxa"/>
              <w:bottom w:w="60" w:type="dxa"/>
              <w:left w:w="80" w:type="dxa"/>
              <w:right w:w="80" w:type="dxa"/>
            </w:tcMar>
          </w:tcPr>
          <w:p>
            <w:pPr>
              <w:spacing w:line="240" w:lineRule="auto" w:before="0" w:after="0"/>
              <w:jc w:val="left"/>
            </w:pPr>
            <w:r>
              <w:rPr>
                <w:rFonts w:ascii="Arial" w:hAnsi="Arial"/>
                <w:sz w:val="19"/>
              </w:rPr>
              <w:t>Intercepted unauthorized request and returned 403 Forbidden</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Role middleware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WB05</w:t>
            </w:r>
          </w:p>
        </w:tc>
        <w:tc>
          <w:tcPr>
            <w:tcW w:w="1350" w:type="dxa"/>
            <w:tcMar>
              <w:top w:w="60" w:type="dxa"/>
              <w:bottom w:w="60" w:type="dxa"/>
              <w:left w:w="80" w:type="dxa"/>
              <w:right w:w="80" w:type="dxa"/>
            </w:tcMar>
          </w:tcPr>
          <w:p>
            <w:pPr>
              <w:spacing w:line="240" w:lineRule="auto" w:before="0" w:after="0"/>
              <w:jc w:val="left"/>
            </w:pPr>
            <w:r>
              <w:rPr>
                <w:rFonts w:ascii="Arial" w:hAnsi="Arial"/>
                <w:sz w:val="19"/>
              </w:rPr>
              <w:t>RequireTwoFactorForAdmins</w:t>
            </w:r>
          </w:p>
        </w:tc>
        <w:tc>
          <w:tcPr>
            <w:tcW w:w="1500" w:type="dxa"/>
            <w:tcMar>
              <w:top w:w="60" w:type="dxa"/>
              <w:bottom w:w="60" w:type="dxa"/>
              <w:left w:w="80" w:type="dxa"/>
              <w:right w:w="80" w:type="dxa"/>
            </w:tcMar>
          </w:tcPr>
          <w:p>
            <w:pPr>
              <w:spacing w:line="240" w:lineRule="auto" w:before="0" w:after="0"/>
              <w:jc w:val="left"/>
            </w:pPr>
            <w:r>
              <w:rPr>
                <w:rFonts w:ascii="Arial" w:hAnsi="Arial"/>
                <w:sz w:val="19"/>
              </w:rPr>
              <w:t>2FA TOTP authentication guard middleware</w:t>
            </w:r>
          </w:p>
        </w:tc>
        <w:tc>
          <w:tcPr>
            <w:tcW w:w="1200" w:type="dxa"/>
            <w:tcMar>
              <w:top w:w="60" w:type="dxa"/>
              <w:bottom w:w="60" w:type="dxa"/>
              <w:left w:w="80" w:type="dxa"/>
              <w:right w:w="80" w:type="dxa"/>
            </w:tcMar>
          </w:tcPr>
          <w:p>
            <w:pPr>
              <w:spacing w:line="240" w:lineRule="auto" w:before="0" w:after="0"/>
              <w:jc w:val="left"/>
            </w:pPr>
            <w:r>
              <w:rPr>
                <w:rFonts w:ascii="Arial" w:hAnsi="Arial"/>
                <w:sz w:val="19"/>
              </w:rPr>
              <w:t>Admin request without active 2FA session token</w:t>
            </w:r>
          </w:p>
        </w:tc>
        <w:tc>
          <w:tcPr>
            <w:tcW w:w="1600" w:type="dxa"/>
            <w:tcMar>
              <w:top w:w="60" w:type="dxa"/>
              <w:bottom w:w="60" w:type="dxa"/>
              <w:left w:w="80" w:type="dxa"/>
              <w:right w:w="80" w:type="dxa"/>
            </w:tcMar>
          </w:tcPr>
          <w:p>
            <w:pPr>
              <w:spacing w:line="240" w:lineRule="auto" w:before="0" w:after="0"/>
              <w:jc w:val="left"/>
            </w:pPr>
            <w:r>
              <w:rPr>
                <w:rFonts w:ascii="Arial" w:hAnsi="Arial"/>
                <w:sz w:val="19"/>
              </w:rPr>
              <w:t>Redirect request to 2FA TOTP challenge screen</w:t>
            </w:r>
          </w:p>
        </w:tc>
        <w:tc>
          <w:tcPr>
            <w:tcW w:w="1440" w:type="dxa"/>
            <w:tcMar>
              <w:top w:w="60" w:type="dxa"/>
              <w:bottom w:w="60" w:type="dxa"/>
              <w:left w:w="80" w:type="dxa"/>
              <w:right w:w="80" w:type="dxa"/>
            </w:tcMar>
          </w:tcPr>
          <w:p>
            <w:pPr>
              <w:spacing w:line="240" w:lineRule="auto" w:before="0" w:after="0"/>
              <w:jc w:val="left"/>
            </w:pPr>
            <w:r>
              <w:rPr>
                <w:rFonts w:ascii="Arial" w:hAnsi="Arial"/>
                <w:sz w:val="19"/>
              </w:rPr>
              <w:t>Redirected request to 2FA TOTP verification screen</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2FA middleware guard verified</w:t>
            </w:r>
          </w:p>
        </w:tc>
      </w:tr>
    </w:tbl>
    <w:p>
      <w:pPr>
        <w:spacing w:before="240" w:after="40"/>
        <w:jc w:val="left"/>
      </w:pPr>
      <w:r>
        <w:rPr>
          <w:rFonts w:ascii="Arial" w:hAnsi="Arial"/>
          <w:sz w:val="24"/>
        </w:rPr>
        <w:t>Table 52</w:t>
        <w:br/>
        <w:t>White-box Testing of Core Business Logic, State Machines, and Governance</w:t>
      </w:r>
    </w:p>
    <w:tbl>
      <w:tblPr>
        <w:tblW w:type="auto" w:w="0"/>
        <w:tblLook w:firstColumn="1" w:firstRow="1" w:lastColumn="0" w:lastRow="0" w:noHBand="0" w:noVBand="1" w:val="04A0"/>
        <w:jc w:val="center"/>
        <w:tblBorders>
          <w:top w:val="single" w:sz="4" w:space="0" w:color="000000"/>
          <w:left w:val="nil"/>
          <w:bottom w:val="single" w:sz="4" w:space="0" w:color="000000"/>
          <w:right w:val="nil"/>
          <w:insideH w:val="nil"/>
          <w:insideV w:val="nil"/>
        </w:tblBorders>
      </w:tblPr>
      <w:tblGrid>
        <w:gridCol w:w="1080"/>
        <w:gridCol w:w="1080"/>
        <w:gridCol w:w="1080"/>
        <w:gridCol w:w="1080"/>
        <w:gridCol w:w="1080"/>
        <w:gridCol w:w="1080"/>
        <w:gridCol w:w="1080"/>
        <w:gridCol w:w="1080"/>
      </w:tblGrid>
      <w:tr>
        <w:tc>
          <w:tcPr>
            <w:tcBorders>
              <w:bottom w:val="single" w:sz="4" w:space="0" w:color="000000"/>
            </w:tcBorders>
            <w:tcW w:w="750" w:type="dxa"/>
            <w:tcMar>
              <w:top w:w="60" w:type="dxa"/>
              <w:bottom w:w="60" w:type="dxa"/>
              <w:left w:w="80" w:type="dxa"/>
              <w:right w:w="80" w:type="dxa"/>
            </w:tcMar>
          </w:tcPr>
          <w:p>
            <w:pPr>
              <w:spacing w:before="0" w:after="0" w:line="240" w:lineRule="auto"/>
              <w:jc w:val="center"/>
            </w:pPr>
            <w:r>
              <w:rPr>
                <w:rFonts w:ascii="Arial" w:hAnsi="Arial"/>
                <w:b/>
                <w:sz w:val="19"/>
              </w:rPr>
              <w:t>ID</w:t>
            </w:r>
          </w:p>
        </w:tc>
        <w:tc>
          <w:tcPr>
            <w:tcBorders>
              <w:bottom w:val="single" w:sz="4" w:space="0" w:color="000000"/>
            </w:tcBorders>
            <w:tcW w:w="1350" w:type="dxa"/>
            <w:tcMar>
              <w:top w:w="60" w:type="dxa"/>
              <w:bottom w:w="60" w:type="dxa"/>
              <w:left w:w="80" w:type="dxa"/>
              <w:right w:w="80" w:type="dxa"/>
            </w:tcMar>
          </w:tcPr>
          <w:p>
            <w:pPr>
              <w:spacing w:before="0" w:after="0" w:line="240" w:lineRule="auto"/>
              <w:jc w:val="center"/>
            </w:pPr>
            <w:r>
              <w:rPr>
                <w:rFonts w:ascii="Arial" w:hAnsi="Arial"/>
                <w:b/>
                <w:sz w:val="19"/>
              </w:rPr>
              <w:t>Tested Code Segment</w:t>
            </w:r>
          </w:p>
        </w:tc>
        <w:tc>
          <w:tcPr>
            <w:tcBorders>
              <w:bottom w:val="single" w:sz="4" w:space="0" w:color="000000"/>
            </w:tcBorders>
            <w:tcW w:w="1500" w:type="dxa"/>
            <w:tcMar>
              <w:top w:w="60" w:type="dxa"/>
              <w:bottom w:w="60" w:type="dxa"/>
              <w:left w:w="80" w:type="dxa"/>
              <w:right w:w="80" w:type="dxa"/>
            </w:tcMar>
          </w:tcPr>
          <w:p>
            <w:pPr>
              <w:spacing w:before="0" w:after="0" w:line="240" w:lineRule="auto"/>
              <w:jc w:val="center"/>
            </w:pPr>
            <w:r>
              <w:rPr>
                <w:rFonts w:ascii="Arial" w:hAnsi="Arial"/>
                <w:b/>
                <w:sz w:val="19"/>
              </w:rPr>
              <w:t>Test Description</w:t>
            </w:r>
          </w:p>
        </w:tc>
        <w:tc>
          <w:tcPr>
            <w:tcBorders>
              <w:bottom w:val="single" w:sz="4" w:space="0" w:color="000000"/>
            </w:tcBorders>
            <w:tcW w:w="1200" w:type="dxa"/>
            <w:tcMar>
              <w:top w:w="60" w:type="dxa"/>
              <w:bottom w:w="60" w:type="dxa"/>
              <w:left w:w="80" w:type="dxa"/>
              <w:right w:w="80" w:type="dxa"/>
            </w:tcMar>
          </w:tcPr>
          <w:p>
            <w:pPr>
              <w:spacing w:before="0" w:after="0" w:line="240" w:lineRule="auto"/>
              <w:jc w:val="center"/>
            </w:pPr>
            <w:r>
              <w:rPr>
                <w:rFonts w:ascii="Arial" w:hAnsi="Arial"/>
                <w:b/>
                <w:sz w:val="19"/>
              </w:rPr>
              <w:t>Input Values</w:t>
            </w:r>
          </w:p>
        </w:tc>
        <w:tc>
          <w:tcPr>
            <w:tcBorders>
              <w:bottom w:val="single" w:sz="4" w:space="0" w:color="000000"/>
            </w:tcBorders>
            <w:tcW w:w="1600" w:type="dxa"/>
            <w:tcMar>
              <w:top w:w="60" w:type="dxa"/>
              <w:bottom w:w="60" w:type="dxa"/>
              <w:left w:w="80" w:type="dxa"/>
              <w:right w:w="80" w:type="dxa"/>
            </w:tcMar>
          </w:tcPr>
          <w:p>
            <w:pPr>
              <w:spacing w:before="0" w:after="0" w:line="240" w:lineRule="auto"/>
              <w:jc w:val="center"/>
            </w:pPr>
            <w:r>
              <w:rPr>
                <w:rFonts w:ascii="Arial" w:hAnsi="Arial"/>
                <w:b/>
                <w:sz w:val="19"/>
              </w:rPr>
              <w:t>Expected Behavior</w:t>
            </w:r>
          </w:p>
        </w:tc>
        <w:tc>
          <w:tcPr>
            <w:tcBorders>
              <w:bottom w:val="single" w:sz="4" w:space="0" w:color="000000"/>
            </w:tcBorders>
            <w:tcW w:w="1440" w:type="dxa"/>
            <w:tcMar>
              <w:top w:w="60" w:type="dxa"/>
              <w:bottom w:w="60" w:type="dxa"/>
              <w:left w:w="80" w:type="dxa"/>
              <w:right w:w="80" w:type="dxa"/>
            </w:tcMar>
          </w:tcPr>
          <w:p>
            <w:pPr>
              <w:spacing w:before="0" w:after="0" w:line="240" w:lineRule="auto"/>
              <w:jc w:val="center"/>
            </w:pPr>
            <w:r>
              <w:rPr>
                <w:rFonts w:ascii="Arial" w:hAnsi="Arial"/>
                <w:b/>
                <w:sz w:val="19"/>
              </w:rPr>
              <w:t>Actual Behavior</w:t>
            </w:r>
          </w:p>
        </w:tc>
        <w:tc>
          <w:tcPr>
            <w:tcBorders>
              <w:bottom w:val="single" w:sz="4" w:space="0" w:color="000000"/>
            </w:tcBorders>
            <w:tcW w:w="650" w:type="dxa"/>
            <w:tcMar>
              <w:top w:w="60" w:type="dxa"/>
              <w:bottom w:w="60" w:type="dxa"/>
              <w:left w:w="80" w:type="dxa"/>
              <w:right w:w="80" w:type="dxa"/>
            </w:tcMar>
          </w:tcPr>
          <w:p>
            <w:pPr>
              <w:spacing w:before="0" w:after="0" w:line="240" w:lineRule="auto"/>
              <w:jc w:val="center"/>
            </w:pPr>
            <w:r>
              <w:rPr>
                <w:rFonts w:ascii="Arial" w:hAnsi="Arial"/>
                <w:b/>
                <w:sz w:val="19"/>
              </w:rPr>
              <w:t>Result</w:t>
            </w:r>
          </w:p>
        </w:tc>
        <w:tc>
          <w:tcPr>
            <w:tcBorders>
              <w:bottom w:val="single" w:sz="4" w:space="0" w:color="000000"/>
            </w:tcBorders>
            <w:tcW w:w="870" w:type="dxa"/>
            <w:tcMar>
              <w:top w:w="60" w:type="dxa"/>
              <w:bottom w:w="60" w:type="dxa"/>
              <w:left w:w="80" w:type="dxa"/>
              <w:right w:w="80" w:type="dxa"/>
            </w:tcMar>
          </w:tcPr>
          <w:p>
            <w:pPr>
              <w:spacing w:before="0" w:after="0" w:line="240" w:lineRule="auto"/>
              <w:jc w:val="center"/>
            </w:pPr>
            <w:r>
              <w:rPr>
                <w:rFonts w:ascii="Arial" w:hAnsi="Arial"/>
                <w:b/>
                <w:sz w:val="19"/>
              </w:rPr>
              <w:t>Remarks</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WB06</w:t>
            </w:r>
          </w:p>
        </w:tc>
        <w:tc>
          <w:tcPr>
            <w:tcW w:w="1350" w:type="dxa"/>
            <w:tcMar>
              <w:top w:w="60" w:type="dxa"/>
              <w:bottom w:w="60" w:type="dxa"/>
              <w:left w:w="80" w:type="dxa"/>
              <w:right w:w="80" w:type="dxa"/>
            </w:tcMar>
          </w:tcPr>
          <w:p>
            <w:pPr>
              <w:spacing w:line="240" w:lineRule="auto" w:before="0" w:after="0"/>
              <w:jc w:val="left"/>
            </w:pPr>
            <w:r>
              <w:rPr>
                <w:rFonts w:ascii="Arial" w:hAnsi="Arial"/>
                <w:sz w:val="19"/>
              </w:rPr>
              <w:t>BeneficiaryDuplicateService</w:t>
            </w:r>
          </w:p>
        </w:tc>
        <w:tc>
          <w:tcPr>
            <w:tcW w:w="1500" w:type="dxa"/>
            <w:tcMar>
              <w:top w:w="60" w:type="dxa"/>
              <w:bottom w:w="60" w:type="dxa"/>
              <w:left w:w="80" w:type="dxa"/>
              <w:right w:w="80" w:type="dxa"/>
            </w:tcMar>
          </w:tcPr>
          <w:p>
            <w:pPr>
              <w:spacing w:line="240" w:lineRule="auto" w:before="0" w:after="0"/>
              <w:jc w:val="left"/>
            </w:pPr>
            <w:r>
              <w:rPr>
                <w:rFonts w:ascii="Arial" w:hAnsi="Arial"/>
                <w:sz w:val="19"/>
              </w:rPr>
              <w:t>Pre-registration duplicate detection logic</w:t>
            </w:r>
          </w:p>
        </w:tc>
        <w:tc>
          <w:tcPr>
            <w:tcW w:w="1200" w:type="dxa"/>
            <w:tcMar>
              <w:top w:w="60" w:type="dxa"/>
              <w:bottom w:w="60" w:type="dxa"/>
              <w:left w:w="80" w:type="dxa"/>
              <w:right w:w="80" w:type="dxa"/>
            </w:tcMar>
          </w:tcPr>
          <w:p>
            <w:pPr>
              <w:spacing w:line="240" w:lineRule="auto" w:before="0" w:after="0"/>
              <w:jc w:val="left"/>
            </w:pPr>
            <w:r>
              <w:rPr>
                <w:rFonts w:ascii="Arial" w:hAnsi="Arial"/>
                <w:sz w:val="19"/>
              </w:rPr>
              <w:t>Name + DOB, RSBSA, or FishR query</w:t>
            </w:r>
          </w:p>
        </w:tc>
        <w:tc>
          <w:tcPr>
            <w:tcW w:w="1600" w:type="dxa"/>
            <w:tcMar>
              <w:top w:w="60" w:type="dxa"/>
              <w:bottom w:w="60" w:type="dxa"/>
              <w:left w:w="80" w:type="dxa"/>
              <w:right w:w="80" w:type="dxa"/>
            </w:tcMar>
          </w:tcPr>
          <w:p>
            <w:pPr>
              <w:spacing w:line="240" w:lineRule="auto" w:before="0" w:after="0"/>
              <w:jc w:val="left"/>
            </w:pPr>
            <w:r>
              <w:rPr>
                <w:rFonts w:ascii="Arial" w:hAnsi="Arial"/>
                <w:sz w:val="19"/>
              </w:rPr>
              <w:t>Identify existing matches and trigger duplicate alert</w:t>
            </w:r>
          </w:p>
        </w:tc>
        <w:tc>
          <w:tcPr>
            <w:tcW w:w="1440" w:type="dxa"/>
            <w:tcMar>
              <w:top w:w="60" w:type="dxa"/>
              <w:bottom w:w="60" w:type="dxa"/>
              <w:left w:w="80" w:type="dxa"/>
              <w:right w:w="80" w:type="dxa"/>
            </w:tcMar>
          </w:tcPr>
          <w:p>
            <w:pPr>
              <w:spacing w:line="240" w:lineRule="auto" w:before="0" w:after="0"/>
              <w:jc w:val="left"/>
            </w:pPr>
            <w:r>
              <w:rPr>
                <w:rFonts w:ascii="Arial" w:hAnsi="Arial"/>
                <w:sz w:val="19"/>
              </w:rPr>
              <w:t>Detected duplicate records and returned validation conflict</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Duplicate guard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WB07</w:t>
            </w:r>
          </w:p>
        </w:tc>
        <w:tc>
          <w:tcPr>
            <w:tcW w:w="1350" w:type="dxa"/>
            <w:tcMar>
              <w:top w:w="60" w:type="dxa"/>
              <w:bottom w:w="60" w:type="dxa"/>
              <w:left w:w="80" w:type="dxa"/>
              <w:right w:w="80" w:type="dxa"/>
            </w:tcMar>
          </w:tcPr>
          <w:p>
            <w:pPr>
              <w:spacing w:line="240" w:lineRule="auto" w:before="0" w:after="0"/>
              <w:jc w:val="left"/>
            </w:pPr>
            <w:r>
              <w:rPr>
                <w:rFonts w:ascii="Arial" w:hAnsi="Arial"/>
                <w:sz w:val="19"/>
              </w:rPr>
              <w:t>UserController::store()</w:t>
            </w:r>
          </w:p>
        </w:tc>
        <w:tc>
          <w:tcPr>
            <w:tcW w:w="1500" w:type="dxa"/>
            <w:tcMar>
              <w:top w:w="60" w:type="dxa"/>
              <w:bottom w:w="60" w:type="dxa"/>
              <w:left w:w="80" w:type="dxa"/>
              <w:right w:w="80" w:type="dxa"/>
            </w:tcMar>
          </w:tcPr>
          <w:p>
            <w:pPr>
              <w:spacing w:line="240" w:lineRule="auto" w:before="0" w:after="0"/>
              <w:jc w:val="left"/>
            </w:pPr>
            <w:r>
              <w:rPr>
                <w:rFonts w:ascii="Arial" w:hAnsi="Arial"/>
                <w:sz w:val="19"/>
              </w:rPr>
              <w:t>2-Tier peer administrator adaptive quorum</w:t>
            </w:r>
          </w:p>
        </w:tc>
        <w:tc>
          <w:tcPr>
            <w:tcW w:w="1200" w:type="dxa"/>
            <w:tcMar>
              <w:top w:w="60" w:type="dxa"/>
              <w:bottom w:w="60" w:type="dxa"/>
              <w:left w:w="80" w:type="dxa"/>
              <w:right w:w="80" w:type="dxa"/>
            </w:tcMar>
          </w:tcPr>
          <w:p>
            <w:pPr>
              <w:spacing w:line="240" w:lineRule="auto" w:before="0" w:after="0"/>
              <w:jc w:val="left"/>
            </w:pPr>
            <w:r>
              <w:rPr>
                <w:rFonts w:ascii="Arial" w:hAnsi="Arial"/>
                <w:sz w:val="19"/>
              </w:rPr>
              <w:t>New admin registration in multi-admin mode</w:t>
            </w:r>
          </w:p>
        </w:tc>
        <w:tc>
          <w:tcPr>
            <w:tcW w:w="1600" w:type="dxa"/>
            <w:tcMar>
              <w:top w:w="60" w:type="dxa"/>
              <w:bottom w:w="60" w:type="dxa"/>
              <w:left w:w="80" w:type="dxa"/>
              <w:right w:w="80" w:type="dxa"/>
            </w:tcMar>
          </w:tcPr>
          <w:p>
            <w:pPr>
              <w:spacing w:line="240" w:lineRule="auto" w:before="0" w:after="0"/>
              <w:jc w:val="left"/>
            </w:pPr>
            <w:r>
              <w:rPr>
                <w:rFonts w:ascii="Arial" w:hAnsi="Arial"/>
                <w:sz w:val="19"/>
              </w:rPr>
              <w:t>Set status to pending_peer_approval and require co-signature</w:t>
            </w:r>
          </w:p>
        </w:tc>
        <w:tc>
          <w:tcPr>
            <w:tcW w:w="1440" w:type="dxa"/>
            <w:tcMar>
              <w:top w:w="60" w:type="dxa"/>
              <w:bottom w:w="60" w:type="dxa"/>
              <w:left w:w="80" w:type="dxa"/>
              <w:right w:w="80" w:type="dxa"/>
            </w:tcMar>
          </w:tcPr>
          <w:p>
            <w:pPr>
              <w:spacing w:line="240" w:lineRule="auto" w:before="0" w:after="0"/>
              <w:jc w:val="left"/>
            </w:pPr>
            <w:r>
              <w:rPr>
                <w:rFonts w:ascii="Arial" w:hAnsi="Arial"/>
                <w:sz w:val="19"/>
              </w:rPr>
              <w:t>Queued admin account for peer administrator co-signature</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Peer quorum workflow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WB08</w:t>
            </w:r>
          </w:p>
        </w:tc>
        <w:tc>
          <w:tcPr>
            <w:tcW w:w="1350" w:type="dxa"/>
            <w:tcMar>
              <w:top w:w="60" w:type="dxa"/>
              <w:bottom w:w="60" w:type="dxa"/>
              <w:left w:w="80" w:type="dxa"/>
              <w:right w:w="80" w:type="dxa"/>
            </w:tcMar>
          </w:tcPr>
          <w:p>
            <w:pPr>
              <w:spacing w:line="240" w:lineRule="auto" w:before="0" w:after="0"/>
              <w:jc w:val="left"/>
            </w:pPr>
            <w:r>
              <w:rPr>
                <w:rFonts w:ascii="Arial" w:hAnsi="Arial"/>
                <w:sz w:val="19"/>
              </w:rPr>
              <w:t>UserController::destroy()</w:t>
            </w:r>
          </w:p>
        </w:tc>
        <w:tc>
          <w:tcPr>
            <w:tcW w:w="1500" w:type="dxa"/>
            <w:tcMar>
              <w:top w:w="60" w:type="dxa"/>
              <w:bottom w:w="60" w:type="dxa"/>
              <w:left w:w="80" w:type="dxa"/>
              <w:right w:w="80" w:type="dxa"/>
            </w:tcMar>
          </w:tcPr>
          <w:p>
            <w:pPr>
              <w:spacing w:line="240" w:lineRule="auto" w:before="0" w:after="0"/>
              <w:jc w:val="left"/>
            </w:pPr>
            <w:r>
              <w:rPr>
                <w:rFonts w:ascii="Arial" w:hAnsi="Arial"/>
                <w:sz w:val="19"/>
              </w:rPr>
              <w:t>Last Admin Standing Guard</w:t>
            </w:r>
          </w:p>
        </w:tc>
        <w:tc>
          <w:tcPr>
            <w:tcW w:w="1200" w:type="dxa"/>
            <w:tcMar>
              <w:top w:w="60" w:type="dxa"/>
              <w:bottom w:w="60" w:type="dxa"/>
              <w:left w:w="80" w:type="dxa"/>
              <w:right w:w="80" w:type="dxa"/>
            </w:tcMar>
          </w:tcPr>
          <w:p>
            <w:pPr>
              <w:spacing w:line="240" w:lineRule="auto" w:before="0" w:after="0"/>
              <w:jc w:val="left"/>
            </w:pPr>
            <w:r>
              <w:rPr>
                <w:rFonts w:ascii="Arial" w:hAnsi="Arial"/>
                <w:sz w:val="19"/>
              </w:rPr>
              <w:t>Deactivation request targeting sole active admin</w:t>
            </w:r>
          </w:p>
        </w:tc>
        <w:tc>
          <w:tcPr>
            <w:tcW w:w="1600" w:type="dxa"/>
            <w:tcMar>
              <w:top w:w="60" w:type="dxa"/>
              <w:bottom w:w="60" w:type="dxa"/>
              <w:left w:w="80" w:type="dxa"/>
              <w:right w:w="80" w:type="dxa"/>
            </w:tcMar>
          </w:tcPr>
          <w:p>
            <w:pPr>
              <w:spacing w:line="240" w:lineRule="auto" w:before="0" w:after="0"/>
              <w:jc w:val="left"/>
            </w:pPr>
            <w:r>
              <w:rPr>
                <w:rFonts w:ascii="Arial" w:hAnsi="Arial"/>
                <w:sz w:val="19"/>
              </w:rPr>
              <w:t>Block deactivation and display single-admin security warning</w:t>
            </w:r>
          </w:p>
        </w:tc>
        <w:tc>
          <w:tcPr>
            <w:tcW w:w="1440" w:type="dxa"/>
            <w:tcMar>
              <w:top w:w="60" w:type="dxa"/>
              <w:bottom w:w="60" w:type="dxa"/>
              <w:left w:w="80" w:type="dxa"/>
              <w:right w:w="80" w:type="dxa"/>
            </w:tcMar>
          </w:tcPr>
          <w:p>
            <w:pPr>
              <w:spacing w:line="240" w:lineRule="auto" w:before="0" w:after="0"/>
              <w:jc w:val="left"/>
            </w:pPr>
            <w:r>
              <w:rPr>
                <w:rFonts w:ascii="Arial" w:hAnsi="Arial"/>
                <w:sz w:val="19"/>
              </w:rPr>
              <w:t>Blocked deactivation action and displayed single-admin warning</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Last admin guard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WB09</w:t>
            </w:r>
          </w:p>
        </w:tc>
        <w:tc>
          <w:tcPr>
            <w:tcW w:w="1350" w:type="dxa"/>
            <w:tcMar>
              <w:top w:w="60" w:type="dxa"/>
              <w:bottom w:w="60" w:type="dxa"/>
              <w:left w:w="80" w:type="dxa"/>
              <w:right w:w="80" w:type="dxa"/>
            </w:tcMar>
          </w:tcPr>
          <w:p>
            <w:pPr>
              <w:spacing w:line="240" w:lineRule="auto" w:before="0" w:after="0"/>
              <w:jc w:val="left"/>
            </w:pPr>
            <w:r>
              <w:rPr>
                <w:rFonts w:ascii="Arial" w:hAnsi="Arial"/>
                <w:sz w:val="19"/>
              </w:rPr>
              <w:t>ProgramEligibilityService</w:t>
            </w:r>
          </w:p>
        </w:tc>
        <w:tc>
          <w:tcPr>
            <w:tcW w:w="1500" w:type="dxa"/>
            <w:tcMar>
              <w:top w:w="60" w:type="dxa"/>
              <w:bottom w:w="60" w:type="dxa"/>
              <w:left w:w="80" w:type="dxa"/>
              <w:right w:w="80" w:type="dxa"/>
            </w:tcMar>
          </w:tcPr>
          <w:p>
            <w:pPr>
              <w:spacing w:line="240" w:lineRule="auto" w:before="0" w:after="0"/>
              <w:jc w:val="left"/>
            </w:pPr>
            <w:r>
              <w:rPr>
                <w:rFonts w:ascii="Arial" w:hAnsi="Arial"/>
                <w:sz w:val="19"/>
              </w:rPr>
              <w:t>Sectoral program eligibility derivation</w:t>
            </w:r>
          </w:p>
        </w:tc>
        <w:tc>
          <w:tcPr>
            <w:tcW w:w="1200" w:type="dxa"/>
            <w:tcMar>
              <w:top w:w="60" w:type="dxa"/>
              <w:bottom w:w="60" w:type="dxa"/>
              <w:left w:w="80" w:type="dxa"/>
              <w:right w:w="80" w:type="dxa"/>
            </w:tcMar>
          </w:tcPr>
          <w:p>
            <w:pPr>
              <w:spacing w:line="240" w:lineRule="auto" w:before="0" w:after="0"/>
              <w:jc w:val="left"/>
            </w:pPr>
            <w:r>
              <w:rPr>
                <w:rFonts w:ascii="Arial" w:hAnsi="Arial"/>
                <w:sz w:val="19"/>
              </w:rPr>
              <w:t>Beneficiary classification &amp; Program agency mapping</w:t>
            </w:r>
          </w:p>
        </w:tc>
        <w:tc>
          <w:tcPr>
            <w:tcW w:w="1600" w:type="dxa"/>
            <w:tcMar>
              <w:top w:w="60" w:type="dxa"/>
              <w:bottom w:w="60" w:type="dxa"/>
              <w:left w:w="80" w:type="dxa"/>
              <w:right w:w="80" w:type="dxa"/>
            </w:tcMar>
          </w:tcPr>
          <w:p>
            <w:pPr>
              <w:spacing w:line="240" w:lineRule="auto" w:before="0" w:after="0"/>
              <w:jc w:val="left"/>
            </w:pPr>
            <w:r>
              <w:rPr>
                <w:rFonts w:ascii="Arial" w:hAnsi="Arial"/>
                <w:sz w:val="19"/>
              </w:rPr>
              <w:t>Derive eligibility compatibility (Farmer, Fisherfolk, Both)</w:t>
            </w:r>
          </w:p>
        </w:tc>
        <w:tc>
          <w:tcPr>
            <w:tcW w:w="1440" w:type="dxa"/>
            <w:tcMar>
              <w:top w:w="60" w:type="dxa"/>
              <w:bottom w:w="60" w:type="dxa"/>
              <w:left w:w="80" w:type="dxa"/>
              <w:right w:w="80" w:type="dxa"/>
            </w:tcMar>
          </w:tcPr>
          <w:p>
            <w:pPr>
              <w:spacing w:line="240" w:lineRule="auto" w:before="0" w:after="0"/>
              <w:jc w:val="left"/>
            </w:pPr>
            <w:r>
              <w:rPr>
                <w:rFonts w:ascii="Arial" w:hAnsi="Arial"/>
                <w:sz w:val="19"/>
              </w:rPr>
              <w:t>Evaluated eligibility rules and filtered valid beneficiaries</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Eligibility derivation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WB010</w:t>
            </w:r>
          </w:p>
        </w:tc>
        <w:tc>
          <w:tcPr>
            <w:tcW w:w="1350" w:type="dxa"/>
            <w:tcMar>
              <w:top w:w="60" w:type="dxa"/>
              <w:bottom w:w="60" w:type="dxa"/>
              <w:left w:w="80" w:type="dxa"/>
              <w:right w:w="80" w:type="dxa"/>
            </w:tcMar>
          </w:tcPr>
          <w:p>
            <w:pPr>
              <w:spacing w:line="240" w:lineRule="auto" w:before="0" w:after="0"/>
              <w:jc w:val="left"/>
            </w:pPr>
            <w:r>
              <w:rPr>
                <w:rFonts w:ascii="Arial" w:hAnsi="Arial"/>
                <w:sz w:val="19"/>
              </w:rPr>
              <w:t>AllocationAmendmentRequest</w:t>
            </w:r>
          </w:p>
        </w:tc>
        <w:tc>
          <w:tcPr>
            <w:tcW w:w="1500" w:type="dxa"/>
            <w:tcMar>
              <w:top w:w="60" w:type="dxa"/>
              <w:bottom w:w="60" w:type="dxa"/>
              <w:left w:w="80" w:type="dxa"/>
              <w:right w:w="80" w:type="dxa"/>
            </w:tcMar>
          </w:tcPr>
          <w:p>
            <w:pPr>
              <w:spacing w:line="240" w:lineRule="auto" w:before="0" w:after="0"/>
              <w:jc w:val="left"/>
            </w:pPr>
            <w:r>
              <w:rPr>
                <w:rFonts w:ascii="Arial" w:hAnsi="Arial"/>
                <w:sz w:val="19"/>
              </w:rPr>
              <w:t>Allocation amendment approval state machine</w:t>
            </w:r>
          </w:p>
        </w:tc>
        <w:tc>
          <w:tcPr>
            <w:tcW w:w="1200" w:type="dxa"/>
            <w:tcMar>
              <w:top w:w="60" w:type="dxa"/>
              <w:bottom w:w="60" w:type="dxa"/>
              <w:left w:w="80" w:type="dxa"/>
              <w:right w:w="80" w:type="dxa"/>
            </w:tcMar>
          </w:tcPr>
          <w:p>
            <w:pPr>
              <w:spacing w:line="240" w:lineRule="auto" w:before="0" w:after="0"/>
              <w:jc w:val="left"/>
            </w:pPr>
            <w:r>
              <w:rPr>
                <w:rFonts w:ascii="Arial" w:hAnsi="Arial"/>
                <w:sz w:val="19"/>
              </w:rPr>
              <w:t>Proposed quantity adjustment co-signature request</w:t>
            </w:r>
          </w:p>
        </w:tc>
        <w:tc>
          <w:tcPr>
            <w:tcW w:w="1600" w:type="dxa"/>
            <w:tcMar>
              <w:top w:w="60" w:type="dxa"/>
              <w:bottom w:w="60" w:type="dxa"/>
              <w:left w:w="80" w:type="dxa"/>
              <w:right w:w="80" w:type="dxa"/>
            </w:tcMar>
          </w:tcPr>
          <w:p>
            <w:pPr>
              <w:spacing w:line="240" w:lineRule="auto" w:before="0" w:after="0"/>
              <w:jc w:val="left"/>
            </w:pPr>
            <w:r>
              <w:rPr>
                <w:rFonts w:ascii="Arial" w:hAnsi="Arial"/>
                <w:sz w:val="19"/>
              </w:rPr>
              <w:t>Validate amendment limits, update record, and write audit trail</w:t>
            </w:r>
          </w:p>
        </w:tc>
        <w:tc>
          <w:tcPr>
            <w:tcW w:w="1440" w:type="dxa"/>
            <w:tcMar>
              <w:top w:w="60" w:type="dxa"/>
              <w:bottom w:w="60" w:type="dxa"/>
              <w:left w:w="80" w:type="dxa"/>
              <w:right w:w="80" w:type="dxa"/>
            </w:tcMar>
          </w:tcPr>
          <w:p>
            <w:pPr>
              <w:spacing w:line="240" w:lineRule="auto" w:before="0" w:after="0"/>
              <w:jc w:val="left"/>
            </w:pPr>
            <w:r>
              <w:rPr>
                <w:rFonts w:ascii="Arial" w:hAnsi="Arial"/>
                <w:sz w:val="19"/>
              </w:rPr>
              <w:t>Updated allocation quantity and recorded approval audit trail</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Amendment state machine verified</w:t>
            </w:r>
          </w:p>
        </w:tc>
      </w:tr>
    </w:tbl>
    <w:p>
      <w:pPr>
        <w:spacing w:before="240" w:after="40"/>
        <w:jc w:val="left"/>
      </w:pPr>
      <w:r>
        <w:rPr>
          <w:rFonts w:ascii="Arial" w:hAnsi="Arial"/>
          <w:sz w:val="24"/>
        </w:rPr>
        <w:t>Table 53</w:t>
        <w:br/>
        <w:t>White-box Testing of Database Transactions, Cloud APIs, and Spatial Services</w:t>
      </w:r>
    </w:p>
    <w:tbl>
      <w:tblPr>
        <w:tblW w:type="auto" w:w="0"/>
        <w:tblLook w:firstColumn="1" w:firstRow="1" w:lastColumn="0" w:lastRow="0" w:noHBand="0" w:noVBand="1" w:val="04A0"/>
        <w:jc w:val="center"/>
        <w:tblBorders>
          <w:top w:val="single" w:sz="4" w:space="0" w:color="000000"/>
          <w:left w:val="nil"/>
          <w:bottom w:val="single" w:sz="4" w:space="0" w:color="000000"/>
          <w:right w:val="nil"/>
          <w:insideH w:val="nil"/>
          <w:insideV w:val="nil"/>
        </w:tblBorders>
      </w:tblPr>
      <w:tblGrid>
        <w:gridCol w:w="1080"/>
        <w:gridCol w:w="1080"/>
        <w:gridCol w:w="1080"/>
        <w:gridCol w:w="1080"/>
        <w:gridCol w:w="1080"/>
        <w:gridCol w:w="1080"/>
        <w:gridCol w:w="1080"/>
        <w:gridCol w:w="1080"/>
      </w:tblGrid>
      <w:tr>
        <w:tc>
          <w:tcPr>
            <w:tcBorders>
              <w:bottom w:val="single" w:sz="4" w:space="0" w:color="000000"/>
            </w:tcBorders>
            <w:tcW w:w="750" w:type="dxa"/>
            <w:tcMar>
              <w:top w:w="60" w:type="dxa"/>
              <w:bottom w:w="60" w:type="dxa"/>
              <w:left w:w="80" w:type="dxa"/>
              <w:right w:w="80" w:type="dxa"/>
            </w:tcMar>
          </w:tcPr>
          <w:p>
            <w:pPr>
              <w:spacing w:before="0" w:after="0" w:line="240" w:lineRule="auto"/>
              <w:jc w:val="center"/>
            </w:pPr>
            <w:r>
              <w:rPr>
                <w:rFonts w:ascii="Arial" w:hAnsi="Arial"/>
                <w:b/>
                <w:sz w:val="19"/>
              </w:rPr>
              <w:t>ID</w:t>
            </w:r>
          </w:p>
        </w:tc>
        <w:tc>
          <w:tcPr>
            <w:tcBorders>
              <w:bottom w:val="single" w:sz="4" w:space="0" w:color="000000"/>
            </w:tcBorders>
            <w:tcW w:w="1350" w:type="dxa"/>
            <w:tcMar>
              <w:top w:w="60" w:type="dxa"/>
              <w:bottom w:w="60" w:type="dxa"/>
              <w:left w:w="80" w:type="dxa"/>
              <w:right w:w="80" w:type="dxa"/>
            </w:tcMar>
          </w:tcPr>
          <w:p>
            <w:pPr>
              <w:spacing w:before="0" w:after="0" w:line="240" w:lineRule="auto"/>
              <w:jc w:val="center"/>
            </w:pPr>
            <w:r>
              <w:rPr>
                <w:rFonts w:ascii="Arial" w:hAnsi="Arial"/>
                <w:b/>
                <w:sz w:val="19"/>
              </w:rPr>
              <w:t>Tested Code Segment</w:t>
            </w:r>
          </w:p>
        </w:tc>
        <w:tc>
          <w:tcPr>
            <w:tcBorders>
              <w:bottom w:val="single" w:sz="4" w:space="0" w:color="000000"/>
            </w:tcBorders>
            <w:tcW w:w="1500" w:type="dxa"/>
            <w:tcMar>
              <w:top w:w="60" w:type="dxa"/>
              <w:bottom w:w="60" w:type="dxa"/>
              <w:left w:w="80" w:type="dxa"/>
              <w:right w:w="80" w:type="dxa"/>
            </w:tcMar>
          </w:tcPr>
          <w:p>
            <w:pPr>
              <w:spacing w:before="0" w:after="0" w:line="240" w:lineRule="auto"/>
              <w:jc w:val="center"/>
            </w:pPr>
            <w:r>
              <w:rPr>
                <w:rFonts w:ascii="Arial" w:hAnsi="Arial"/>
                <w:b/>
                <w:sz w:val="19"/>
              </w:rPr>
              <w:t>Test Description</w:t>
            </w:r>
          </w:p>
        </w:tc>
        <w:tc>
          <w:tcPr>
            <w:tcBorders>
              <w:bottom w:val="single" w:sz="4" w:space="0" w:color="000000"/>
            </w:tcBorders>
            <w:tcW w:w="1200" w:type="dxa"/>
            <w:tcMar>
              <w:top w:w="60" w:type="dxa"/>
              <w:bottom w:w="60" w:type="dxa"/>
              <w:left w:w="80" w:type="dxa"/>
              <w:right w:w="80" w:type="dxa"/>
            </w:tcMar>
          </w:tcPr>
          <w:p>
            <w:pPr>
              <w:spacing w:before="0" w:after="0" w:line="240" w:lineRule="auto"/>
              <w:jc w:val="center"/>
            </w:pPr>
            <w:r>
              <w:rPr>
                <w:rFonts w:ascii="Arial" w:hAnsi="Arial"/>
                <w:b/>
                <w:sz w:val="19"/>
              </w:rPr>
              <w:t>Input Values</w:t>
            </w:r>
          </w:p>
        </w:tc>
        <w:tc>
          <w:tcPr>
            <w:tcBorders>
              <w:bottom w:val="single" w:sz="4" w:space="0" w:color="000000"/>
            </w:tcBorders>
            <w:tcW w:w="1600" w:type="dxa"/>
            <w:tcMar>
              <w:top w:w="60" w:type="dxa"/>
              <w:bottom w:w="60" w:type="dxa"/>
              <w:left w:w="80" w:type="dxa"/>
              <w:right w:w="80" w:type="dxa"/>
            </w:tcMar>
          </w:tcPr>
          <w:p>
            <w:pPr>
              <w:spacing w:before="0" w:after="0" w:line="240" w:lineRule="auto"/>
              <w:jc w:val="center"/>
            </w:pPr>
            <w:r>
              <w:rPr>
                <w:rFonts w:ascii="Arial" w:hAnsi="Arial"/>
                <w:b/>
                <w:sz w:val="19"/>
              </w:rPr>
              <w:t>Expected Behavior</w:t>
            </w:r>
          </w:p>
        </w:tc>
        <w:tc>
          <w:tcPr>
            <w:tcBorders>
              <w:bottom w:val="single" w:sz="4" w:space="0" w:color="000000"/>
            </w:tcBorders>
            <w:tcW w:w="1440" w:type="dxa"/>
            <w:tcMar>
              <w:top w:w="60" w:type="dxa"/>
              <w:bottom w:w="60" w:type="dxa"/>
              <w:left w:w="80" w:type="dxa"/>
              <w:right w:w="80" w:type="dxa"/>
            </w:tcMar>
          </w:tcPr>
          <w:p>
            <w:pPr>
              <w:spacing w:before="0" w:after="0" w:line="240" w:lineRule="auto"/>
              <w:jc w:val="center"/>
            </w:pPr>
            <w:r>
              <w:rPr>
                <w:rFonts w:ascii="Arial" w:hAnsi="Arial"/>
                <w:b/>
                <w:sz w:val="19"/>
              </w:rPr>
              <w:t>Actual Behavior</w:t>
            </w:r>
          </w:p>
        </w:tc>
        <w:tc>
          <w:tcPr>
            <w:tcBorders>
              <w:bottom w:val="single" w:sz="4" w:space="0" w:color="000000"/>
            </w:tcBorders>
            <w:tcW w:w="650" w:type="dxa"/>
            <w:tcMar>
              <w:top w:w="60" w:type="dxa"/>
              <w:bottom w:w="60" w:type="dxa"/>
              <w:left w:w="80" w:type="dxa"/>
              <w:right w:w="80" w:type="dxa"/>
            </w:tcMar>
          </w:tcPr>
          <w:p>
            <w:pPr>
              <w:spacing w:before="0" w:after="0" w:line="240" w:lineRule="auto"/>
              <w:jc w:val="center"/>
            </w:pPr>
            <w:r>
              <w:rPr>
                <w:rFonts w:ascii="Arial" w:hAnsi="Arial"/>
                <w:b/>
                <w:sz w:val="19"/>
              </w:rPr>
              <w:t>Result</w:t>
            </w:r>
          </w:p>
        </w:tc>
        <w:tc>
          <w:tcPr>
            <w:tcBorders>
              <w:bottom w:val="single" w:sz="4" w:space="0" w:color="000000"/>
            </w:tcBorders>
            <w:tcW w:w="870" w:type="dxa"/>
            <w:tcMar>
              <w:top w:w="60" w:type="dxa"/>
              <w:bottom w:w="60" w:type="dxa"/>
              <w:left w:w="80" w:type="dxa"/>
              <w:right w:w="80" w:type="dxa"/>
            </w:tcMar>
          </w:tcPr>
          <w:p>
            <w:pPr>
              <w:spacing w:before="0" w:after="0" w:line="240" w:lineRule="auto"/>
              <w:jc w:val="center"/>
            </w:pPr>
            <w:r>
              <w:rPr>
                <w:rFonts w:ascii="Arial" w:hAnsi="Arial"/>
                <w:b/>
                <w:sz w:val="19"/>
              </w:rPr>
              <w:t>Remarks</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WB011</w:t>
            </w:r>
          </w:p>
        </w:tc>
        <w:tc>
          <w:tcPr>
            <w:tcW w:w="1350" w:type="dxa"/>
            <w:tcMar>
              <w:top w:w="60" w:type="dxa"/>
              <w:bottom w:w="60" w:type="dxa"/>
              <w:left w:w="80" w:type="dxa"/>
              <w:right w:w="80" w:type="dxa"/>
            </w:tcMar>
          </w:tcPr>
          <w:p>
            <w:pPr>
              <w:spacing w:line="240" w:lineRule="auto" w:before="0" w:after="0"/>
              <w:jc w:val="left"/>
            </w:pPr>
            <w:r>
              <w:rPr>
                <w:rFonts w:ascii="Arial" w:hAnsi="Arial"/>
                <w:sz w:val="19"/>
              </w:rPr>
              <w:t>DB::beginTransaction()</w:t>
            </w:r>
          </w:p>
        </w:tc>
        <w:tc>
          <w:tcPr>
            <w:tcW w:w="1500" w:type="dxa"/>
            <w:tcMar>
              <w:top w:w="60" w:type="dxa"/>
              <w:bottom w:w="60" w:type="dxa"/>
              <w:left w:w="80" w:type="dxa"/>
              <w:right w:w="80" w:type="dxa"/>
            </w:tcMar>
          </w:tcPr>
          <w:p>
            <w:pPr>
              <w:spacing w:line="240" w:lineRule="auto" w:before="0" w:after="0"/>
              <w:jc w:val="left"/>
            </w:pPr>
            <w:r>
              <w:rPr>
                <w:rFonts w:ascii="Arial" w:hAnsi="Arial"/>
                <w:sz w:val="19"/>
              </w:rPr>
              <w:t>Audit log transaction rollback</w:t>
            </w:r>
          </w:p>
        </w:tc>
        <w:tc>
          <w:tcPr>
            <w:tcW w:w="1200" w:type="dxa"/>
            <w:tcMar>
              <w:top w:w="60" w:type="dxa"/>
              <w:bottom w:w="60" w:type="dxa"/>
              <w:left w:w="80" w:type="dxa"/>
              <w:right w:w="80" w:type="dxa"/>
            </w:tcMar>
          </w:tcPr>
          <w:p>
            <w:pPr>
              <w:spacing w:line="240" w:lineRule="auto" w:before="0" w:after="0"/>
              <w:jc w:val="left"/>
            </w:pPr>
            <w:r>
              <w:rPr>
                <w:rFonts w:ascii="Arial" w:hAnsi="Arial"/>
                <w:sz w:val="19"/>
              </w:rPr>
              <w:t>Transactional database error during allocation</w:t>
            </w:r>
          </w:p>
        </w:tc>
        <w:tc>
          <w:tcPr>
            <w:tcW w:w="1600" w:type="dxa"/>
            <w:tcMar>
              <w:top w:w="60" w:type="dxa"/>
              <w:bottom w:w="60" w:type="dxa"/>
              <w:left w:w="80" w:type="dxa"/>
              <w:right w:w="80" w:type="dxa"/>
            </w:tcMar>
          </w:tcPr>
          <w:p>
            <w:pPr>
              <w:spacing w:line="240" w:lineRule="auto" w:before="0" w:after="0"/>
              <w:jc w:val="left"/>
            </w:pPr>
            <w:r>
              <w:rPr>
                <w:rFonts w:ascii="Arial" w:hAnsi="Arial"/>
                <w:sz w:val="19"/>
              </w:rPr>
              <w:t>Rollback transaction to restore original database state</w:t>
            </w:r>
          </w:p>
        </w:tc>
        <w:tc>
          <w:tcPr>
            <w:tcW w:w="1440" w:type="dxa"/>
            <w:tcMar>
              <w:top w:w="60" w:type="dxa"/>
              <w:bottom w:w="60" w:type="dxa"/>
              <w:left w:w="80" w:type="dxa"/>
              <w:right w:w="80" w:type="dxa"/>
            </w:tcMar>
          </w:tcPr>
          <w:p>
            <w:pPr>
              <w:spacing w:line="240" w:lineRule="auto" w:before="0" w:after="0"/>
              <w:jc w:val="left"/>
            </w:pPr>
            <w:r>
              <w:rPr>
                <w:rFonts w:ascii="Arial" w:hAnsi="Arial"/>
                <w:sz w:val="19"/>
              </w:rPr>
              <w:t>Rolled back transaction and preserved database integrity</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DB rollback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WB012</w:t>
            </w:r>
          </w:p>
        </w:tc>
        <w:tc>
          <w:tcPr>
            <w:tcW w:w="1350" w:type="dxa"/>
            <w:tcMar>
              <w:top w:w="60" w:type="dxa"/>
              <w:bottom w:w="60" w:type="dxa"/>
              <w:left w:w="80" w:type="dxa"/>
              <w:right w:w="80" w:type="dxa"/>
            </w:tcMar>
          </w:tcPr>
          <w:p>
            <w:pPr>
              <w:spacing w:line="240" w:lineRule="auto" w:before="0" w:after="0"/>
              <w:jc w:val="left"/>
            </w:pPr>
            <w:r>
              <w:rPr>
                <w:rFonts w:ascii="Arial" w:hAnsi="Arial"/>
                <w:sz w:val="19"/>
              </w:rPr>
              <w:t>SmsController::resolveRecipients()</w:t>
            </w:r>
          </w:p>
        </w:tc>
        <w:tc>
          <w:tcPr>
            <w:tcW w:w="1500" w:type="dxa"/>
            <w:tcMar>
              <w:top w:w="60" w:type="dxa"/>
              <w:bottom w:w="60" w:type="dxa"/>
              <w:left w:w="80" w:type="dxa"/>
              <w:right w:w="80" w:type="dxa"/>
            </w:tcMar>
          </w:tcPr>
          <w:p>
            <w:pPr>
              <w:spacing w:line="240" w:lineRule="auto" w:before="0" w:after="0"/>
              <w:jc w:val="left"/>
            </w:pPr>
            <w:r>
              <w:rPr>
                <w:rFonts w:ascii="Arial" w:hAnsi="Arial"/>
                <w:sz w:val="19"/>
              </w:rPr>
              <w:t>SMS recipient resolution &amp; contact fallback</w:t>
            </w:r>
          </w:p>
        </w:tc>
        <w:tc>
          <w:tcPr>
            <w:tcW w:w="1200" w:type="dxa"/>
            <w:tcMar>
              <w:top w:w="60" w:type="dxa"/>
              <w:bottom w:w="60" w:type="dxa"/>
              <w:left w:w="80" w:type="dxa"/>
              <w:right w:w="80" w:type="dxa"/>
            </w:tcMar>
          </w:tcPr>
          <w:p>
            <w:pPr>
              <w:spacing w:line="240" w:lineRule="auto" w:before="0" w:after="0"/>
              <w:jc w:val="left"/>
            </w:pPr>
            <w:r>
              <w:rPr>
                <w:rFonts w:ascii="Arial" w:hAnsi="Arial"/>
                <w:sz w:val="19"/>
              </w:rPr>
              <w:t>Broadcast filter (Program/Barangay) &amp; Contact preference</w:t>
            </w:r>
          </w:p>
        </w:tc>
        <w:tc>
          <w:tcPr>
            <w:tcW w:w="1600" w:type="dxa"/>
            <w:tcMar>
              <w:top w:w="60" w:type="dxa"/>
              <w:bottom w:w="60" w:type="dxa"/>
              <w:left w:w="80" w:type="dxa"/>
              <w:right w:w="80" w:type="dxa"/>
            </w:tcMar>
          </w:tcPr>
          <w:p>
            <w:pPr>
              <w:spacing w:line="240" w:lineRule="auto" w:before="0" w:after="0"/>
              <w:jc w:val="left"/>
            </w:pPr>
            <w:r>
              <w:rPr>
                <w:rFonts w:ascii="Arial" w:hAnsi="Arial"/>
                <w:sz w:val="19"/>
              </w:rPr>
              <w:t>Resolve active recipients and fall back to secondary contact if missing primary</w:t>
            </w:r>
          </w:p>
        </w:tc>
        <w:tc>
          <w:tcPr>
            <w:tcW w:w="1440" w:type="dxa"/>
            <w:tcMar>
              <w:top w:w="60" w:type="dxa"/>
              <w:bottom w:w="60" w:type="dxa"/>
              <w:left w:w="80" w:type="dxa"/>
              <w:right w:w="80" w:type="dxa"/>
            </w:tcMar>
          </w:tcPr>
          <w:p>
            <w:pPr>
              <w:spacing w:line="240" w:lineRule="auto" w:before="0" w:after="0"/>
              <w:jc w:val="left"/>
            </w:pPr>
            <w:r>
              <w:rPr>
                <w:rFonts w:ascii="Arial" w:hAnsi="Arial"/>
                <w:sz w:val="19"/>
              </w:rPr>
              <w:t>Resolved recipient list with primary/secondary contact fallback</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SMS targeting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WB013</w:t>
            </w:r>
          </w:p>
        </w:tc>
        <w:tc>
          <w:tcPr>
            <w:tcW w:w="1350" w:type="dxa"/>
            <w:tcMar>
              <w:top w:w="60" w:type="dxa"/>
              <w:bottom w:w="60" w:type="dxa"/>
              <w:left w:w="80" w:type="dxa"/>
              <w:right w:w="80" w:type="dxa"/>
            </w:tcMar>
          </w:tcPr>
          <w:p>
            <w:pPr>
              <w:spacing w:line="240" w:lineRule="auto" w:before="0" w:after="0"/>
              <w:jc w:val="left"/>
            </w:pPr>
            <w:r>
              <w:rPr>
                <w:rFonts w:ascii="Arial" w:hAnsi="Arial"/>
                <w:sz w:val="19"/>
              </w:rPr>
              <w:t>GoogleController::unlink()</w:t>
            </w:r>
          </w:p>
        </w:tc>
        <w:tc>
          <w:tcPr>
            <w:tcW w:w="1500" w:type="dxa"/>
            <w:tcMar>
              <w:top w:w="60" w:type="dxa"/>
              <w:bottom w:w="60" w:type="dxa"/>
              <w:left w:w="80" w:type="dxa"/>
              <w:right w:w="80" w:type="dxa"/>
            </w:tcMar>
          </w:tcPr>
          <w:p>
            <w:pPr>
              <w:spacing w:line="240" w:lineRule="auto" w:before="0" w:after="0"/>
              <w:jc w:val="left"/>
            </w:pPr>
            <w:r>
              <w:rPr>
                <w:rFonts w:ascii="Arial" w:hAnsi="Arial"/>
                <w:sz w:val="19"/>
              </w:rPr>
              <w:t>Google OAuth 2.0 unlinking security guard</w:t>
            </w:r>
          </w:p>
        </w:tc>
        <w:tc>
          <w:tcPr>
            <w:tcW w:w="1200" w:type="dxa"/>
            <w:tcMar>
              <w:top w:w="60" w:type="dxa"/>
              <w:bottom w:w="60" w:type="dxa"/>
              <w:left w:w="80" w:type="dxa"/>
              <w:right w:w="80" w:type="dxa"/>
            </w:tcMar>
          </w:tcPr>
          <w:p>
            <w:pPr>
              <w:spacing w:line="240" w:lineRule="auto" w:before="0" w:after="0"/>
              <w:jc w:val="left"/>
            </w:pPr>
            <w:r>
              <w:rPr>
                <w:rFonts w:ascii="Arial" w:hAnsi="Arial"/>
                <w:sz w:val="19"/>
              </w:rPr>
              <w:t>Unlink request on account with active local password</w:t>
            </w:r>
          </w:p>
        </w:tc>
        <w:tc>
          <w:tcPr>
            <w:tcW w:w="1600" w:type="dxa"/>
            <w:tcMar>
              <w:top w:w="60" w:type="dxa"/>
              <w:bottom w:w="60" w:type="dxa"/>
              <w:left w:w="80" w:type="dxa"/>
              <w:right w:w="80" w:type="dxa"/>
            </w:tcMar>
          </w:tcPr>
          <w:p>
            <w:pPr>
              <w:spacing w:line="240" w:lineRule="auto" w:before="0" w:after="0"/>
              <w:jc w:val="left"/>
            </w:pPr>
            <w:r>
              <w:rPr>
                <w:rFonts w:ascii="Arial" w:hAnsi="Arial"/>
                <w:sz w:val="19"/>
              </w:rPr>
              <w:t>Revoke Google OAuth association while maintaining local credentials</w:t>
            </w:r>
          </w:p>
        </w:tc>
        <w:tc>
          <w:tcPr>
            <w:tcW w:w="1440" w:type="dxa"/>
            <w:tcMar>
              <w:top w:w="60" w:type="dxa"/>
              <w:bottom w:w="60" w:type="dxa"/>
              <w:left w:w="80" w:type="dxa"/>
              <w:right w:w="80" w:type="dxa"/>
            </w:tcMar>
          </w:tcPr>
          <w:p>
            <w:pPr>
              <w:spacing w:line="240" w:lineRule="auto" w:before="0" w:after="0"/>
              <w:jc w:val="left"/>
            </w:pPr>
            <w:r>
              <w:rPr>
                <w:rFonts w:ascii="Arial" w:hAnsi="Arial"/>
                <w:sz w:val="19"/>
              </w:rPr>
              <w:t>Unlinked Google OAuth account and retained local credentials</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OAuth unlinking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WB014</w:t>
            </w:r>
          </w:p>
        </w:tc>
        <w:tc>
          <w:tcPr>
            <w:tcW w:w="1350" w:type="dxa"/>
            <w:tcMar>
              <w:top w:w="60" w:type="dxa"/>
              <w:bottom w:w="60" w:type="dxa"/>
              <w:left w:w="80" w:type="dxa"/>
              <w:right w:w="80" w:type="dxa"/>
            </w:tcMar>
          </w:tcPr>
          <w:p>
            <w:pPr>
              <w:spacing w:line="240" w:lineRule="auto" w:before="0" w:after="0"/>
              <w:jc w:val="left"/>
            </w:pPr>
            <w:r>
              <w:rPr>
                <w:rFonts w:ascii="Arial" w:hAnsi="Arial"/>
                <w:sz w:val="19"/>
              </w:rPr>
              <w:t>DistributionEventController::store()</w:t>
            </w:r>
          </w:p>
        </w:tc>
        <w:tc>
          <w:tcPr>
            <w:tcW w:w="1500" w:type="dxa"/>
            <w:tcMar>
              <w:top w:w="60" w:type="dxa"/>
              <w:bottom w:w="60" w:type="dxa"/>
              <w:left w:w="80" w:type="dxa"/>
              <w:right w:w="80" w:type="dxa"/>
            </w:tcMar>
          </w:tcPr>
          <w:p>
            <w:pPr>
              <w:spacing w:line="240" w:lineRule="auto" w:before="0" w:after="0"/>
              <w:jc w:val="left"/>
            </w:pPr>
            <w:r>
              <w:rPr>
                <w:rFonts w:ascii="Arial" w:hAnsi="Arial"/>
                <w:sz w:val="19"/>
              </w:rPr>
              <w:t>Multi-barangay coverage &amp; target linkage</w:t>
            </w:r>
          </w:p>
        </w:tc>
        <w:tc>
          <w:tcPr>
            <w:tcW w:w="1200" w:type="dxa"/>
            <w:tcMar>
              <w:top w:w="60" w:type="dxa"/>
              <w:bottom w:w="60" w:type="dxa"/>
              <w:left w:w="80" w:type="dxa"/>
              <w:right w:w="80" w:type="dxa"/>
            </w:tcMar>
          </w:tcPr>
          <w:p>
            <w:pPr>
              <w:spacing w:line="240" w:lineRule="auto" w:before="0" w:after="0"/>
              <w:jc w:val="left"/>
            </w:pPr>
            <w:r>
              <w:rPr>
                <w:rFonts w:ascii="Arial" w:hAnsi="Arial"/>
                <w:sz w:val="19"/>
              </w:rPr>
              <w:t>Event parameters with target_barangays array</w:t>
            </w:r>
          </w:p>
        </w:tc>
        <w:tc>
          <w:tcPr>
            <w:tcW w:w="1600" w:type="dxa"/>
            <w:tcMar>
              <w:top w:w="60" w:type="dxa"/>
              <w:bottom w:w="60" w:type="dxa"/>
              <w:left w:w="80" w:type="dxa"/>
              <w:right w:w="80" w:type="dxa"/>
            </w:tcMar>
          </w:tcPr>
          <w:p>
            <w:pPr>
              <w:spacing w:line="240" w:lineRule="auto" w:before="0" w:after="0"/>
              <w:jc w:val="left"/>
            </w:pPr>
            <w:r>
              <w:rPr>
                <w:rFonts w:ascii="Arial" w:hAnsi="Arial"/>
                <w:sz w:val="19"/>
              </w:rPr>
              <w:t>Create event in Pending status and sync target barangay mappings</w:t>
            </w:r>
          </w:p>
        </w:tc>
        <w:tc>
          <w:tcPr>
            <w:tcW w:w="1440" w:type="dxa"/>
            <w:tcMar>
              <w:top w:w="60" w:type="dxa"/>
              <w:bottom w:w="60" w:type="dxa"/>
              <w:left w:w="80" w:type="dxa"/>
              <w:right w:w="80" w:type="dxa"/>
            </w:tcMar>
          </w:tcPr>
          <w:p>
            <w:pPr>
              <w:spacing w:line="240" w:lineRule="auto" w:before="0" w:after="0"/>
              <w:jc w:val="left"/>
            </w:pPr>
            <w:r>
              <w:rPr>
                <w:rFonts w:ascii="Arial" w:hAnsi="Arial"/>
                <w:sz w:val="19"/>
              </w:rPr>
              <w:t>Created distribution event and linked target coverage barangays</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Target coverage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WB015</w:t>
            </w:r>
          </w:p>
        </w:tc>
        <w:tc>
          <w:tcPr>
            <w:tcW w:w="1350" w:type="dxa"/>
            <w:tcMar>
              <w:top w:w="60" w:type="dxa"/>
              <w:bottom w:w="60" w:type="dxa"/>
              <w:left w:w="80" w:type="dxa"/>
              <w:right w:w="80" w:type="dxa"/>
            </w:tcMar>
          </w:tcPr>
          <w:p>
            <w:pPr>
              <w:spacing w:line="240" w:lineRule="auto" w:before="0" w:after="0"/>
              <w:jc w:val="left"/>
            </w:pPr>
            <w:r>
              <w:rPr>
                <w:rFonts w:ascii="Arial" w:hAnsi="Arial"/>
                <w:sz w:val="19"/>
              </w:rPr>
              <w:t>GoogleDriveService</w:t>
            </w:r>
          </w:p>
        </w:tc>
        <w:tc>
          <w:tcPr>
            <w:tcW w:w="1500" w:type="dxa"/>
            <w:tcMar>
              <w:top w:w="60" w:type="dxa"/>
              <w:bottom w:w="60" w:type="dxa"/>
              <w:left w:w="80" w:type="dxa"/>
              <w:right w:w="80" w:type="dxa"/>
            </w:tcMar>
          </w:tcPr>
          <w:p>
            <w:pPr>
              <w:spacing w:line="240" w:lineRule="auto" w:before="0" w:after="0"/>
              <w:jc w:val="left"/>
            </w:pPr>
            <w:r>
              <w:rPr>
                <w:rFonts w:ascii="Arial" w:hAnsi="Arial"/>
                <w:sz w:val="19"/>
              </w:rPr>
              <w:t>Google Drive supporting attachment streamer</w:t>
            </w:r>
          </w:p>
        </w:tc>
        <w:tc>
          <w:tcPr>
            <w:tcW w:w="1200" w:type="dxa"/>
            <w:tcMar>
              <w:top w:w="60" w:type="dxa"/>
              <w:bottom w:w="60" w:type="dxa"/>
              <w:left w:w="80" w:type="dxa"/>
              <w:right w:w="80" w:type="dxa"/>
            </w:tcMar>
          </w:tcPr>
          <w:p>
            <w:pPr>
              <w:spacing w:line="240" w:lineRule="auto" w:before="0" w:after="0"/>
              <w:jc w:val="left"/>
            </w:pPr>
            <w:r>
              <w:rPr>
                <w:rFonts w:ascii="Arial" w:hAnsi="Arial"/>
                <w:sz w:val="19"/>
              </w:rPr>
              <w:t>Event compliance document file upload</w:t>
            </w:r>
          </w:p>
        </w:tc>
        <w:tc>
          <w:tcPr>
            <w:tcW w:w="1600" w:type="dxa"/>
            <w:tcMar>
              <w:top w:w="60" w:type="dxa"/>
              <w:bottom w:w="60" w:type="dxa"/>
              <w:left w:w="80" w:type="dxa"/>
              <w:right w:w="80" w:type="dxa"/>
            </w:tcMar>
          </w:tcPr>
          <w:p>
            <w:pPr>
              <w:spacing w:line="240" w:lineRule="auto" w:before="0" w:after="0"/>
              <w:jc w:val="left"/>
            </w:pPr>
            <w:r>
              <w:rPr>
                <w:rFonts w:ascii="Arial" w:hAnsi="Arial"/>
                <w:sz w:val="19"/>
              </w:rPr>
              <w:t>Refresh OAuth token, upload file to cloud drive, and link metadata</w:t>
            </w:r>
          </w:p>
        </w:tc>
        <w:tc>
          <w:tcPr>
            <w:tcW w:w="1440" w:type="dxa"/>
            <w:tcMar>
              <w:top w:w="60" w:type="dxa"/>
              <w:bottom w:w="60" w:type="dxa"/>
              <w:left w:w="80" w:type="dxa"/>
              <w:right w:w="80" w:type="dxa"/>
            </w:tcMar>
          </w:tcPr>
          <w:p>
            <w:pPr>
              <w:spacing w:line="240" w:lineRule="auto" w:before="0" w:after="0"/>
              <w:jc w:val="left"/>
            </w:pPr>
            <w:r>
              <w:rPr>
                <w:rFonts w:ascii="Arial" w:hAnsi="Arial"/>
                <w:sz w:val="19"/>
              </w:rPr>
              <w:t>Uploaded file to Google Drive and stored metadata reference</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Cloud attachment stream verified</w:t>
            </w:r>
          </w:p>
        </w:tc>
      </w:tr>
      <w:tr>
        <w:tc>
          <w:tcPr>
            <w:tcW w:w="750" w:type="dxa"/>
            <w:tcMar>
              <w:top w:w="60" w:type="dxa"/>
              <w:bottom w:w="60" w:type="dxa"/>
              <w:left w:w="80" w:type="dxa"/>
              <w:right w:w="80" w:type="dxa"/>
            </w:tcMar>
          </w:tcPr>
          <w:p>
            <w:pPr>
              <w:spacing w:before="0" w:after="0" w:line="240" w:lineRule="auto"/>
              <w:jc w:val="center"/>
            </w:pPr>
            <w:r>
              <w:rPr>
                <w:rFonts w:ascii="Arial" w:hAnsi="Arial"/>
                <w:sz w:val="19"/>
              </w:rPr>
              <w:t>WB016</w:t>
            </w:r>
          </w:p>
        </w:tc>
        <w:tc>
          <w:tcPr>
            <w:tcW w:w="1350" w:type="dxa"/>
            <w:tcMar>
              <w:top w:w="60" w:type="dxa"/>
              <w:bottom w:w="60" w:type="dxa"/>
              <w:left w:w="80" w:type="dxa"/>
              <w:right w:w="80" w:type="dxa"/>
            </w:tcMar>
          </w:tcPr>
          <w:p>
            <w:pPr>
              <w:spacing w:line="240" w:lineRule="auto" w:before="0" w:after="0"/>
              <w:jc w:val="left"/>
            </w:pPr>
            <w:r>
              <w:rPr>
                <w:rFonts w:ascii="Arial" w:hAnsi="Arial"/>
                <w:sz w:val="19"/>
              </w:rPr>
              <w:t>GeoMapController::density()</w:t>
            </w:r>
          </w:p>
        </w:tc>
        <w:tc>
          <w:tcPr>
            <w:tcW w:w="1500" w:type="dxa"/>
            <w:tcMar>
              <w:top w:w="60" w:type="dxa"/>
              <w:bottom w:w="60" w:type="dxa"/>
              <w:left w:w="80" w:type="dxa"/>
              <w:right w:w="80" w:type="dxa"/>
            </w:tcMar>
          </w:tcPr>
          <w:p>
            <w:pPr>
              <w:spacing w:line="240" w:lineRule="auto" w:before="0" w:after="0"/>
              <w:jc w:val="left"/>
            </w:pPr>
            <w:r>
              <w:rPr>
                <w:rFonts w:ascii="Arial" w:hAnsi="Arial"/>
                <w:sz w:val="19"/>
              </w:rPr>
              <w:t>Spatial map bounding box &amp; density aggregation</w:t>
            </w:r>
          </w:p>
        </w:tc>
        <w:tc>
          <w:tcPr>
            <w:tcW w:w="1200" w:type="dxa"/>
            <w:tcMar>
              <w:top w:w="60" w:type="dxa"/>
              <w:bottom w:w="60" w:type="dxa"/>
              <w:left w:w="80" w:type="dxa"/>
              <w:right w:w="80" w:type="dxa"/>
            </w:tcMar>
          </w:tcPr>
          <w:p>
            <w:pPr>
              <w:spacing w:line="240" w:lineRule="auto" w:before="0" w:after="0"/>
              <w:jc w:val="left"/>
            </w:pPr>
            <w:r>
              <w:rPr>
                <w:rFonts w:ascii="Arial" w:hAnsi="Arial"/>
                <w:sz w:val="19"/>
              </w:rPr>
              <w:t>Barangay spatial bounds &amp; classification filter</w:t>
            </w:r>
          </w:p>
        </w:tc>
        <w:tc>
          <w:tcPr>
            <w:tcW w:w="1600" w:type="dxa"/>
            <w:tcMar>
              <w:top w:w="60" w:type="dxa"/>
              <w:bottom w:w="60" w:type="dxa"/>
              <w:left w:w="80" w:type="dxa"/>
              <w:right w:w="80" w:type="dxa"/>
            </w:tcMar>
          </w:tcPr>
          <w:p>
            <w:pPr>
              <w:spacing w:line="240" w:lineRule="auto" w:before="0" w:after="0"/>
              <w:jc w:val="left"/>
            </w:pPr>
            <w:r>
              <w:rPr>
                <w:rFonts w:ascii="Arial" w:hAnsi="Arial"/>
                <w:sz w:val="19"/>
              </w:rPr>
              <w:t>Aggregate beneficiary counts per barangay for Leaflet.js rendering</w:t>
            </w:r>
          </w:p>
        </w:tc>
        <w:tc>
          <w:tcPr>
            <w:tcW w:w="1440" w:type="dxa"/>
            <w:tcMar>
              <w:top w:w="60" w:type="dxa"/>
              <w:bottom w:w="60" w:type="dxa"/>
              <w:left w:w="80" w:type="dxa"/>
              <w:right w:w="80" w:type="dxa"/>
            </w:tcMar>
          </w:tcPr>
          <w:p>
            <w:pPr>
              <w:spacing w:line="240" w:lineRule="auto" w:before="0" w:after="0"/>
              <w:jc w:val="left"/>
            </w:pPr>
            <w:r>
              <w:rPr>
                <w:rFonts w:ascii="Arial" w:hAnsi="Arial"/>
                <w:sz w:val="19"/>
              </w:rPr>
              <w:t>Aggregated spatial density data and returned GeoJSON payload</w:t>
            </w:r>
          </w:p>
        </w:tc>
        <w:tc>
          <w:tcPr>
            <w:tcW w:w="650" w:type="dxa"/>
            <w:tcMar>
              <w:top w:w="60" w:type="dxa"/>
              <w:bottom w:w="60" w:type="dxa"/>
              <w:left w:w="80" w:type="dxa"/>
              <w:right w:w="80" w:type="dxa"/>
            </w:tcMar>
          </w:tcPr>
          <w:p>
            <w:pPr>
              <w:spacing w:line="240" w:lineRule="auto" w:before="0" w:after="0"/>
              <w:jc w:val="center"/>
            </w:pPr>
            <w:r>
              <w:rPr>
                <w:rFonts w:ascii="Arial" w:hAnsi="Arial"/>
                <w:sz w:val="19"/>
              </w:rPr>
              <w:t>Pass</w:t>
            </w:r>
          </w:p>
        </w:tc>
        <w:tc>
          <w:tcPr>
            <w:tcW w:w="870" w:type="dxa"/>
            <w:tcMar>
              <w:top w:w="60" w:type="dxa"/>
              <w:bottom w:w="60" w:type="dxa"/>
              <w:left w:w="80" w:type="dxa"/>
              <w:right w:w="80" w:type="dxa"/>
            </w:tcMar>
          </w:tcPr>
          <w:p>
            <w:pPr>
              <w:spacing w:line="240" w:lineRule="auto" w:before="0" w:after="0"/>
              <w:jc w:val="center"/>
            </w:pPr>
            <w:r>
              <w:rPr>
                <w:rFonts w:ascii="Arial" w:hAnsi="Arial"/>
                <w:sz w:val="19"/>
              </w:rPr>
              <w:t>Spatial density verified</w:t>
            </w:r>
          </w:p>
        </w:tc>
      </w:tr>
    </w:tbl>
    <w:p>
      <w:pPr>
        <w:jc w:val="both"/>
      </w:pPr>
      <w:r>
        <w:rPr>
          <w:rFonts w:ascii="Arial" w:hAnsi="Arial"/>
          <w:sz w:val="24"/>
        </w:rPr>
        <w:t>Tables 51, 52, and 53 summarize the White-box testing results. All cryptographic functions, database index queries, and transaction rollback mechanisms performed flawlessly. The implementation of field-level AES-256-GCM encryption combined with HMAC-SHA256 blind indexing ensures robust compliance with the Data Privacy Act of 2012 (RA 10173) while maintaining high database query performance (Hashemi et al., 2025).</w:t>
      </w:r>
    </w:p>
    <w:p>
      <w:pPr>
        <w:spacing w:before="240" w:after="120" w:line="240" w:lineRule="auto"/>
        <w:jc w:val="left"/>
      </w:pPr>
      <w:r>
        <w:rPr>
          <w:rFonts w:ascii="Arial" w:hAnsi="Arial"/>
          <w:b/>
          <w:sz w:val="24"/>
        </w:rPr>
        <w:t>4.3 Results of Objective 3: System Quality Evaluation</w:t>
      </w:r>
    </w:p>
    <w:p>
      <w:pPr>
        <w:jc w:val="both"/>
      </w:pPr>
      <w:r>
        <w:rPr>
          <w:rFonts w:ascii="Arial" w:hAnsi="Arial"/>
          <w:sz w:val="24"/>
        </w:rPr>
        <w:t>The third objective of this study is to evaluate the quality of the system in terms of functional suitability, performance efficiency, compatibility, usability, reliability, security, maintainability, and portability based on ISO/IEC 25010:2011.</w:t>
      </w:r>
    </w:p>
    <w:p>
      <w:pPr>
        <w:jc w:val="both"/>
      </w:pPr>
      <w:r>
        <w:rPr>
          <w:rFonts w:ascii="Arial" w:hAnsi="Arial"/>
          <w:sz w:val="24"/>
        </w:rPr>
        <w:t>The result of this objective was that the system was successfully evaluated across all ISO/IEC 25010:2011 quality characteristics, obtaining an overall mean rating demonstrating that FFPRAMS is highly effective and operational for municipal deployment.</w:t>
      </w:r>
    </w:p>
    <w:p>
      <w:pPr>
        <w:spacing w:line="240" w:lineRule="auto" w:before="120" w:after="0"/>
        <w:jc w:val="left"/>
      </w:pPr>
      <w:r>
        <w:rPr>
          <w:rFonts w:ascii="Arial" w:hAnsi="Arial"/>
          <w:b/>
          <w:sz w:val="24"/>
        </w:rPr>
        <w:t>Table 54</w:t>
      </w:r>
    </w:p>
    <w:p>
      <w:pPr>
        <w:spacing w:line="240" w:lineRule="auto" w:before="0" w:after="120"/>
        <w:jc w:val="both"/>
      </w:pPr>
      <w:r>
        <w:rPr>
          <w:rFonts w:ascii="Arial" w:hAnsi="Arial"/>
          <w:b w:val="0"/>
          <w:sz w:val="24"/>
        </w:rPr>
        <w:t>ISO/IEC 25010:2011 Software Quality Model Evaluation Results</w:t>
      </w:r>
    </w:p>
    <w:tbl>
      <w:tblPr>
        <w:tblLayout w:type="fixed"/>
        <w:tblLook w:firstColumn="1" w:firstRow="1" w:lastColumn="0" w:lastRow="0" w:noHBand="0" w:noVBand="1" w:val="04A0"/>
        <w:autofit w:val="no"/>
        <w:tblW w:w="9360" w:type="dxa"/>
        <w:jc w:val="center"/>
        <w:tblBorders>
          <w:top w:val="single" w:sz="4" w:space="0" w:color="000000"/>
          <w:left w:val="nil"/>
          <w:bottom w:val="single" w:sz="4" w:space="0" w:color="000000"/>
          <w:right w:val="nil"/>
          <w:insideH w:val="nil"/>
          <w:insideV w:val="nil"/>
        </w:tblBorders>
      </w:tblPr>
      <w:tblGrid>
        <w:gridCol w:w="1152"/>
        <w:gridCol w:w="2448"/>
        <w:gridCol w:w="2736"/>
        <w:gridCol w:w="1152"/>
        <w:gridCol w:w="576"/>
        <w:gridCol w:w="576"/>
      </w:tblGrid>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900" w:type="dxa"/>
            <w:tcMar>
              <w:top w:w="60" w:type="dxa"/>
              <w:bottom w:w="60" w:type="dxa"/>
              <w:left w:w="80" w:type="dxa"/>
              <w:right w:w="80" w:type="dxa"/>
            </w:tcMar>
          </w:tcPr>
          <w:p>
            <w:pPr>
              <w:spacing w:before="0" w:after="0" w:line="240" w:lineRule="auto"/>
              <w:jc w:val="center"/>
            </w:pPr>
            <w:r>
              <w:rPr>
                <w:rFonts w:ascii="Arial" w:hAnsi="Arial"/>
                <w:b/>
                <w:sz w:val="20"/>
              </w:rPr>
              <w:t>Test Case ID</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000" w:type="dxa"/>
            <w:tcMar>
              <w:top w:w="60" w:type="dxa"/>
              <w:bottom w:w="60" w:type="dxa"/>
              <w:left w:w="80" w:type="dxa"/>
              <w:right w:w="80" w:type="dxa"/>
            </w:tcMar>
          </w:tcPr>
          <w:p>
            <w:pPr>
              <w:spacing w:before="0" w:after="0" w:line="240" w:lineRule="auto"/>
              <w:jc w:val="center"/>
            </w:pPr>
            <w:r>
              <w:rPr>
                <w:rFonts w:ascii="Arial" w:hAnsi="Arial"/>
                <w:b/>
                <w:sz w:val="20"/>
              </w:rPr>
              <w:t>Description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300" w:type="dxa"/>
            <w:tcMar>
              <w:top w:w="60" w:type="dxa"/>
              <w:bottom w:w="60" w:type="dxa"/>
              <w:left w:w="80" w:type="dxa"/>
              <w:right w:w="80" w:type="dxa"/>
            </w:tcMar>
          </w:tcPr>
          <w:p>
            <w:pPr>
              <w:spacing w:before="0" w:after="0" w:line="240" w:lineRule="auto"/>
              <w:jc w:val="center"/>
            </w:pPr>
            <w:r>
              <w:rPr>
                <w:rFonts w:ascii="Arial" w:hAnsi="Arial"/>
                <w:b/>
                <w:sz w:val="20"/>
              </w:rPr>
              <w:t>Expected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2200" w:type="dxa"/>
            <w:tcMar>
              <w:top w:w="60" w:type="dxa"/>
              <w:bottom w:w="60" w:type="dxa"/>
              <w:left w:w="80" w:type="dxa"/>
              <w:right w:w="80" w:type="dxa"/>
            </w:tcMar>
          </w:tcPr>
          <w:p>
            <w:pPr>
              <w:spacing w:before="0" w:after="0" w:line="240" w:lineRule="auto"/>
              <w:jc w:val="center"/>
            </w:pPr>
            <w:r>
              <w:rPr>
                <w:rFonts w:ascii="Arial" w:hAnsi="Arial"/>
                <w:b/>
                <w:sz w:val="20"/>
              </w:rPr>
              <w:t>Actual Outcome</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860" w:type="dxa"/>
            <w:tcMar>
              <w:top w:w="60" w:type="dxa"/>
              <w:bottom w:w="60" w:type="dxa"/>
              <w:left w:w="80" w:type="dxa"/>
              <w:right w:w="80" w:type="dxa"/>
            </w:tcMar>
          </w:tcPr>
          <w:p>
            <w:pPr>
              <w:spacing w:before="0" w:after="0" w:line="240" w:lineRule="auto"/>
              <w:jc w:val="center"/>
            </w:pPr>
            <w:r>
              <w:rPr>
                <w:rFonts w:ascii="Arial" w:hAnsi="Arial"/>
                <w:b/>
                <w:sz w:val="20"/>
              </w:rPr>
              <w:t>Pass/ Fail</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Borders>
              <w:bottom w:val="single" w:sz="4" w:space="0" w:color="000000"/>
            </w:tcBorders>
            <w:tcW w:w="1100" w:type="dxa"/>
            <w:tcMar>
              <w:top w:w="60" w:type="dxa"/>
              <w:bottom w:w="60" w:type="dxa"/>
              <w:left w:w="80" w:type="dxa"/>
              <w:right w:w="80" w:type="dxa"/>
            </w:tcMar>
          </w:tcPr>
          <w:p>
            <w:pPr>
              <w:spacing w:before="0" w:after="0" w:line="240" w:lineRule="auto"/>
              <w:jc w:val="center"/>
            </w:pPr>
            <w:r>
              <w:rPr>
                <w:rFonts w:ascii="Arial" w:hAnsi="Arial"/>
                <w:b/>
                <w:sz w:val="20"/>
              </w:rPr>
              <w:t>Comments</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Functional Suitability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5.00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4.92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4.95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Performance Efficiency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4.90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4.85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4.88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Compatibility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5.00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4.98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4.98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Usability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4.95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4.90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4.92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Reliability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5.00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4.92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4.94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Security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5.00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4.96</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4.97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Maintainability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4.90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4.88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4.91</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Portability</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5.00</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4.95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4.98</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4.97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r>
        <w:trPr>
          <w:cantSplit/>
          <w:cantSplit/>
          <w:cantSplit/>
          <w:cantSplit/>
          <w:cantSplit/>
          <w:cantSplit/>
          <w:cantSplit/>
          <w:cantSplit/>
          <w:cantSplit/>
          <w:cantSplit/>
          <w:cantSplit/>
          <w:cantSplit/>
        </w:trPr>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900" w:type="dxa"/>
            <w:tcMar>
              <w:top w:w="60" w:type="dxa"/>
              <w:bottom w:w="60" w:type="dxa"/>
              <w:left w:w="80" w:type="dxa"/>
              <w:right w:w="80" w:type="dxa"/>
            </w:tcMar>
          </w:tcPr>
          <w:p>
            <w:pPr>
              <w:spacing w:line="240" w:lineRule="auto" w:after="0" w:before="0"/>
              <w:jc w:val="center"/>
            </w:pPr>
            <w:r>
              <w:rPr>
                <w:rFonts w:ascii="Arial" w:hAnsi="Arial"/>
                <w:b w:val="0"/>
                <w:sz w:val="20"/>
              </w:rPr>
              <w:t>Overall Weighted Mean</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000" w:type="dxa"/>
            <w:tcMar>
              <w:top w:w="60" w:type="dxa"/>
              <w:bottom w:w="60" w:type="dxa"/>
              <w:left w:w="80" w:type="dxa"/>
              <w:right w:w="80" w:type="dxa"/>
            </w:tcMar>
          </w:tcPr>
          <w:p>
            <w:pPr>
              <w:spacing w:line="240" w:lineRule="auto" w:after="0" w:before="0"/>
              <w:jc w:val="left"/>
            </w:pPr>
            <w:r>
              <w:rPr>
                <w:rFonts w:ascii="Arial" w:hAnsi="Arial"/>
                <w:b w:val="0"/>
                <w:sz w:val="20"/>
              </w:rPr>
              <w:t>4.97</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300" w:type="dxa"/>
            <w:tcMar>
              <w:top w:w="60" w:type="dxa"/>
              <w:bottom w:w="60" w:type="dxa"/>
              <w:left w:w="80" w:type="dxa"/>
              <w:right w:w="80" w:type="dxa"/>
            </w:tcMar>
          </w:tcPr>
          <w:p>
            <w:pPr>
              <w:spacing w:line="240" w:lineRule="auto" w:after="0" w:before="0"/>
              <w:jc w:val="left"/>
            </w:pPr>
            <w:r>
              <w:rPr>
                <w:rFonts w:ascii="Arial" w:hAnsi="Arial"/>
                <w:b w:val="0"/>
                <w:sz w:val="20"/>
              </w:rPr>
              <w:t>4.92</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2200" w:type="dxa"/>
            <w:tcMar>
              <w:top w:w="60" w:type="dxa"/>
              <w:bottom w:w="60" w:type="dxa"/>
              <w:left w:w="80" w:type="dxa"/>
              <w:right w:w="80" w:type="dxa"/>
            </w:tcMar>
          </w:tcPr>
          <w:p>
            <w:pPr>
              <w:spacing w:line="240" w:lineRule="auto" w:after="0" w:before="0"/>
              <w:jc w:val="left"/>
            </w:pPr>
            <w:r>
              <w:rPr>
                <w:rFonts w:ascii="Arial" w:hAnsi="Arial"/>
                <w:b w:val="0"/>
                <w:sz w:val="20"/>
              </w:rPr>
              <w:t>4.95</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860" w:type="dxa"/>
            <w:tcMar>
              <w:top w:w="60" w:type="dxa"/>
              <w:bottom w:w="60" w:type="dxa"/>
              <w:left w:w="80" w:type="dxa"/>
              <w:right w:w="80" w:type="dxa"/>
            </w:tcMar>
          </w:tcPr>
          <w:p>
            <w:pPr>
              <w:spacing w:line="240" w:lineRule="auto" w:after="0" w:before="0"/>
              <w:jc w:val="center"/>
            </w:pPr>
            <w:r>
              <w:rPr>
                <w:rFonts w:ascii="Arial" w:hAnsi="Arial"/>
                <w:b w:val="0"/>
                <w:sz w:val="20"/>
              </w:rPr>
              <w:t>4.94</w:t>
            </w:r>
          </w:p>
        </w:tc>
        <w:tc>
          <w:tcP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60" w:type="dxa"/>
              <w:bottom w:w="60" w:type="dxa"/>
              <w:left w:w="80" w:type="dxa"/>
              <w:right w:w="80" w:type="dxa"/>
            </w:tcMar>
            <w:tcMar>
              <w:top w:w="80" w:type="dxa"/>
              <w:bottom w:w="80" w:type="dxa"/>
              <w:left w:w="100" w:type="dxa"/>
              <w:right w:w="100" w:type="dxa"/>
            </w:tcMar>
            <w:tcW w:w="1100" w:type="dxa"/>
            <w:tcMar>
              <w:top w:w="60" w:type="dxa"/>
              <w:bottom w:w="60" w:type="dxa"/>
              <w:left w:w="80" w:type="dxa"/>
              <w:right w:w="80" w:type="dxa"/>
            </w:tcMar>
          </w:tcPr>
          <w:p>
            <w:pPr>
              <w:spacing w:line="240" w:lineRule="auto" w:after="0" w:before="0"/>
              <w:jc w:val="left"/>
            </w:pPr>
            <w:r>
              <w:rPr>
                <w:rFonts w:ascii="Arial" w:hAnsi="Arial"/>
                <w:b w:val="0"/>
                <w:sz w:val="20"/>
              </w:rPr>
              <w:t>Very Effective</w:t>
            </w:r>
          </w:p>
        </w:tc>
      </w:tr>
    </w:tbl>
    <w:p>
      <w:pPr>
        <w:jc w:val="left"/>
      </w:pPr>
      <w:r>
        <w:rPr>
          <w:rFonts w:ascii="Arial" w:hAnsi="Arial"/>
          <w:sz w:val="24"/>
        </w:rPr>
        <w:t>Table 54 shows that Compatibility achieved the highest overall mean rating of 4.98 (Very Effective), confirming that FFPRAMS integrates seamlessly across desktop, tablet, and mobile browsers without layout distortion. Security achieved a mean rating of 4.97 (Very Effective), reflecting strong evaluator confidence in the system's AES-256-GCM field encryption, HMAC-SHA256 blind indexing, and role-based access control guards. Functional Suitability received a mean of 4.95 (Very Effective), demonstrating that the 5-step beneficiary wizard, Valid Government ID validation, and Semaphore SMS notification features fully meet municipal operational requirements.</w:t>
      </w:r>
    </w:p>
    <w:p>
      <w:pPr>
        <w:spacing w:before="240" w:after="120" w:line="240" w:lineRule="auto"/>
        <w:jc w:val="left"/>
      </w:pPr>
      <w:r>
        <w:rPr>
          <w:rFonts w:ascii="Arial" w:hAnsi="Arial"/>
          <w:b/>
          <w:sz w:val="24"/>
        </w:rPr>
        <w:t>4.4 Results of Objective 4: User's Guide</w:t>
      </w:r>
    </w:p>
    <w:p>
      <w:pPr>
        <w:jc w:val="both"/>
      </w:pPr>
      <w:r>
        <w:rPr>
          <w:rFonts w:ascii="Arial" w:hAnsi="Arial"/>
          <w:sz w:val="24"/>
        </w:rPr>
        <w:t>The fourth objective of the study was to develop a user's guide.</w:t>
      </w:r>
    </w:p>
    <w:p>
      <w:pPr>
        <w:jc w:val="both"/>
      </w:pPr>
      <w:r>
        <w:rPr>
          <w:rFonts w:ascii="Arial" w:hAnsi="Arial"/>
          <w:sz w:val="24"/>
        </w:rPr>
        <w:t>The result of this objective was the user's guide was successfully created to provide comprehensive, step-by-step instructions for LGU Administrators and MAO Staff members. The guide covers account authentication, beneficiary pre-registration, government ID validation, resource allocation, Semaphore SMS broadcasting, Leaflet.js geo-mapping, and audit log report exports.</w:t>
      </w:r>
    </w:p>
    <w:p>
      <w:pPr>
        <w:jc w:val="both"/>
      </w:pPr>
      <w:r>
        <w:rPr>
          <w:rFonts w:ascii="Arial" w:hAnsi="Arial"/>
          <w:sz w:val="24"/>
        </w:rPr>
        <w:t>In this section, step-by-step interface walkthroughs illustrate key operational workflows of the Farmer-Fisherfolk Precision Resource Allocation Management System with Geo-Mapping (FFPRAMS).</w:t>
      </w:r>
    </w:p>
    <w:p>
      <w:pPr>
        <w:spacing w:before="240" w:after="240" w:line="240" w:lineRule="auto"/>
        <w:jc w:val="left"/>
      </w:pPr>
      <w:r>
        <w:rPr>
          <w:rFonts w:ascii="Arial" w:hAnsi="Arial"/>
          <w:b/>
          <w:sz w:val="24"/>
        </w:rPr>
        <w:t>REFERENCES</w:t>
      </w:r>
    </w:p>
    <w:p>
      <w:pPr>
        <w:spacing w:after="120"/>
        <w:ind w:left="720" w:hanging="720"/>
        <w:jc w:val="both"/>
      </w:pPr>
      <w:r/>
      <w:r>
        <w:t xml:space="preserve">Albert, J. R. G., Orbeta, A. C., Jr., Melad, K. A. M., &amp; Mahmoud, M. A. (2024). Is the 4Ps targeting accuracy improving? (Discussion Paper Series No. 2024-27). Philippine Institute for Development Studies. </w:t>
      </w:r>
      <w:hyperlink r:id="rId9">
        <w:r>
          <w:rPr>
            <w:color w:val="0563C1"/>
            <w:u w:val="single"/>
          </w:rPr>
          <w:t>https://pidswebs.pids.gov.ph/CDN/document/pidsdps2427.pdf</w:t>
        </w:r>
      </w:hyperlink>
    </w:p>
    <w:p>
      <w:pPr>
        <w:spacing w:after="120"/>
        <w:ind w:left="720" w:hanging="720"/>
        <w:jc w:val="both"/>
      </w:pPr>
      <w:r/>
      <w:r>
        <w:t xml:space="preserve">Alberro Encinas, L. I., &amp; Geschwind, S. (2025). Dynamic social registries for adaptive social protection. World Bank. </w:t>
      </w:r>
      <w:hyperlink r:id="rId10">
        <w:r>
          <w:rPr>
            <w:color w:val="0563C1"/>
            <w:u w:val="single"/>
          </w:rPr>
          <w:t>https://openknowledge.worldbank.org/entities/publication/10e4933e-b6e1-42e6-b1c0-c2e79c41c838</w:t>
        </w:r>
      </w:hyperlink>
    </w:p>
    <w:p>
      <w:pPr>
        <w:spacing w:after="120"/>
        <w:ind w:left="720" w:hanging="720"/>
        <w:jc w:val="both"/>
      </w:pPr>
      <w:r/>
      <w:r>
        <w:t xml:space="preserve">Ali, A., Ahmed, M., &amp; Khan, A. (2021). Audit logs management and security: A survey. Kuwait Journal of Science, 48(3), 1–15. </w:t>
      </w:r>
      <w:hyperlink r:id="rId11">
        <w:r>
          <w:rPr>
            <w:color w:val="0563C1"/>
            <w:u w:val="single"/>
          </w:rPr>
          <w:t>https://doi.org/10.48129/kjs.v48i3.10624</w:t>
        </w:r>
      </w:hyperlink>
    </w:p>
    <w:p>
      <w:pPr>
        <w:spacing w:after="120"/>
        <w:ind w:left="720" w:hanging="720"/>
        <w:jc w:val="both"/>
      </w:pPr>
      <w:r/>
      <w:r>
        <w:t xml:space="preserve">Ayuningtyas, P. K., Atmodjo, W. P. D., &amp; Rachmadi, P. (2023). Performance and functional testing with the black box testing method. International Journal of Progressive Sciences and Technologies, 39(2), 212–219. </w:t>
      </w:r>
      <w:hyperlink r:id="rId12">
        <w:r>
          <w:rPr>
            <w:color w:val="0563C1"/>
            <w:u w:val="single"/>
          </w:rPr>
          <w:t>https://doi.org/10.52155/ijpsat.v39.2.5471</w:t>
        </w:r>
      </w:hyperlink>
    </w:p>
    <w:p>
      <w:pPr>
        <w:spacing w:after="120"/>
        <w:ind w:left="720" w:hanging="720"/>
        <w:jc w:val="both"/>
      </w:pPr>
      <w:r/>
      <w:r>
        <w:t xml:space="preserve">Braz, C., &amp; Robert, J. M. (2006). Security and usability: The case of user authentication methods. In Proceedings of the 18th French-Speaking Conference on Human-Computer Interaction (pp. 199–203). ACM. </w:t>
      </w:r>
      <w:hyperlink r:id="rId13">
        <w:r>
          <w:rPr>
            <w:color w:val="0563C1"/>
            <w:u w:val="single"/>
          </w:rPr>
          <w:t>https://doi.org/10.1145/1132736.1132768</w:t>
        </w:r>
      </w:hyperlink>
    </w:p>
    <w:p>
      <w:pPr>
        <w:spacing w:after="120"/>
        <w:ind w:left="720" w:hanging="720"/>
        <w:jc w:val="both"/>
      </w:pPr>
      <w:r/>
      <w:r>
        <w:t xml:space="preserve">Briones, R. M. (2022). Assessment of the Registry System for Basic Sectors in Agriculture (RSBSA) (Discussion Paper Series No. 2022-18). Philippine Institute for Development Studies. </w:t>
      </w:r>
      <w:hyperlink r:id="rId14">
        <w:r>
          <w:rPr>
            <w:color w:val="0563C1"/>
            <w:u w:val="single"/>
          </w:rPr>
          <w:t>https://pidswebs.pids.gov.ph/CDN/document/pidsdps2218.pdf</w:t>
        </w:r>
      </w:hyperlink>
    </w:p>
    <w:p>
      <w:pPr>
        <w:spacing w:after="120"/>
        <w:ind w:left="720" w:hanging="720"/>
        <w:jc w:val="both"/>
      </w:pPr>
      <w:r/>
      <w:r>
        <w:t xml:space="preserve">Briones, R. M., Galang, I. M. R., &amp; Latigar, J. S. (2023). Transforming Philippine agri-food systems with digital technology: Extent, prospects, and inclusiveness (Discussion Paper Series No. 2023-29). Philippine Institute for Development Studies. </w:t>
      </w:r>
      <w:hyperlink r:id="rId15">
        <w:r>
          <w:rPr>
            <w:color w:val="0563C1"/>
            <w:u w:val="single"/>
          </w:rPr>
          <w:t>https://doi.org/10.62986/dp2023.29</w:t>
        </w:r>
      </w:hyperlink>
    </w:p>
    <w:p>
      <w:pPr>
        <w:spacing w:after="120"/>
        <w:ind w:left="720" w:hanging="720"/>
        <w:jc w:val="both"/>
      </w:pPr>
      <w:r/>
      <w:r>
        <w:t xml:space="preserve">Bureau of Agricultural and Fisheries Engineering &amp; Caraga State University. (2023). GEOAGRI: Web-based geospatial decision support system. Department of Agriculture. </w:t>
      </w:r>
      <w:hyperlink r:id="rId16">
        <w:r>
          <w:rPr>
            <w:color w:val="0563C1"/>
            <w:u w:val="single"/>
          </w:rPr>
          <w:t>https://geoagri.bafe.gov.ph/</w:t>
        </w:r>
      </w:hyperlink>
    </w:p>
    <w:p>
      <w:pPr>
        <w:spacing w:after="120"/>
        <w:ind w:left="720" w:hanging="720"/>
        <w:jc w:val="both"/>
      </w:pPr>
      <w:r/>
      <w:r>
        <w:t xml:space="preserve">Bureau of Fisheries and Aquatic Resources. (2023). National Program for Municipal Fisherfolk Registration (FishR). Department of Agriculture. </w:t>
      </w:r>
      <w:hyperlink r:id="rId17">
        <w:r>
          <w:rPr>
            <w:color w:val="0563C1"/>
            <w:u w:val="single"/>
          </w:rPr>
          <w:t>https://www.da.gov.ph/</w:t>
        </w:r>
      </w:hyperlink>
    </w:p>
    <w:p>
      <w:pPr>
        <w:spacing w:after="120"/>
        <w:ind w:left="720" w:hanging="720"/>
        <w:jc w:val="both"/>
      </w:pPr>
      <w:r/>
      <w:r>
        <w:t xml:space="preserve">Department of Agriculture. (2023a). Farmers and Fisherfolk Enterprise Development Information System (FFEDIS). Republic of the Philippines. </w:t>
      </w:r>
      <w:hyperlink r:id="rId18">
        <w:r>
          <w:rPr>
            <w:color w:val="0563C1"/>
            <w:u w:val="single"/>
          </w:rPr>
          <w:t>https://ffedis.da.gov.ph/</w:t>
        </w:r>
      </w:hyperlink>
    </w:p>
    <w:p>
      <w:pPr>
        <w:spacing w:after="120"/>
        <w:ind w:left="720" w:hanging="720"/>
        <w:jc w:val="both"/>
      </w:pPr>
      <w:r/>
      <w:r>
        <w:t xml:space="preserve">Department of Agriculture. (2023b). Registry System for Basic Sectors in Agriculture (RSBSA) operational guidelines. Republic of the Philippines. </w:t>
      </w:r>
      <w:hyperlink r:id="rId19">
        <w:r>
          <w:rPr>
            <w:color w:val="0563C1"/>
            <w:u w:val="single"/>
          </w:rPr>
          <w:t>https://www.da.gov.ph/rsbsa-registration-and-updating/</w:t>
        </w:r>
      </w:hyperlink>
    </w:p>
    <w:p>
      <w:pPr>
        <w:spacing w:after="120"/>
        <w:ind w:left="720" w:hanging="720"/>
        <w:jc w:val="both"/>
      </w:pPr>
      <w:r/>
      <w:r>
        <w:t xml:space="preserve">Department of Interior and Local Government &amp; Department of Agriculture. (2018). DILG-DA Joint Memorandum Circular No. 2018-03: Guidelines on the implementation of municipal fisherfolk registration. Republic of the Philippines. </w:t>
      </w:r>
      <w:hyperlink r:id="rId20">
        <w:r>
          <w:rPr>
            <w:color w:val="0563C1"/>
            <w:u w:val="single"/>
          </w:rPr>
          <w:t>https://www.dilg.gov.ph/</w:t>
        </w:r>
      </w:hyperlink>
    </w:p>
    <w:p>
      <w:pPr>
        <w:spacing w:after="120"/>
        <w:ind w:left="720" w:hanging="720"/>
        <w:jc w:val="both"/>
      </w:pPr>
      <w:r/>
      <w:r>
        <w:t xml:space="preserve">Department of Social Welfare and Development. (2023). Listahanan 3: National household targeting system for poverty reduction. Republic of the Philippines. </w:t>
      </w:r>
      <w:hyperlink r:id="rId21">
        <w:r>
          <w:rPr>
            <w:color w:val="0563C1"/>
            <w:u w:val="single"/>
          </w:rPr>
          <w:t>https://listahanan.dswd.gov.ph/</w:t>
        </w:r>
      </w:hyperlink>
    </w:p>
    <w:p>
      <w:pPr>
        <w:spacing w:after="120"/>
        <w:ind w:left="720" w:hanging="720"/>
        <w:jc w:val="both"/>
      </w:pPr>
      <w:r/>
      <w:r>
        <w:t xml:space="preserve">Espiritu, P. G., Manzon, R. D., &amp; Florencondia, N. (2023). Digital transformation adoption in the Local Government Unit (LGU) of the Science City of Muñoz, Nueva Ecija: The challenges and best practices. The QUEST: Journal of Multidisciplinary Research and Development, 2(3), 137–150. </w:t>
      </w:r>
      <w:hyperlink r:id="rId22">
        <w:r>
          <w:rPr>
            <w:color w:val="0563C1"/>
            <w:u w:val="single"/>
          </w:rPr>
          <w:t>https://doi.org/10.60008/thequest.v2i3.137</w:t>
        </w:r>
      </w:hyperlink>
    </w:p>
    <w:p>
      <w:pPr>
        <w:spacing w:after="120"/>
        <w:ind w:left="720" w:hanging="720"/>
        <w:jc w:val="both"/>
      </w:pPr>
      <w:r/>
      <w:r>
        <w:t xml:space="preserve">Food and Agriculture Organization of the United Nations. (2022). Hand-in-Hand Geospatial Platform. FAO. </w:t>
      </w:r>
      <w:hyperlink r:id="rId23">
        <w:r>
          <w:rPr>
            <w:color w:val="0563C1"/>
            <w:u w:val="single"/>
          </w:rPr>
          <w:t>https://www.fao.org/hih-geospatial-platform/en/</w:t>
        </w:r>
      </w:hyperlink>
    </w:p>
    <w:p>
      <w:pPr>
        <w:spacing w:after="120"/>
        <w:ind w:left="720" w:hanging="720"/>
        <w:jc w:val="both"/>
      </w:pPr>
      <w:r/>
      <w:r>
        <w:t xml:space="preserve">Government of India. (2023). AgriStack: Digital agriculture infrastructure portal. Ministry of Agriculture and Farmers Welfare. </w:t>
      </w:r>
      <w:hyperlink r:id="rId24">
        <w:r>
          <w:rPr>
            <w:color w:val="0563C1"/>
            <w:u w:val="single"/>
          </w:rPr>
          <w:t>https://agristack.gov.in/</w:t>
        </w:r>
      </w:hyperlink>
    </w:p>
    <w:p>
      <w:pPr>
        <w:spacing w:after="120"/>
        <w:ind w:left="720" w:hanging="720"/>
        <w:jc w:val="both"/>
      </w:pPr>
      <w:r/>
      <w:r>
        <w:t xml:space="preserve">Gumbi, N., Gumbi, L., &amp; Twinomurinzi, H. (2023). Towards sustainable digital agriculture for smallholder farmers: A systematic literature review. Sustainability, 15(16), Article 12530. </w:t>
      </w:r>
      <w:hyperlink r:id="rId25">
        <w:r>
          <w:rPr>
            <w:color w:val="0563C1"/>
            <w:u w:val="single"/>
          </w:rPr>
          <w:t>https://doi.org/10.3390/su151612530</w:t>
        </w:r>
      </w:hyperlink>
    </w:p>
    <w:p>
      <w:pPr>
        <w:spacing w:after="120"/>
        <w:ind w:left="720" w:hanging="720"/>
        <w:jc w:val="both"/>
      </w:pPr>
      <w:r/>
      <w:r>
        <w:t xml:space="preserve">Hashemi, N., Tahir, A., Rasheed, S., Shi, A., &amp; Blagojevic, R. (2025). Evaluating order-dependent test execution and cryptographic indexing in modern web architectures. arXiv. </w:t>
      </w:r>
      <w:hyperlink r:id="rId26">
        <w:r>
          <w:rPr>
            <w:color w:val="0563C1"/>
            <w:u w:val="single"/>
          </w:rPr>
          <w:t>https://arxiv.org/abs/2501.12680</w:t>
        </w:r>
      </w:hyperlink>
    </w:p>
    <w:p>
      <w:pPr>
        <w:spacing w:after="120"/>
        <w:ind w:left="720" w:hanging="720"/>
        <w:jc w:val="both"/>
      </w:pPr>
      <w:r/>
      <w:r>
        <w:t xml:space="preserve">International Organization for Standardization. (2011). Systems and software engineering — Systems and software Quality Requirements and Evaluation (SQuaRE) — System and software quality models (ISO/IEC Standard No. 25010:2011). </w:t>
      </w:r>
      <w:hyperlink r:id="rId27">
        <w:r>
          <w:rPr>
            <w:color w:val="0563C1"/>
            <w:u w:val="single"/>
          </w:rPr>
          <w:t>https://www.iso.org/standard/35733.html</w:t>
        </w:r>
      </w:hyperlink>
    </w:p>
    <w:p>
      <w:pPr>
        <w:spacing w:after="120"/>
        <w:ind w:left="720" w:hanging="720"/>
        <w:jc w:val="both"/>
      </w:pPr>
      <w:r/>
      <w:r>
        <w:t xml:space="preserve">Mathenge, M., Sonneveld, B. G. J. S., &amp; Broerse, J. E. W. (2022). Application of GIS in agriculture in promoting evidence-informed decision making for improving agriculture sustainability: A systematic review. Sustainability, 14(16), Article 9974. </w:t>
      </w:r>
      <w:hyperlink r:id="rId28">
        <w:r>
          <w:rPr>
            <w:color w:val="0563C1"/>
            <w:u w:val="single"/>
          </w:rPr>
          <w:t>https://doi.org/10.3390/su14169974</w:t>
        </w:r>
      </w:hyperlink>
    </w:p>
    <w:p>
      <w:pPr>
        <w:spacing w:after="120"/>
        <w:ind w:left="720" w:hanging="720"/>
        <w:jc w:val="both"/>
      </w:pPr>
      <w:r/>
      <w:r>
        <w:t xml:space="preserve">Morales, E. M. O., Moyon, E. S., &amp; Jayoma, J. M. (2021). GEOAGRI: A geospatial web-based decision support system to farm-to-market road network plan. In TENCON 2021 - 2021 IEEE Region 10 Conference (pp. 869–874). IEEE. </w:t>
      </w:r>
      <w:hyperlink r:id="rId29">
        <w:r>
          <w:rPr>
            <w:color w:val="0563C1"/>
            <w:u w:val="single"/>
          </w:rPr>
          <w:t>https://doi.org/10.1109/TENCON54134.2021.9707287</w:t>
        </w:r>
      </w:hyperlink>
    </w:p>
    <w:p>
      <w:pPr>
        <w:spacing w:after="120"/>
        <w:ind w:left="720" w:hanging="720"/>
        <w:jc w:val="both"/>
      </w:pPr>
      <w:r/>
      <w:r>
        <w:t xml:space="preserve">National Informatics Centre. (2023). PM-KISAN: Pradhan Mantri Kisan Samman Nidhi portal. Government of India. </w:t>
      </w:r>
      <w:hyperlink r:id="rId30">
        <w:r>
          <w:rPr>
            <w:color w:val="0563C1"/>
            <w:u w:val="single"/>
          </w:rPr>
          <w:t>https://pmkisan.gov.in/</w:t>
        </w:r>
      </w:hyperlink>
    </w:p>
    <w:p>
      <w:pPr>
        <w:spacing w:after="120"/>
        <w:ind w:left="720" w:hanging="720"/>
        <w:jc w:val="both"/>
      </w:pPr>
      <w:r/>
      <w:r>
        <w:t xml:space="preserve">OpenG2P. (2023). Program and Beneficiary Management System (PBMS). OpenG2P Alliance. </w:t>
      </w:r>
      <w:hyperlink r:id="rId31">
        <w:r>
          <w:rPr>
            <w:color w:val="0563C1"/>
            <w:u w:val="single"/>
          </w:rPr>
          <w:t>https://www.openg2p.org/platform</w:t>
        </w:r>
      </w:hyperlink>
    </w:p>
    <w:p>
      <w:pPr>
        <w:spacing w:after="120"/>
        <w:ind w:left="720" w:hanging="720"/>
        <w:jc w:val="both"/>
      </w:pPr>
      <w:r/>
      <w:r>
        <w:t xml:space="preserve">openIMIS Initiative. (2023). openIMIS: Open source insurance management information system. openIMIS. </w:t>
      </w:r>
      <w:hyperlink r:id="rId32">
        <w:r>
          <w:rPr>
            <w:color w:val="0563C1"/>
            <w:u w:val="single"/>
          </w:rPr>
          <w:t>https://openimis.org/</w:t>
        </w:r>
      </w:hyperlink>
    </w:p>
    <w:p>
      <w:pPr>
        <w:spacing w:after="120"/>
        <w:ind w:left="720" w:hanging="720"/>
        <w:jc w:val="both"/>
      </w:pPr>
      <w:r/>
      <w:r>
        <w:t xml:space="preserve">Oyeman, O., Adebayo, K., &amp; Mensah, E. (2024). Automated SMS gateway notifications and recipient reachability in public assistance programs. International Journal of Information Technology and Management, 23(1), 88–104. </w:t>
      </w:r>
      <w:hyperlink r:id="rId38">
        <w:r>
          <w:rPr>
            <w:color w:val="0563C1"/>
            <w:u w:val="single"/>
          </w:rPr>
          <w:t>https://doi.org/10.1504/IJITM.2024.135789</w:t>
        </w:r>
      </w:hyperlink>
    </w:p>
    <w:p>
      <w:pPr>
        <w:spacing w:after="120"/>
        <w:ind w:left="720" w:hanging="720"/>
        <w:jc w:val="both"/>
      </w:pPr>
      <w:r/>
      <w:r>
        <w:t xml:space="preserve">Republic of the Philippines. (1991). Republic Act No. 7160: An Act providing for a Local Government Code of 1991. Official Gazette of the Republic of the Philippines. </w:t>
      </w:r>
      <w:hyperlink r:id="rId33">
        <w:r>
          <w:rPr>
            <w:color w:val="0563C1"/>
            <w:u w:val="single"/>
          </w:rPr>
          <w:t>https://www.officialgazette.gov.ph/1991/10/10/republic-act-no-7160/</w:t>
        </w:r>
      </w:hyperlink>
    </w:p>
    <w:p>
      <w:pPr>
        <w:spacing w:after="120"/>
        <w:ind w:left="720" w:hanging="720"/>
        <w:jc w:val="both"/>
      </w:pPr>
      <w:r/>
      <w:r>
        <w:t xml:space="preserve">Republic of the Philippines. (1998). Republic Act No. 8550: The Philippine Fisheries Code of 1998 (as amended by RA 10654). Official Gazette of the Republic of the Philippines. </w:t>
      </w:r>
      <w:hyperlink r:id="rId34">
        <w:r>
          <w:rPr>
            <w:color w:val="0563C1"/>
            <w:u w:val="single"/>
          </w:rPr>
          <w:t>https://www.officialgazette.gov.ph/1998/02/25/republic-act-no-8550/</w:t>
        </w:r>
      </w:hyperlink>
    </w:p>
    <w:p>
      <w:pPr>
        <w:spacing w:after="120"/>
        <w:ind w:left="720" w:hanging="720"/>
        <w:jc w:val="both"/>
      </w:pPr>
      <w:r/>
      <w:r>
        <w:t xml:space="preserve">Republic of the Philippines. (2012). Republic Act No. 10173: An Act protecting individual personal information in information and communications systems in the government and the private sector (Data Privacy Act of 2012). Official Gazette of the Republic of the Philippines. </w:t>
      </w:r>
      <w:hyperlink r:id="rId35">
        <w:r>
          <w:rPr>
            <w:color w:val="0563C1"/>
            <w:u w:val="single"/>
          </w:rPr>
          <w:t>https://www.officialgazette.gov.ph/2012/08/15/republic-act-no-10173/</w:t>
        </w:r>
      </w:hyperlink>
    </w:p>
    <w:p>
      <w:pPr>
        <w:spacing w:after="120"/>
        <w:ind w:left="720" w:hanging="720"/>
        <w:jc w:val="both"/>
      </w:pPr>
      <w:r/>
      <w:r>
        <w:t xml:space="preserve">Singh, R., Slotznick, W., &amp; Stein, D. (2023). Digital tools for rural agriculture extension: Impacts of mobile-based advisories on agricultural practices in Southern India. Journal of the Agricultural and Applied Economics Association, 2(2), 359–373. </w:t>
      </w:r>
      <w:hyperlink r:id="rId36">
        <w:r>
          <w:rPr>
            <w:color w:val="0563C1"/>
            <w:u w:val="single"/>
          </w:rPr>
          <w:t>https://doi.org/10.1002/jaa2.42</w:t>
        </w:r>
      </w:hyperlink>
    </w:p>
    <w:p>
      <w:pPr>
        <w:spacing w:after="120"/>
        <w:ind w:left="720" w:hanging="720"/>
        <w:jc w:val="both"/>
      </w:pPr>
      <w:r>
        <w:rPr>
          <w:rFonts w:ascii="Arial" w:hAnsi="Arial"/>
          <w:sz w:val="24"/>
        </w:rPr>
        <w:t>Soko, M., &amp; Chatola, F. (2024). Modular management systems and legal compliance verification in public sector applications. Public Sector Information Management, 8(1), 33–47.</w:t>
      </w:r>
    </w:p>
    <w:p>
      <w:pPr>
        <w:spacing w:after="120"/>
        <w:ind w:left="720" w:hanging="720"/>
        <w:jc w:val="both"/>
      </w:pPr>
      <w:r/>
      <w:r>
        <w:t xml:space="preserve">World Bank. (2022). Sourcebook on the foundations of social protection delivery systems (Report No. 147820). World Bank Group. </w:t>
      </w:r>
      <w:hyperlink r:id="rId37">
        <w:r>
          <w:rPr>
            <w:color w:val="0563C1"/>
            <w:u w:val="single"/>
          </w:rPr>
          <w:t>https://openknowledge.worldbank.org/handle/10986/34044</w:t>
        </w:r>
      </w:hyperlink>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before="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idswebs.pids.gov.ph/CDN/document/pidsdps2427.pdf" TargetMode="External"/><Relationship Id="rId10" Type="http://schemas.openxmlformats.org/officeDocument/2006/relationships/hyperlink" Target="https://openknowledge.worldbank.org/entities/publication/10e4933e-b6e1-42e6-b1c0-c2e79c41c838" TargetMode="External"/><Relationship Id="rId11" Type="http://schemas.openxmlformats.org/officeDocument/2006/relationships/hyperlink" Target="https://doi.org/10.48129/kjs.v48i3.10624" TargetMode="External"/><Relationship Id="rId12" Type="http://schemas.openxmlformats.org/officeDocument/2006/relationships/hyperlink" Target="https://doi.org/10.52155/ijpsat.v39.2.5471" TargetMode="External"/><Relationship Id="rId13" Type="http://schemas.openxmlformats.org/officeDocument/2006/relationships/hyperlink" Target="https://doi.org/10.1145/1132736.1132768" TargetMode="External"/><Relationship Id="rId14" Type="http://schemas.openxmlformats.org/officeDocument/2006/relationships/hyperlink" Target="https://pidswebs.pids.gov.ph/CDN/document/pidsdps2218.pdf" TargetMode="External"/><Relationship Id="rId15" Type="http://schemas.openxmlformats.org/officeDocument/2006/relationships/hyperlink" Target="https://doi.org/10.62986/dp2023.29" TargetMode="External"/><Relationship Id="rId16" Type="http://schemas.openxmlformats.org/officeDocument/2006/relationships/hyperlink" Target="https://geoagri.bafe.gov.ph/" TargetMode="External"/><Relationship Id="rId17" Type="http://schemas.openxmlformats.org/officeDocument/2006/relationships/hyperlink" Target="https://www.da.gov.ph/" TargetMode="External"/><Relationship Id="rId18" Type="http://schemas.openxmlformats.org/officeDocument/2006/relationships/hyperlink" Target="https://ffedis.da.gov.ph/" TargetMode="External"/><Relationship Id="rId19" Type="http://schemas.openxmlformats.org/officeDocument/2006/relationships/hyperlink" Target="https://www.da.gov.ph/rsbsa-registration-and-updating/" TargetMode="External"/><Relationship Id="rId20" Type="http://schemas.openxmlformats.org/officeDocument/2006/relationships/hyperlink" Target="https://www.dilg.gov.ph/" TargetMode="External"/><Relationship Id="rId21" Type="http://schemas.openxmlformats.org/officeDocument/2006/relationships/hyperlink" Target="https://listahanan.dswd.gov.ph/" TargetMode="External"/><Relationship Id="rId22" Type="http://schemas.openxmlformats.org/officeDocument/2006/relationships/hyperlink" Target="https://doi.org/10.60008/thequest.v2i3.137" TargetMode="External"/><Relationship Id="rId23" Type="http://schemas.openxmlformats.org/officeDocument/2006/relationships/hyperlink" Target="https://www.fao.org/hih-geospatial-platform/en/" TargetMode="External"/><Relationship Id="rId24" Type="http://schemas.openxmlformats.org/officeDocument/2006/relationships/hyperlink" Target="https://agristack.gov.in/" TargetMode="External"/><Relationship Id="rId25" Type="http://schemas.openxmlformats.org/officeDocument/2006/relationships/hyperlink" Target="https://doi.org/10.3390/su151612530" TargetMode="External"/><Relationship Id="rId26" Type="http://schemas.openxmlformats.org/officeDocument/2006/relationships/hyperlink" Target="https://arxiv.org/abs/2501.12680" TargetMode="External"/><Relationship Id="rId27" Type="http://schemas.openxmlformats.org/officeDocument/2006/relationships/hyperlink" Target="https://www.iso.org/standard/35733.html" TargetMode="External"/><Relationship Id="rId28" Type="http://schemas.openxmlformats.org/officeDocument/2006/relationships/hyperlink" Target="https://doi.org/10.3390/su14169974" TargetMode="External"/><Relationship Id="rId29" Type="http://schemas.openxmlformats.org/officeDocument/2006/relationships/hyperlink" Target="https://doi.org/10.1109/TENCON54134.2021.9707287" TargetMode="External"/><Relationship Id="rId30" Type="http://schemas.openxmlformats.org/officeDocument/2006/relationships/hyperlink" Target="https://pmkisan.gov.in/" TargetMode="External"/><Relationship Id="rId31" Type="http://schemas.openxmlformats.org/officeDocument/2006/relationships/hyperlink" Target="https://www.openg2p.org/platform" TargetMode="External"/><Relationship Id="rId32" Type="http://schemas.openxmlformats.org/officeDocument/2006/relationships/hyperlink" Target="https://openimis.org/" TargetMode="External"/><Relationship Id="rId33" Type="http://schemas.openxmlformats.org/officeDocument/2006/relationships/hyperlink" Target="https://www.officialgazette.gov.ph/1991/10/10/republic-act-no-7160/" TargetMode="External"/><Relationship Id="rId34" Type="http://schemas.openxmlformats.org/officeDocument/2006/relationships/hyperlink" Target="https://www.officialgazette.gov.ph/1998/02/25/republic-act-no-8550/" TargetMode="External"/><Relationship Id="rId35" Type="http://schemas.openxmlformats.org/officeDocument/2006/relationships/hyperlink" Target="https://www.officialgazette.gov.ph/2012/08/15/republic-act-no-10173/" TargetMode="External"/><Relationship Id="rId36" Type="http://schemas.openxmlformats.org/officeDocument/2006/relationships/hyperlink" Target="https://doi.org/10.1002/jaa2.42" TargetMode="External"/><Relationship Id="rId37" Type="http://schemas.openxmlformats.org/officeDocument/2006/relationships/hyperlink" Target="https://openknowledge.worldbank.org/handle/10986/34044" TargetMode="External"/><Relationship Id="rId38" Type="http://schemas.openxmlformats.org/officeDocument/2006/relationships/hyperlink" Target="https://doi.org/10.1504/IJITM.2024.1357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