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Comprehensive Market Analysis: NUMI</w:t>
      </w:r>
    </w:p>
    <w:p>
      <w:pPr>
        <w:pStyle w:val="MdParagraph"/>
      </w:pPr>
      <w:r>
        <w:rPr>
          <w:rStyle w:val="MdStrong"/>
          <w:b/>
          <w:bCs/>
        </w:rPr>
        <w:t xml:space="preserve">Prepared by:</w:t>
      </w:r>
      <w:r>
        <w:t xml:space="preserve"> Manus AI</w:t>
      </w:r>
      <w:r>
        <w:rPr>
          <w:rStyle w:val="MdBr"/>
        </w:rPr>
        <w:br/>
        <w:t xml:space="preserve"/>
      </w:r>
      <w:r>
        <w:rPr>
          <w:rStyle w:val="MdStrong"/>
          <w:b/>
          <w:bCs/>
        </w:rPr>
        <w:t xml:space="preserve">Date:</w:t>
      </w:r>
      <w:r>
        <w:t xml:space="preserve"> May 14, 2026</w:t>
      </w:r>
    </w:p>
    <w:p>
      <w:pPr>
        <w:pStyle w:val="MdSpace"/>
        <w:spacing w:before="0" w:after="60"/>
      </w:pPr>
    </w:p>
    <w:p>
      <w:pPr>
        <w:pStyle w:val="Heading2"/>
        <w:pStyle w:val="MdHeading2"/>
      </w:pPr>
      <w:r>
        <w:t xml:space="preserve">Executive Summary</w:t>
      </w:r>
    </w:p>
    <w:p>
      <w:pPr>
        <w:pStyle w:val="MdParagraph"/>
      </w:pPr>
      <w:r>
        <w:t xml:space="preserve">This comprehensive market analysis evaluates the strategic positioning and growth potential for </w:t>
      </w:r>
      <w:r>
        <w:rPr>
          <w:rStyle w:val="MdStrong"/>
          <w:b/>
          <w:bCs/>
        </w:rPr>
        <w:t xml:space="preserve">NUMI</w:t>
      </w:r>
      <w:r>
        <w:t xml:space="preserve">, a human intelligent pattern platform that integrates Eastern wisdom (astrology, Human Design, numerology) with modern artificial intelligence. The analysis covers market size and growth trajectories, competitive dynamics, evolving consumer trends, and actionable market gaps. The findings indicate a highly favorable environment for NUMI, driven by a booming wellness economy, the rapid adoption of AI-driven personalization, and a cultural shift toward individualized spiritual practices among younger demographics.</w:t>
      </w:r>
    </w:p>
    <w:p>
      <w:pPr>
        <w:pStyle w:val="MdSpace"/>
        <w:spacing w:before="0" w:after="60"/>
      </w:pPr>
    </w:p>
    <w:p>
      <w:pPr>
        <w:pStyle w:val="Heading2"/>
        <w:pStyle w:val="MdHeading2"/>
      </w:pPr>
      <w:r>
        <w:t xml:space="preserve">1. Market Size &amp; Growth</w:t>
      </w:r>
    </w:p>
    <w:p>
      <w:pPr>
        <w:pStyle w:val="MdParagraph"/>
      </w:pPr>
      <w:r>
        <w:t xml:space="preserve">The macroeconomic environment for wellness and spiritual technology is experiencing unprecedented expansion, providing a robust foundation for NUMI's market entry.</w:t>
      </w:r>
    </w:p>
    <w:p>
      <w:pPr>
        <w:pStyle w:val="MdSpace"/>
        <w:spacing w:before="0" w:after="60"/>
      </w:pPr>
    </w:p>
    <w:p>
      <w:pPr>
        <w:pStyle w:val="MdParagraph"/>
      </w:pPr>
      <w:r>
        <w:rPr>
          <w:rStyle w:val="MdStrong"/>
          <w:b/>
          <w:bCs/>
        </w:rPr>
        <w:t xml:space="preserve">Global Wellness Market</w:t>
      </w:r>
      <w:r>
        <w:rPr>
          <w:rStyle w:val="MdBr"/>
        </w:rPr>
        <w:br/>
        <w:t xml:space="preserve"/>
      </w:r>
      <w:r>
        <w:t xml:space="preserve">The global wellness economy is on a steep upward trajectory. Valued at approximately $5.6 trillion in 2024, the market is projected to reach $8.5 trillion by 2030, expanding at a compound annual growth rate (CAGR) of 7.6% [1]. This growth outpaces global GDP projections, indicating that wellness has transitioned from a discretionary luxury to an essential consumer priority.</w:t>
      </w:r>
    </w:p>
    <w:p>
      <w:pPr>
        <w:pStyle w:val="MdSpace"/>
        <w:spacing w:before="0" w:after="60"/>
      </w:pPr>
    </w:p>
    <w:p>
      <w:pPr>
        <w:pStyle w:val="MdParagraph"/>
      </w:pPr>
      <w:r>
        <w:rPr>
          <w:rStyle w:val="MdStrong"/>
          <w:b/>
          <w:bCs/>
        </w:rPr>
        <w:t xml:space="preserve">Astrology and Fortune-Telling Services</w:t>
      </w:r>
      <w:r>
        <w:rPr>
          <w:rStyle w:val="MdBr"/>
        </w:rPr>
        <w:br/>
        <w:t xml:space="preserve"/>
      </w:r>
      <w:r>
        <w:t xml:space="preserve">The digital astrology sector is experiencing explosive growth. The global astrology app market, valued at roughly $3 billion in 2024, is forecast to triple, reaching $9 billion by 2030 with a CAGR of 20% to 25% [2]. Some industry analysts project the broader astrology API and services market could reach up to $30 billion by the end of the decade [3]. This rapid expansion is fueled by technological integration and a cultural resurgence of esoteric practices.</w:t>
      </w:r>
    </w:p>
    <w:p>
      <w:pPr>
        <w:pStyle w:val="MdSpace"/>
        <w:spacing w:before="0" w:after="60"/>
      </w:pPr>
    </w:p>
    <w:p>
      <w:pPr>
        <w:pStyle w:val="MdParagraph"/>
      </w:pPr>
      <w:r>
        <w:rPr>
          <w:rStyle w:val="MdStrong"/>
          <w:b/>
          <w:bCs/>
        </w:rPr>
        <w:t xml:space="preserve">Personal Development and Self-Improvement</w:t>
      </w:r>
      <w:r>
        <w:rPr>
          <w:rStyle w:val="MdBr"/>
        </w:rPr>
        <w:br/>
        <w:t xml:space="preserve"/>
      </w:r>
      <w:r>
        <w:t xml:space="preserve">The broader personal development market, which encompasses self-improvement apps and services, was estimated at $48.4 billion in 2024. It is projected to grow to $67.21 billion by 2030, reflecting a steady CAGR of 5.49% [4]. Within this sector, the specific market for personal development learning apps is growing even faster, at an estimated CAGR of 15.3% [5].</w:t>
      </w:r>
    </w:p>
    <w:p>
      <w:pPr>
        <w:pStyle w:val="MdSpace"/>
        <w:spacing w:before="0" w:after="60"/>
      </w:pPr>
    </w:p>
    <w:p>
      <w:pPr>
        <w:pStyle w:val="MdParagraph"/>
      </w:pPr>
      <w:r>
        <w:rPr>
          <w:rStyle w:val="MdStrong"/>
          <w:b/>
          <w:bCs/>
        </w:rPr>
        <w:t xml:space="preserve">Human Design System Adoption</w:t>
      </w:r>
      <w:r>
        <w:rPr>
          <w:rStyle w:val="MdBr"/>
        </w:rPr>
        <w:br/>
        <w:t xml:space="preserve"/>
      </w:r>
      <w:r>
        <w:t xml:space="preserve">While Human Design remains a niche compared to traditional astrology, it is rapidly gaining mainstream traction. Individual applications in this space demonstrate strong monetization potential; for instance, leading platforms like My Human Design and Human Design Academy report annual revenues ranging from $600,000 to nearly $7 million [6]. Early-stage AI startups integrating Human Design have also shown promising initial revenue generation, indicating a high willingness to pay among this specific user base [7].</w:t>
      </w:r>
    </w:p>
    <w:p>
      <w:pPr>
        <w:pStyle w:val="MdSpace"/>
        <w:spacing w:before="0" w:after="60"/>
      </w:pPr>
    </w:p>
    <w:p>
      <w:pPr>
        <w:pStyle w:val="MdParagraph"/>
      </w:pPr>
      <w:r>
        <w:rPr>
          <w:rStyle w:val="MdStrong"/>
          <w:b/>
          <w:bCs/>
        </w:rPr>
        <w:t xml:space="preserve">Subscription-Based Wellness Revenue</w:t>
      </w:r>
      <w:r>
        <w:rPr>
          <w:rStyle w:val="MdBr"/>
        </w:rPr>
        <w:br/>
        <w:t xml:space="preserve"/>
      </w:r>
      <w:r>
        <w:t xml:space="preserve">The subscription model remains the dominant revenue engine for digital wellness. The global paid (in-app purchase) spiritual wellness app market was valued at $1.35 billion in 2024 [8]. Leading indirect competitors like Headspace generate over $348 million in annual recurring revenue, demonstrating the massive scale achievable through subscription-based wellness platforms [9].</w:t>
      </w:r>
    </w:p>
    <w:p>
      <w:pPr>
        <w:pStyle w:val="MdSpace"/>
        <w:spacing w:before="0" w:after="60"/>
      </w:pPr>
    </w:p>
    <w:p>
      <w:pPr>
        <w:pStyle w:val="Heading2"/>
        <w:pStyle w:val="MdHeading2"/>
      </w:pPr>
      <w:r>
        <w:t xml:space="preserve">2. Competitive Landscape</w:t>
      </w:r>
    </w:p>
    <w:p>
      <w:pPr>
        <w:pStyle w:val="MdParagraph"/>
      </w:pPr>
      <w:r>
        <w:t xml:space="preserve">NUMI enters a competitive but fragmented market. The landscape is divided between highly specialized direct competitors and broad-appeal indirect competitors.</w:t>
      </w:r>
    </w:p>
    <w:p>
      <w:pPr>
        <w:pStyle w:val="MdSpace"/>
        <w:spacing w:before="0" w:after="60"/>
      </w:pPr>
    </w:p>
    <w:p>
      <w:pPr>
        <w:pStyle w:val="Heading3"/>
        <w:pStyle w:val="MdHeading3"/>
      </w:pPr>
      <w:r>
        <w:t xml:space="preserve">Direct Competitors</w:t>
      </w:r>
    </w:p>
    <w:p>
      <w:pPr>
        <w:pStyle w:val="MdParagraph"/>
      </w:pPr>
      <w:r>
        <w:t xml:space="preserve">The direct competitive set consists of platforms focusing on specific esoteric systems, primarily astrology or Human Design.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Competitor</w:t>
            </w:r>
          </w:p>
        </w:tc>
        <w:tc>
          <w:tcPr>
            <w:tcMar>
              <w:top w:type="dxa" w:w="100"/>
              <w:left w:type="dxa" w:w="120"/>
              <w:bottom w:type="dxa" w:w="100"/>
              <w:right w:type="dxa" w:w="120"/>
            </w:tcMar>
            <w:vAlign w:val="center"/>
          </w:tcPr>
          <w:p>
            <w:pPr>
              <w:pStyle w:val="MdTableHeader"/>
              <w:jc w:val="left"/>
            </w:pPr>
            <w:r>
              <w:t xml:space="preserve">Pricing Model</w:t>
            </w:r>
          </w:p>
        </w:tc>
        <w:tc>
          <w:tcPr>
            <w:tcMar>
              <w:top w:type="dxa" w:w="100"/>
              <w:left w:type="dxa" w:w="120"/>
              <w:bottom w:type="dxa" w:w="100"/>
              <w:right w:type="dxa" w:w="120"/>
            </w:tcMar>
            <w:vAlign w:val="center"/>
          </w:tcPr>
          <w:p>
            <w:pPr>
              <w:pStyle w:val="MdTableHeader"/>
              <w:jc w:val="left"/>
            </w:pPr>
            <w:r>
              <w:t xml:space="preserve">Core Features</w:t>
            </w:r>
          </w:p>
        </w:tc>
        <w:tc>
          <w:tcPr>
            <w:tcMar>
              <w:top w:type="dxa" w:w="100"/>
              <w:left w:type="dxa" w:w="120"/>
              <w:bottom w:type="dxa" w:w="100"/>
              <w:right w:type="dxa" w:w="120"/>
            </w:tcMar>
            <w:vAlign w:val="center"/>
          </w:tcPr>
          <w:p>
            <w:pPr>
              <w:pStyle w:val="MdTableHeader"/>
              <w:jc w:val="left"/>
            </w:pPr>
            <w:r>
              <w:t xml:space="preserve">Target Audience</w:t>
            </w:r>
          </w:p>
        </w:tc>
        <w:tc>
          <w:tcPr>
            <w:tcBorders>
              <w:right w:val="none"/>
            </w:tcBorders>
            <w:tcMar>
              <w:top w:type="dxa" w:w="100"/>
              <w:left w:type="dxa" w:w="120"/>
              <w:bottom w:type="dxa" w:w="100"/>
              <w:right w:type="dxa" w:w="120"/>
            </w:tcMar>
            <w:vAlign w:val="center"/>
          </w:tcPr>
          <w:p>
            <w:pPr>
              <w:pStyle w:val="MdTableHeader"/>
              <w:jc w:val="left"/>
            </w:pPr>
            <w:r>
              <w:t xml:space="preserve">Unique Value Proposition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Co-Star</w:t>
            </w:r>
          </w:p>
        </w:tc>
        <w:tc>
          <w:tcPr>
            <w:tcMar>
              <w:top w:type="dxa" w:w="80"/>
              <w:left w:type="dxa" w:w="120"/>
              <w:bottom w:type="dxa" w:w="80"/>
              <w:right w:type="dxa" w:w="120"/>
            </w:tcMar>
            <w:vAlign w:val="center"/>
          </w:tcPr>
          <w:p>
            <w:pPr>
              <w:pStyle w:val="MdTableCell"/>
              <w:jc w:val="left"/>
            </w:pPr>
            <w:r>
              <w:t xml:space="preserve">Freemium (In-app purchases ~$5)</w:t>
            </w:r>
          </w:p>
        </w:tc>
        <w:tc>
          <w:tcPr>
            <w:tcMar>
              <w:top w:type="dxa" w:w="80"/>
              <w:left w:type="dxa" w:w="120"/>
              <w:bottom w:type="dxa" w:w="80"/>
              <w:right w:type="dxa" w:w="120"/>
            </w:tcMar>
            <w:vAlign w:val="center"/>
          </w:tcPr>
          <w:p>
            <w:pPr>
              <w:pStyle w:val="MdTableCell"/>
              <w:jc w:val="left"/>
            </w:pPr>
            <w:r>
              <w:t xml:space="preserve">NASA data integration, daily horoscopes, social compatibility</w:t>
            </w:r>
          </w:p>
        </w:tc>
        <w:tc>
          <w:tcPr>
            <w:tcMar>
              <w:top w:type="dxa" w:w="80"/>
              <w:left w:type="dxa" w:w="120"/>
              <w:bottom w:type="dxa" w:w="80"/>
              <w:right w:type="dxa" w:w="120"/>
            </w:tcMar>
            <w:vAlign w:val="center"/>
          </w:tcPr>
          <w:p>
            <w:pPr>
              <w:pStyle w:val="MdTableCell"/>
              <w:jc w:val="left"/>
            </w:pPr>
            <w:r>
              <w:t xml:space="preserve">Gen Z and Millennials</w:t>
            </w:r>
          </w:p>
        </w:tc>
        <w:tc>
          <w:tcPr>
            <w:tcBorders>
              <w:right w:val="none"/>
            </w:tcBorders>
            <w:tcMar>
              <w:top w:type="dxa" w:w="80"/>
              <w:left w:type="dxa" w:w="120"/>
              <w:bottom w:type="dxa" w:w="80"/>
              <w:right w:type="dxa" w:w="120"/>
            </w:tcMar>
            <w:vAlign w:val="center"/>
          </w:tcPr>
          <w:p>
            <w:pPr>
              <w:pStyle w:val="MdTableCell"/>
              <w:jc w:val="left"/>
            </w:pPr>
            <w:r>
              <w:t xml:space="preserve">Minimalist aesthetic, hyper-personalized social astrology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The Pattern</w:t>
            </w:r>
          </w:p>
        </w:tc>
        <w:tc>
          <w:tcPr>
            <w:tcMar>
              <w:top w:type="dxa" w:w="80"/>
              <w:left w:type="dxa" w:w="120"/>
              <w:bottom w:type="dxa" w:w="80"/>
              <w:right w:type="dxa" w:w="120"/>
            </w:tcMar>
            <w:vAlign w:val="center"/>
          </w:tcPr>
          <w:p>
            <w:pPr>
              <w:pStyle w:val="MdTableCell"/>
              <w:jc w:val="left"/>
            </w:pPr>
            <w:r>
              <w:t xml:space="preserve">Freemium (Subscriptions)</w:t>
            </w:r>
          </w:p>
        </w:tc>
        <w:tc>
          <w:tcPr>
            <w:tcMar>
              <w:top w:type="dxa" w:w="80"/>
              <w:left w:type="dxa" w:w="120"/>
              <w:bottom w:type="dxa" w:w="80"/>
              <w:right w:type="dxa" w:w="120"/>
            </w:tcMar>
            <w:vAlign w:val="center"/>
          </w:tcPr>
          <w:p>
            <w:pPr>
              <w:pStyle w:val="MdTableCell"/>
              <w:jc w:val="left"/>
            </w:pPr>
            <w:r>
              <w:t xml:space="preserve">Psychological behavioral analysis, timing cycles, relationship synastry</w:t>
            </w:r>
          </w:p>
        </w:tc>
        <w:tc>
          <w:tcPr>
            <w:tcMar>
              <w:top w:type="dxa" w:w="80"/>
              <w:left w:type="dxa" w:w="120"/>
              <w:bottom w:type="dxa" w:w="80"/>
              <w:right w:type="dxa" w:w="120"/>
            </w:tcMar>
            <w:vAlign w:val="center"/>
          </w:tcPr>
          <w:p>
            <w:pPr>
              <w:pStyle w:val="MdTableCell"/>
              <w:jc w:val="left"/>
            </w:pPr>
            <w:r>
              <w:t xml:space="preserve">Deep self-awareness seekers</w:t>
            </w:r>
          </w:p>
        </w:tc>
        <w:tc>
          <w:tcPr>
            <w:tcBorders>
              <w:right w:val="none"/>
            </w:tcBorders>
            <w:tcMar>
              <w:top w:type="dxa" w:w="80"/>
              <w:left w:type="dxa" w:w="120"/>
              <w:bottom w:type="dxa" w:w="80"/>
              <w:right w:type="dxa" w:w="120"/>
            </w:tcMar>
            <w:vAlign w:val="center"/>
          </w:tcPr>
          <w:p>
            <w:pPr>
              <w:pStyle w:val="MdTableCell"/>
              <w:jc w:val="left"/>
            </w:pPr>
            <w:r>
              <w:t xml:space="preserve">"Astrology without the jargon," focusing on psychological depth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Sanctuary</w:t>
            </w:r>
          </w:p>
        </w:tc>
        <w:tc>
          <w:tcPr>
            <w:tcMar>
              <w:top w:type="dxa" w:w="80"/>
              <w:left w:type="dxa" w:w="120"/>
              <w:bottom w:type="dxa" w:w="80"/>
              <w:right w:type="dxa" w:w="120"/>
            </w:tcMar>
            <w:vAlign w:val="center"/>
          </w:tcPr>
          <w:p>
            <w:pPr>
              <w:pStyle w:val="MdTableCell"/>
              <w:jc w:val="left"/>
            </w:pPr>
            <w:r>
              <w:t xml:space="preserve">Freemium (Live chat ~$15/session)</w:t>
            </w:r>
          </w:p>
        </w:tc>
        <w:tc>
          <w:tcPr>
            <w:tcMar>
              <w:top w:type="dxa" w:w="80"/>
              <w:left w:type="dxa" w:w="120"/>
              <w:bottom w:type="dxa" w:w="80"/>
              <w:right w:type="dxa" w:w="120"/>
            </w:tcMar>
            <w:vAlign w:val="center"/>
          </w:tcPr>
          <w:p>
            <w:pPr>
              <w:pStyle w:val="MdTableCell"/>
              <w:jc w:val="left"/>
            </w:pPr>
            <w:r>
              <w:t xml:space="preserve">On-demand live chat with astrologers, daily content</w:t>
            </w:r>
          </w:p>
        </w:tc>
        <w:tc>
          <w:tcPr>
            <w:tcMar>
              <w:top w:type="dxa" w:w="80"/>
              <w:left w:type="dxa" w:w="120"/>
              <w:bottom w:type="dxa" w:w="80"/>
              <w:right w:type="dxa" w:w="120"/>
            </w:tcMar>
            <w:vAlign w:val="center"/>
          </w:tcPr>
          <w:p>
            <w:pPr>
              <w:pStyle w:val="MdTableCell"/>
              <w:jc w:val="left"/>
            </w:pPr>
            <w:r>
              <w:t xml:space="preserve">Instant gratification seekers</w:t>
            </w:r>
          </w:p>
        </w:tc>
        <w:tc>
          <w:tcPr>
            <w:tcBorders>
              <w:right w:val="none"/>
            </w:tcBorders>
            <w:tcMar>
              <w:top w:type="dxa" w:w="80"/>
              <w:left w:type="dxa" w:w="120"/>
              <w:bottom w:type="dxa" w:w="80"/>
              <w:right w:type="dxa" w:w="120"/>
            </w:tcMar>
            <w:vAlign w:val="center"/>
          </w:tcPr>
          <w:p>
            <w:pPr>
              <w:pStyle w:val="MdTableCell"/>
              <w:jc w:val="left"/>
            </w:pPr>
            <w:r>
              <w:t xml:space="preserve">Direct access to human experts in real-time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MyNitya</w:t>
            </w:r>
          </w:p>
        </w:tc>
        <w:tc>
          <w:tcPr>
            <w:tcMar>
              <w:top w:type="dxa" w:w="80"/>
              <w:left w:type="dxa" w:w="120"/>
              <w:bottom w:type="dxa" w:w="80"/>
              <w:right w:type="dxa" w:w="120"/>
            </w:tcMar>
            <w:vAlign w:val="center"/>
          </w:tcPr>
          <w:p>
            <w:pPr>
              <w:pStyle w:val="MdTableCell"/>
              <w:jc w:val="left"/>
            </w:pPr>
            <w:r>
              <w:t xml:space="preserve">Freemium (Pay-per-question)</w:t>
            </w:r>
          </w:p>
        </w:tc>
        <w:tc>
          <w:tcPr>
            <w:tcMar>
              <w:top w:type="dxa" w:w="80"/>
              <w:left w:type="dxa" w:w="120"/>
              <w:bottom w:type="dxa" w:w="80"/>
              <w:right w:type="dxa" w:w="120"/>
            </w:tcMar>
            <w:vAlign w:val="center"/>
          </w:tcPr>
          <w:p>
            <w:pPr>
              <w:pStyle w:val="MdTableCell"/>
              <w:jc w:val="left"/>
            </w:pPr>
            <w:r>
              <w:t xml:space="preserve">Conversational AI combining Vedic and Western astrology</w:t>
            </w:r>
          </w:p>
        </w:tc>
        <w:tc>
          <w:tcPr>
            <w:tcMar>
              <w:top w:type="dxa" w:w="80"/>
              <w:left w:type="dxa" w:w="120"/>
              <w:bottom w:type="dxa" w:w="80"/>
              <w:right w:type="dxa" w:w="120"/>
            </w:tcMar>
            <w:vAlign w:val="center"/>
          </w:tcPr>
          <w:p>
            <w:pPr>
              <w:pStyle w:val="MdTableCell"/>
              <w:jc w:val="left"/>
            </w:pPr>
            <w:r>
              <w:t xml:space="preserve">Serious guidance seekers</w:t>
            </w:r>
          </w:p>
        </w:tc>
        <w:tc>
          <w:tcPr>
            <w:tcBorders>
              <w:right w:val="none"/>
            </w:tcBorders>
            <w:tcMar>
              <w:top w:type="dxa" w:w="80"/>
              <w:left w:type="dxa" w:w="120"/>
              <w:bottom w:type="dxa" w:w="80"/>
              <w:right w:type="dxa" w:w="120"/>
            </w:tcMar>
            <w:vAlign w:val="center"/>
          </w:tcPr>
          <w:p>
            <w:pPr>
              <w:pStyle w:val="MdTableCell"/>
              <w:jc w:val="left"/>
            </w:pPr>
            <w:r>
              <w:t xml:space="preserve">A 24/7 personal AI astrologer capable of predictive timing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My Human Design</w:t>
            </w:r>
          </w:p>
        </w:tc>
        <w:tc>
          <w:tcPr>
            <w:tcMar>
              <w:top w:type="dxa" w:w="80"/>
              <w:left w:type="dxa" w:w="120"/>
              <w:bottom w:type="dxa" w:w="80"/>
              <w:right w:type="dxa" w:w="120"/>
            </w:tcMar>
            <w:vAlign w:val="center"/>
          </w:tcPr>
          <w:p>
            <w:pPr>
              <w:pStyle w:val="MdTableCell"/>
              <w:jc w:val="left"/>
            </w:pPr>
            <w:r>
              <w:t xml:space="preserve">One-time purchases / Subscriptions</w:t>
            </w:r>
          </w:p>
        </w:tc>
        <w:tc>
          <w:tcPr>
            <w:tcMar>
              <w:top w:type="dxa" w:w="80"/>
              <w:left w:type="dxa" w:w="120"/>
              <w:bottom w:type="dxa" w:w="80"/>
              <w:right w:type="dxa" w:w="120"/>
            </w:tcMar>
            <w:vAlign w:val="center"/>
          </w:tcPr>
          <w:p>
            <w:pPr>
              <w:pStyle w:val="MdTableCell"/>
              <w:jc w:val="left"/>
            </w:pPr>
            <w:r>
              <w:t xml:space="preserve">Expert-led readings (Jenna Zoe), audio/written chart analysis</w:t>
            </w:r>
          </w:p>
        </w:tc>
        <w:tc>
          <w:tcPr>
            <w:tcMar>
              <w:top w:type="dxa" w:w="80"/>
              <w:left w:type="dxa" w:w="120"/>
              <w:bottom w:type="dxa" w:w="80"/>
              <w:right w:type="dxa" w:w="120"/>
            </w:tcMar>
            <w:vAlign w:val="center"/>
          </w:tcPr>
          <w:p>
            <w:pPr>
              <w:pStyle w:val="MdTableCell"/>
              <w:jc w:val="left"/>
            </w:pPr>
            <w:r>
              <w:t xml:space="preserve">Human Design enthusiasts</w:t>
            </w:r>
          </w:p>
        </w:tc>
        <w:tc>
          <w:tcPr>
            <w:tcBorders>
              <w:right w:val="none"/>
            </w:tcBorders>
            <w:tcMar>
              <w:top w:type="dxa" w:w="80"/>
              <w:left w:type="dxa" w:w="120"/>
              <w:bottom w:type="dxa" w:w="80"/>
              <w:right w:type="dxa" w:w="120"/>
            </w:tcMar>
            <w:vAlign w:val="center"/>
          </w:tcPr>
          <w:p>
            <w:pPr>
              <w:pStyle w:val="MdTableCell"/>
              <w:jc w:val="left"/>
            </w:pPr>
            <w:r>
              <w:t xml:space="preserve">Celebrity-led branding making complex systems accessible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Jovian Archive</w:t>
            </w:r>
          </w:p>
        </w:tc>
        <w:tc>
          <w:tcPr>
            <w:tcBorders>
              <w:bottom w:val="single" w:color="E1E4E8" w:sz="4"/>
            </w:tcBorders>
            <w:tcMar>
              <w:top w:type="dxa" w:w="80"/>
              <w:left w:type="dxa" w:w="120"/>
              <w:bottom w:type="dxa" w:w="80"/>
              <w:right w:type="dxa" w:w="120"/>
            </w:tcMar>
            <w:vAlign w:val="center"/>
          </w:tcPr>
          <w:p>
            <w:pPr>
              <w:pStyle w:val="MdTableCell"/>
              <w:jc w:val="left"/>
            </w:pPr>
            <w:r>
              <w:t xml:space="preserve">Paid software / Reports</w:t>
            </w:r>
          </w:p>
        </w:tc>
        <w:tc>
          <w:tcPr>
            <w:tcBorders>
              <w:bottom w:val="single" w:color="E1E4E8" w:sz="4"/>
            </w:tcBorders>
            <w:tcMar>
              <w:top w:type="dxa" w:w="80"/>
              <w:left w:type="dxa" w:w="120"/>
              <w:bottom w:type="dxa" w:w="80"/>
              <w:right w:type="dxa" w:w="120"/>
            </w:tcMar>
            <w:vAlign w:val="center"/>
          </w:tcPr>
          <w:p>
            <w:pPr>
              <w:pStyle w:val="MdTableCell"/>
              <w:jc w:val="left"/>
            </w:pPr>
            <w:r>
              <w:t xml:space="preserve">Original source material, professional chart calculators</w:t>
            </w:r>
          </w:p>
        </w:tc>
        <w:tc>
          <w:tcPr>
            <w:tcBorders>
              <w:bottom w:val="single" w:color="E1E4E8" w:sz="4"/>
            </w:tcBorders>
            <w:tcMar>
              <w:top w:type="dxa" w:w="80"/>
              <w:left w:type="dxa" w:w="120"/>
              <w:bottom w:type="dxa" w:w="80"/>
              <w:right w:type="dxa" w:w="120"/>
            </w:tcMar>
            <w:vAlign w:val="center"/>
          </w:tcPr>
          <w:p>
            <w:pPr>
              <w:pStyle w:val="MdTableCell"/>
              <w:jc w:val="left"/>
            </w:pPr>
            <w:r>
              <w:t xml:space="preserve">Professionals and purists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Technical precision and authoritative "source" knowledge</w:t>
            </w:r>
          </w:p>
        </w:tc>
      </w:tr>
    </w:tbl>
    <w:p>
      <w:pPr>
        <w:pStyle w:val="Heading3"/>
        <w:pStyle w:val="MdHeading3"/>
      </w:pPr>
      <w:r>
        <w:t xml:space="preserve">Indirect Competitors</w:t>
      </w:r>
    </w:p>
    <w:p>
      <w:pPr>
        <w:pStyle w:val="MdParagraph"/>
      </w:pPr>
      <w:r>
        <w:t xml:space="preserve">Indirect competitors command significant market share in the broader mindfulness and self-improvement space, setting consumer expectations for app quality and pricing.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Competitor</w:t>
            </w:r>
          </w:p>
        </w:tc>
        <w:tc>
          <w:tcPr>
            <w:tcMar>
              <w:top w:type="dxa" w:w="100"/>
              <w:left w:type="dxa" w:w="120"/>
              <w:bottom w:type="dxa" w:w="100"/>
              <w:right w:type="dxa" w:w="120"/>
            </w:tcMar>
            <w:vAlign w:val="center"/>
          </w:tcPr>
          <w:p>
            <w:pPr>
              <w:pStyle w:val="MdTableHeader"/>
              <w:jc w:val="left"/>
            </w:pPr>
            <w:r>
              <w:t xml:space="preserve">Pricing Model</w:t>
            </w:r>
          </w:p>
        </w:tc>
        <w:tc>
          <w:tcPr>
            <w:tcMar>
              <w:top w:type="dxa" w:w="100"/>
              <w:left w:type="dxa" w:w="120"/>
              <w:bottom w:type="dxa" w:w="100"/>
              <w:right w:type="dxa" w:w="120"/>
            </w:tcMar>
            <w:vAlign w:val="center"/>
          </w:tcPr>
          <w:p>
            <w:pPr>
              <w:pStyle w:val="MdTableHeader"/>
              <w:jc w:val="left"/>
            </w:pPr>
            <w:r>
              <w:t xml:space="preserve">Core Features</w:t>
            </w:r>
          </w:p>
        </w:tc>
        <w:tc>
          <w:tcPr>
            <w:tcMar>
              <w:top w:type="dxa" w:w="100"/>
              <w:left w:type="dxa" w:w="120"/>
              <w:bottom w:type="dxa" w:w="100"/>
              <w:right w:type="dxa" w:w="120"/>
            </w:tcMar>
            <w:vAlign w:val="center"/>
          </w:tcPr>
          <w:p>
            <w:pPr>
              <w:pStyle w:val="MdTableHeader"/>
              <w:jc w:val="left"/>
            </w:pPr>
            <w:r>
              <w:t xml:space="preserve">Target Audience</w:t>
            </w:r>
          </w:p>
        </w:tc>
        <w:tc>
          <w:tcPr>
            <w:tcBorders>
              <w:right w:val="none"/>
            </w:tcBorders>
            <w:tcMar>
              <w:top w:type="dxa" w:w="100"/>
              <w:left w:type="dxa" w:w="120"/>
              <w:bottom w:type="dxa" w:w="100"/>
              <w:right w:type="dxa" w:w="120"/>
            </w:tcMar>
            <w:vAlign w:val="center"/>
          </w:tcPr>
          <w:p>
            <w:pPr>
              <w:pStyle w:val="MdTableHeader"/>
              <w:jc w:val="left"/>
            </w:pPr>
            <w:r>
              <w:t xml:space="preserve">Unique Value Proposition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Calm</w:t>
            </w:r>
          </w:p>
        </w:tc>
        <w:tc>
          <w:tcPr>
            <w:tcMar>
              <w:top w:type="dxa" w:w="80"/>
              <w:left w:type="dxa" w:w="120"/>
              <w:bottom w:type="dxa" w:w="80"/>
              <w:right w:type="dxa" w:w="120"/>
            </w:tcMar>
            <w:vAlign w:val="center"/>
          </w:tcPr>
          <w:p>
            <w:pPr>
              <w:pStyle w:val="MdTableCell"/>
              <w:jc w:val="left"/>
            </w:pPr>
            <w:r>
              <w:t xml:space="preserve">~$70/year</w:t>
            </w:r>
          </w:p>
        </w:tc>
        <w:tc>
          <w:tcPr>
            <w:tcMar>
              <w:top w:type="dxa" w:w="80"/>
              <w:left w:type="dxa" w:w="120"/>
              <w:bottom w:type="dxa" w:w="80"/>
              <w:right w:type="dxa" w:w="120"/>
            </w:tcMar>
            <w:vAlign w:val="center"/>
          </w:tcPr>
          <w:p>
            <w:pPr>
              <w:pStyle w:val="MdTableCell"/>
              <w:jc w:val="left"/>
            </w:pPr>
            <w:r>
              <w:t xml:space="preserve">Sleep stories, guided meditations, soundscapes</w:t>
            </w:r>
          </w:p>
        </w:tc>
        <w:tc>
          <w:tcPr>
            <w:tcMar>
              <w:top w:type="dxa" w:w="80"/>
              <w:left w:type="dxa" w:w="120"/>
              <w:bottom w:type="dxa" w:w="80"/>
              <w:right w:type="dxa" w:w="120"/>
            </w:tcMar>
            <w:vAlign w:val="center"/>
          </w:tcPr>
          <w:p>
            <w:pPr>
              <w:pStyle w:val="MdTableCell"/>
              <w:jc w:val="left"/>
            </w:pPr>
            <w:r>
              <w:t xml:space="preserve">General public seeking stress relief</w:t>
            </w:r>
          </w:p>
        </w:tc>
        <w:tc>
          <w:tcPr>
            <w:tcBorders>
              <w:right w:val="none"/>
            </w:tcBorders>
            <w:tcMar>
              <w:top w:type="dxa" w:w="80"/>
              <w:left w:type="dxa" w:w="120"/>
              <w:bottom w:type="dxa" w:w="80"/>
              <w:right w:type="dxa" w:w="120"/>
            </w:tcMar>
            <w:vAlign w:val="center"/>
          </w:tcPr>
          <w:p>
            <w:pPr>
              <w:pStyle w:val="MdTableCell"/>
              <w:jc w:val="left"/>
            </w:pPr>
            <w:r>
              <w:t xml:space="preserve">Science-backed, celebrity-narrated relaxation content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Headspace</w:t>
            </w:r>
          </w:p>
        </w:tc>
        <w:tc>
          <w:tcPr>
            <w:tcMar>
              <w:top w:type="dxa" w:w="80"/>
              <w:left w:type="dxa" w:w="120"/>
              <w:bottom w:type="dxa" w:w="80"/>
              <w:right w:type="dxa" w:w="120"/>
            </w:tcMar>
            <w:vAlign w:val="center"/>
          </w:tcPr>
          <w:p>
            <w:pPr>
              <w:pStyle w:val="MdTableCell"/>
              <w:jc w:val="left"/>
            </w:pPr>
            <w:r>
              <w:t xml:space="preserve">~$96/year</w:t>
            </w:r>
          </w:p>
        </w:tc>
        <w:tc>
          <w:tcPr>
            <w:tcMar>
              <w:top w:type="dxa" w:w="80"/>
              <w:left w:type="dxa" w:w="120"/>
              <w:bottom w:type="dxa" w:w="80"/>
              <w:right w:type="dxa" w:w="120"/>
            </w:tcMar>
            <w:vAlign w:val="center"/>
          </w:tcPr>
          <w:p>
            <w:pPr>
              <w:pStyle w:val="MdTableCell"/>
              <w:jc w:val="left"/>
            </w:pPr>
            <w:r>
              <w:t xml:space="preserve">Structured meditation courses, focus music</w:t>
            </w:r>
          </w:p>
        </w:tc>
        <w:tc>
          <w:tcPr>
            <w:tcMar>
              <w:top w:type="dxa" w:w="80"/>
              <w:left w:type="dxa" w:w="120"/>
              <w:bottom w:type="dxa" w:w="80"/>
              <w:right w:type="dxa" w:w="120"/>
            </w:tcMar>
            <w:vAlign w:val="center"/>
          </w:tcPr>
          <w:p>
            <w:pPr>
              <w:pStyle w:val="MdTableCell"/>
              <w:jc w:val="left"/>
            </w:pPr>
            <w:r>
              <w:t xml:space="preserve">Professionals and beginners</w:t>
            </w:r>
          </w:p>
        </w:tc>
        <w:tc>
          <w:tcPr>
            <w:tcBorders>
              <w:right w:val="none"/>
            </w:tcBorders>
            <w:tcMar>
              <w:top w:type="dxa" w:w="80"/>
              <w:left w:type="dxa" w:w="120"/>
              <w:bottom w:type="dxa" w:w="80"/>
              <w:right w:type="dxa" w:w="120"/>
            </w:tcMar>
            <w:vAlign w:val="center"/>
          </w:tcPr>
          <w:p>
            <w:pPr>
              <w:pStyle w:val="MdTableCell"/>
              <w:jc w:val="left"/>
            </w:pPr>
            <w:r>
              <w:t xml:space="preserve">Approachable, gamified introduction to mindfulness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Mindbody</w:t>
            </w:r>
          </w:p>
        </w:tc>
        <w:tc>
          <w:tcPr>
            <w:tcMar>
              <w:top w:type="dxa" w:w="80"/>
              <w:left w:type="dxa" w:w="120"/>
              <w:bottom w:type="dxa" w:w="80"/>
              <w:right w:type="dxa" w:w="120"/>
            </w:tcMar>
            <w:vAlign w:val="center"/>
          </w:tcPr>
          <w:p>
            <w:pPr>
              <w:pStyle w:val="MdTableCell"/>
              <w:jc w:val="left"/>
            </w:pPr>
            <w:r>
              <w:t xml:space="preserve">Marketplace (B2B SaaS + Consumer App)</w:t>
            </w:r>
          </w:p>
        </w:tc>
        <w:tc>
          <w:tcPr>
            <w:tcMar>
              <w:top w:type="dxa" w:w="80"/>
              <w:left w:type="dxa" w:w="120"/>
              <w:bottom w:type="dxa" w:w="80"/>
              <w:right w:type="dxa" w:w="120"/>
            </w:tcMar>
            <w:vAlign w:val="center"/>
          </w:tcPr>
          <w:p>
            <w:pPr>
              <w:pStyle w:val="MdTableCell"/>
              <w:jc w:val="left"/>
            </w:pPr>
            <w:r>
              <w:t xml:space="preserve">Class booking, studio discovery</w:t>
            </w:r>
          </w:p>
        </w:tc>
        <w:tc>
          <w:tcPr>
            <w:tcMar>
              <w:top w:type="dxa" w:w="80"/>
              <w:left w:type="dxa" w:w="120"/>
              <w:bottom w:type="dxa" w:w="80"/>
              <w:right w:type="dxa" w:w="120"/>
            </w:tcMar>
            <w:vAlign w:val="center"/>
          </w:tcPr>
          <w:p>
            <w:pPr>
              <w:pStyle w:val="MdTableCell"/>
              <w:jc w:val="left"/>
            </w:pPr>
            <w:r>
              <w:t xml:space="preserve">Active wellness consumers</w:t>
            </w:r>
          </w:p>
        </w:tc>
        <w:tc>
          <w:tcPr>
            <w:tcBorders>
              <w:right w:val="none"/>
            </w:tcBorders>
            <w:tcMar>
              <w:top w:type="dxa" w:w="80"/>
              <w:left w:type="dxa" w:w="120"/>
              <w:bottom w:type="dxa" w:w="80"/>
              <w:right w:type="dxa" w:w="120"/>
            </w:tcMar>
            <w:vAlign w:val="center"/>
          </w:tcPr>
          <w:p>
            <w:pPr>
              <w:pStyle w:val="MdTableCell"/>
              <w:jc w:val="left"/>
            </w:pPr>
            <w:r>
              <w:t xml:space="preserve">Seamless connection to local, in-person wellness services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MasterClass</w:t>
            </w:r>
          </w:p>
        </w:tc>
        <w:tc>
          <w:tcPr>
            <w:tcBorders>
              <w:bottom w:val="single" w:color="E1E4E8" w:sz="4"/>
            </w:tcBorders>
            <w:tcMar>
              <w:top w:type="dxa" w:w="80"/>
              <w:left w:type="dxa" w:w="120"/>
              <w:bottom w:type="dxa" w:w="80"/>
              <w:right w:type="dxa" w:w="120"/>
            </w:tcMar>
            <w:vAlign w:val="center"/>
          </w:tcPr>
          <w:p>
            <w:pPr>
              <w:pStyle w:val="MdTableCell"/>
              <w:jc w:val="left"/>
            </w:pPr>
            <w:r>
              <w:t xml:space="preserve">~$10-$20/month</w:t>
            </w:r>
          </w:p>
        </w:tc>
        <w:tc>
          <w:tcPr>
            <w:tcBorders>
              <w:bottom w:val="single" w:color="E1E4E8" w:sz="4"/>
            </w:tcBorders>
            <w:tcMar>
              <w:top w:type="dxa" w:w="80"/>
              <w:left w:type="dxa" w:w="120"/>
              <w:bottom w:type="dxa" w:w="80"/>
              <w:right w:type="dxa" w:w="120"/>
            </w:tcMar>
            <w:vAlign w:val="center"/>
          </w:tcPr>
          <w:p>
            <w:pPr>
              <w:pStyle w:val="MdTableCell"/>
              <w:jc w:val="left"/>
            </w:pPr>
            <w:r>
              <w:t xml:space="preserve">High-production video courses</w:t>
            </w:r>
          </w:p>
        </w:tc>
        <w:tc>
          <w:tcPr>
            <w:tcBorders>
              <w:bottom w:val="single" w:color="E1E4E8" w:sz="4"/>
            </w:tcBorders>
            <w:tcMar>
              <w:top w:type="dxa" w:w="80"/>
              <w:left w:type="dxa" w:w="120"/>
              <w:bottom w:type="dxa" w:w="80"/>
              <w:right w:type="dxa" w:w="120"/>
            </w:tcMar>
            <w:vAlign w:val="center"/>
          </w:tcPr>
          <w:p>
            <w:pPr>
              <w:pStyle w:val="MdTableCell"/>
              <w:jc w:val="left"/>
            </w:pPr>
            <w:r>
              <w:t xml:space="preserve">Lifelong learners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Exclusive access to world-renowned experts</w:t>
            </w:r>
          </w:p>
        </w:tc>
      </w:tr>
    </w:tbl>
    <w:p>
      <w:pPr>
        <w:pStyle w:val="Heading2"/>
        <w:pStyle w:val="MdHeading2"/>
      </w:pPr>
      <w:r>
        <w:t xml:space="preserve">3. Trends &amp; Insights</w:t>
      </w:r>
    </w:p>
    <w:p>
      <w:pPr>
        <w:pStyle w:val="MdParagraph"/>
      </w:pPr>
      <w:r>
        <w:t xml:space="preserve">Several converging consumer trends create a highly receptive environment for NUMI's integrated approach.</w:t>
      </w:r>
    </w:p>
    <w:p>
      <w:pPr>
        <w:pStyle w:val="MdSpace"/>
        <w:spacing w:before="0" w:after="60"/>
      </w:pPr>
    </w:p>
    <w:p>
      <w:pPr>
        <w:pStyle w:val="MdParagraph"/>
      </w:pPr>
      <w:r>
        <w:rPr>
          <w:rStyle w:val="MdStrong"/>
          <w:b/>
          <w:bCs/>
        </w:rPr>
        <w:t xml:space="preserve">Gen Z and Millennials Reshaping Wellness</w:t>
      </w:r>
      <w:r>
        <w:rPr>
          <w:rStyle w:val="MdBr"/>
        </w:rPr>
        <w:br/>
        <w:t xml:space="preserve"/>
      </w:r>
      <w:r>
        <w:t xml:space="preserve">Younger demographics are the primary engine of the wellness economy. While Gen Z and millennials comprise roughly 36% of the US adult population, they drive over 41% of annual wellness spending [10]. For these cohorts, wellness is no longer an occasional luxury but a daily, personalized practice. They report higher levels of stress and burnout, driving demand for digital solutions that offer immediate, personalized relief and guidance.</w:t>
      </w:r>
    </w:p>
    <w:p>
      <w:pPr>
        <w:pStyle w:val="MdSpace"/>
        <w:spacing w:before="0" w:after="60"/>
      </w:pPr>
    </w:p>
    <w:p>
      <w:pPr>
        <w:pStyle w:val="MdParagraph"/>
      </w:pPr>
      <w:r>
        <w:rPr>
          <w:rStyle w:val="MdStrong"/>
          <w:b/>
          <w:bCs/>
        </w:rPr>
        <w:t xml:space="preserve">The Rise of the "Spiritual But Not Religious" Consumer</w:t>
      </w:r>
      <w:r>
        <w:rPr>
          <w:rStyle w:val="MdBr"/>
        </w:rPr>
        <w:br/>
        <w:t xml:space="preserve"/>
      </w:r>
      <w:r>
        <w:t xml:space="preserve">There is a profound demographic shift away from institutional religion toward individualized spirituality. Approximately 33% of Americans now identify as "spiritual but not religious" (SBNR) [11]. This consumer segment actively blends traditional faith with "new age" practices, including astrology, tarot, and Human Design. They seek platforms that provide spiritual framework and meaning without dogmatic constraints.</w:t>
      </w:r>
    </w:p>
    <w:p>
      <w:pPr>
        <w:pStyle w:val="MdSpace"/>
        <w:spacing w:before="0" w:after="60"/>
      </w:pPr>
    </w:p>
    <w:p>
      <w:pPr>
        <w:pStyle w:val="MdParagraph"/>
      </w:pPr>
      <w:r>
        <w:rPr>
          <w:rStyle w:val="MdStrong"/>
          <w:b/>
          <w:bCs/>
        </w:rPr>
        <w:t xml:space="preserve">AI Personalization in Self-Development</w:t>
      </w:r>
      <w:r>
        <w:rPr>
          <w:rStyle w:val="MdBr"/>
        </w:rPr>
        <w:br/>
        <w:t xml:space="preserve"/>
      </w:r>
      <w:r>
        <w:t xml:space="preserve">Consumers are moving away from static, generalized content toward hyper-personalized experiences. The integration of AI in wellness is shifting the paradigm from "reading a report" to "having a conversation." Users expect platforms to understand their unique context, remember past interactions, and provide actionable, real-time coaching. The success of AI-driven platforms like MyNitya demonstrates the market's appetite for conversational, context-aware spiritual guidance [12].</w:t>
      </w:r>
    </w:p>
    <w:p>
      <w:pPr>
        <w:pStyle w:val="MdSpace"/>
        <w:spacing w:before="0" w:after="60"/>
      </w:pPr>
    </w:p>
    <w:p>
      <w:pPr>
        <w:pStyle w:val="MdParagraph"/>
      </w:pPr>
      <w:r>
        <w:rPr>
          <w:rStyle w:val="MdStrong"/>
          <w:b/>
          <w:bCs/>
        </w:rPr>
        <w:t xml:space="preserve">Community-Based Learning</w:t>
      </w:r>
      <w:r>
        <w:rPr>
          <w:rStyle w:val="MdBr"/>
        </w:rPr>
        <w:br/>
        <w:t xml:space="preserve"/>
      </w:r>
      <w:r>
        <w:t xml:space="preserve">While spirituality is highly individualized, the practice is increasingly social. The viral success of apps like Co-Star is largely attributed to their social features, allowing users to compare charts and share insights. Consumers are seeking community-based platforms where they can learn, share their "patterns," and connect with like-minded individuals on similar journeys of self-discovery.</w:t>
      </w:r>
    </w:p>
    <w:p>
      <w:pPr>
        <w:pStyle w:val="MdSpace"/>
        <w:spacing w:before="0" w:after="60"/>
      </w:pPr>
    </w:p>
    <w:p>
      <w:pPr>
        <w:pStyle w:val="Heading2"/>
        <w:pStyle w:val="MdHeading2"/>
      </w:pPr>
      <w:r>
        <w:t xml:space="preserve">4. Market Gaps &amp; Opportunities</w:t>
      </w:r>
    </w:p>
    <w:p>
      <w:pPr>
        <w:pStyle w:val="MdParagraph"/>
      </w:pPr>
      <w:r>
        <w:t xml:space="preserve">Based on the analysis of the competitive landscape and consumer trends, several strategic opportunities emerge for NUMI's go-to-market strategy.</w:t>
      </w:r>
    </w:p>
    <w:p>
      <w:pPr>
        <w:pStyle w:val="MdSpace"/>
        <w:spacing w:before="0" w:after="60"/>
      </w:pPr>
    </w:p>
    <w:p>
      <w:pPr>
        <w:pStyle w:val="MdParagraph"/>
      </w:pPr>
      <w:r>
        <w:rPr>
          <w:rStyle w:val="MdStrong"/>
          <w:b/>
          <w:bCs/>
        </w:rPr>
        <w:t xml:space="preserve">The Integration Gap: A Unified System</w:t>
      </w:r>
      <w:r>
        <w:rPr>
          <w:rStyle w:val="MdBr"/>
        </w:rPr>
        <w:br/>
        <w:t xml:space="preserve"/>
      </w:r>
      <w:r>
        <w:t xml:space="preserve">The current market is highly fragmented. Users must download one app for Western astrology (Co-Star), another for psychological patterns (The Pattern), and a third for Human Design (My Human Design). </w:t>
      </w:r>
      <w:r>
        <w:rPr>
          <w:rStyle w:val="MdStrong"/>
          <w:b/>
          <w:bCs/>
        </w:rPr>
        <w:t xml:space="preserve">Opportunity:</w:t>
      </w:r>
      <w:r>
        <w:t xml:space="preserve"> NUMI can position itself as the ultimate "Human Intelligent Pattern" platform by synthesizing Eastern wisdom, Western astrology, Human Design, and numerology into a single, cohesive dashboard. This holistic approach eliminates app fatigue and provides a more comprehensive view of the user.</w:t>
      </w:r>
    </w:p>
    <w:p>
      <w:pPr>
        <w:pStyle w:val="MdSpace"/>
        <w:spacing w:before="0" w:after="60"/>
      </w:pPr>
    </w:p>
    <w:p>
      <w:pPr>
        <w:pStyle w:val="MdParagraph"/>
      </w:pPr>
      <w:r>
        <w:rPr>
          <w:rStyle w:val="MdStrong"/>
          <w:b/>
          <w:bCs/>
        </w:rPr>
        <w:t xml:space="preserve">The Actionability Gap: From "What" to "How"</w:t>
      </w:r>
      <w:r>
        <w:rPr>
          <w:rStyle w:val="MdBr"/>
        </w:rPr>
        <w:br/>
        <w:t xml:space="preserve"/>
      </w:r>
      <w:r>
        <w:t xml:space="preserve">Many existing platforms excel at describing personality traits (the "what") but fail to provide actionable, daily guidance (the "how"). </w:t>
      </w:r>
      <w:r>
        <w:rPr>
          <w:rStyle w:val="MdStrong"/>
          <w:b/>
          <w:bCs/>
        </w:rPr>
        <w:t xml:space="preserve">Opportunity:</w:t>
      </w:r>
      <w:r>
        <w:t xml:space="preserve"> NUMI can leverage its AI capabilities to translate complex esoteric charts into practical daily coaching. Instead of merely stating a user's Human Design type, NUMI's AI can provide specific advice on how to navigate a career decision or relationship conflict based on that design on that specific day.</w:t>
      </w:r>
    </w:p>
    <w:p>
      <w:pPr>
        <w:pStyle w:val="MdSpace"/>
        <w:spacing w:before="0" w:after="60"/>
      </w:pPr>
    </w:p>
    <w:p>
      <w:pPr>
        <w:pStyle w:val="MdParagraph"/>
      </w:pPr>
      <w:r>
        <w:rPr>
          <w:rStyle w:val="MdStrong"/>
          <w:b/>
          <w:bCs/>
        </w:rPr>
        <w:t xml:space="preserve">The Conversational Depth Gap</w:t>
      </w:r>
      <w:r>
        <w:rPr>
          <w:rStyle w:val="MdBr"/>
        </w:rPr>
        <w:br/>
        <w:t xml:space="preserve"/>
      </w:r>
      <w:r>
        <w:t xml:space="preserve">While AI is entering the astrology space, most applications remain superficial. </w:t>
      </w:r>
      <w:r>
        <w:rPr>
          <w:rStyle w:val="MdStrong"/>
          <w:b/>
          <w:bCs/>
        </w:rPr>
        <w:t xml:space="preserve">Opportunity:</w:t>
      </w:r>
      <w:r>
        <w:t xml:space="preserve"> By combining multiple esoteric systems with advanced conversational AI, NUMI can offer a depth of mentorship previously available only through expensive human consultants. The AI can act as a 24/7 spiritual coach that understands the nuances of how a user's numerology interacts with their current astrological transits.</w:t>
      </w:r>
    </w:p>
    <w:p>
      <w:pPr>
        <w:pStyle w:val="MdSpace"/>
        <w:spacing w:before="0" w:after="60"/>
      </w:pPr>
    </w:p>
    <w:p>
      <w:pPr>
        <w:pStyle w:val="MdParagraph"/>
      </w:pPr>
      <w:r>
        <w:rPr>
          <w:rStyle w:val="MdStrong"/>
          <w:b/>
          <w:bCs/>
        </w:rPr>
        <w:t xml:space="preserve">Bridging Predictive and Psychological Needs</w:t>
      </w:r>
      <w:r>
        <w:rPr>
          <w:rStyle w:val="MdBr"/>
        </w:rPr>
        <w:br/>
        <w:t xml:space="preserve"/>
      </w:r>
      <w:r>
        <w:t xml:space="preserve">Western astrology apps focus heavily on psychology, while Vedic systems focus on predictive timing. </w:t>
      </w:r>
      <w:r>
        <w:rPr>
          <w:rStyle w:val="MdStrong"/>
          <w:b/>
          <w:bCs/>
        </w:rPr>
        <w:t xml:space="preserve">Opportunity:</w:t>
      </w:r>
      <w:r>
        <w:t xml:space="preserve"> NUMI can bridge this divide by offering both psychological self-awareness and predictive timing cycles, giving users a complete toolkit for navigating their lives.</w:t>
      </w:r>
    </w:p>
    <w:p>
      <w:pPr>
        <w:pStyle w:val="MdSpace"/>
        <w:spacing w:before="0" w:after="60"/>
      </w:pPr>
    </w:p>
    <w:p>
      <w:pPr>
        <w:pStyle w:val="Heading2"/>
        <w:pStyle w:val="MdHeading2"/>
      </w:pPr>
      <w:r>
        <w:t xml:space="preserve">Conclusion</w:t>
      </w:r>
    </w:p>
    <w:p>
      <w:pPr>
        <w:pStyle w:val="MdParagraph"/>
      </w:pPr>
      <w:r>
        <w:t xml:space="preserve">The market conditions for NUMI are exceptionally strong. By targeting the lucrative Gen Z and millennial demographics with a highly personalized, AI-driven platform that unifies fragmented esoteric systems, NUMI is well-positioned to capture significant market share. The key to success will lie in executing a seamless user experience that translates complex ancient wisdom into actionable, daily guidance through conversational AI.</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References</w:t>
      </w:r>
    </w:p>
    <w:p>
      <w:pPr>
        <w:pStyle w:val="MdParagraph"/>
      </w:pPr>
      <w:r>
        <w:t xml:space="preserve">[1] Global Wellness Institute. "Wellness Economy Statistics &amp; Facts." </w:t>
      </w:r>
      <w:hyperlink w:history="1" r:id="rId2wmkaekgyos2exs-ne0ek">
        <w:r>
          <w:rPr>
            <w:rStyle w:val="MdLink"/>
          </w:rPr>
          <w:t xml:space="preserve">https://globalwellnessinstitute.org/press-room/statistics-and-facts/</w:t>
        </w:r>
      </w:hyperlink>
      <w:r>
        <w:rPr>
          <w:rStyle w:val="MdBr"/>
        </w:rPr>
        <w:br/>
        <w:t xml:space="preserve"/>
      </w:r>
      <w:r>
        <w:t xml:space="preserve">[2] MarkNtel Advisors. "Global Astrology App Market Research Report." </w:t>
      </w:r>
      <w:hyperlink w:history="1" r:id="rId9oge-jqa1vpr2ytx1tfy8">
        <w:r>
          <w:rPr>
            <w:rStyle w:val="MdLink"/>
          </w:rPr>
          <w:t xml:space="preserve">https://www.marknteladvisors.com/research-library/astrology-app-market.html</w:t>
        </w:r>
      </w:hyperlink>
      <w:r>
        <w:rPr>
          <w:rStyle w:val="MdBr"/>
        </w:rPr>
        <w:br/>
        <w:t xml:space="preserve"/>
      </w:r>
      <w:r>
        <w:t xml:space="preserve">[3] Astrology API. "Astrology API Market Trends: From $4B to $30B by 2030." </w:t>
      </w:r>
      <w:hyperlink w:history="1" r:id="rIdghjvet79utp2ijxss8tq7">
        <w:r>
          <w:rPr>
            <w:rStyle w:val="MdLink"/>
          </w:rPr>
          <w:t xml:space="preserve">https://astrology-api.io/blog/astrology-api-market-explosion-30b-opportunity-2030</w:t>
        </w:r>
      </w:hyperlink>
      <w:r>
        <w:rPr>
          <w:rStyle w:val="MdBr"/>
        </w:rPr>
        <w:br/>
        <w:t xml:space="preserve"/>
      </w:r>
      <w:r>
        <w:t xml:space="preserve">[4] Grand View Research. "Personal Development Market Size | Industry Report, 2030." </w:t>
      </w:r>
      <w:hyperlink w:history="1" r:id="rIdgsvvxlj7krh8pwvfqcx3w">
        <w:r>
          <w:rPr>
            <w:rStyle w:val="MdLink"/>
          </w:rPr>
          <w:t xml:space="preserve">https://www.grandviewresearch.com/industry-analysis/personal-development-market</w:t>
        </w:r>
      </w:hyperlink>
      <w:r>
        <w:rPr>
          <w:rStyle w:val="MdBr"/>
        </w:rPr>
        <w:br/>
        <w:t xml:space="preserve"/>
      </w:r>
      <w:r>
        <w:t xml:space="preserve">[5] HTF Market Insights. "Personal Development Learning App Market Size Trend &amp; Forecast." </w:t>
      </w:r>
      <w:hyperlink w:history="1" r:id="rIdlqe309pe5c9ts7fhkvwj0">
        <w:r>
          <w:rPr>
            <w:rStyle w:val="MdLink"/>
          </w:rPr>
          <w:t xml:space="preserve">https://www.htfmarketinsights.com/report/4381085-personal-development-learning-app-market</w:t>
        </w:r>
      </w:hyperlink>
      <w:r>
        <w:rPr>
          <w:rStyle w:val="MdBr"/>
        </w:rPr>
        <w:br/>
        <w:t xml:space="preserve"/>
      </w:r>
      <w:r>
        <w:t xml:space="preserve">[6] ZoomInfo / Prospeo. Revenue estimates for Human Design platforms.</w:t>
      </w:r>
      <w:r>
        <w:rPr>
          <w:rStyle w:val="MdBr"/>
        </w:rPr>
        <w:br/>
        <w:t xml:space="preserve"/>
      </w:r>
      <w:r>
        <w:t xml:space="preserve">[7] Yahoo Finance. "Where Ancient Wisdom Meets AI for a More Self-Aware World." </w:t>
      </w:r>
      <w:hyperlink w:history="1" r:id="rIdvmniu8aoi3okj8ypbvyi9">
        <w:r>
          <w:rPr>
            <w:rStyle w:val="MdLink"/>
          </w:rPr>
          <w:t xml:space="preserve">https://finance.yahoo.com/news/humandesign-ai-where-ancient-wisdom-140000994.html</w:t>
        </w:r>
      </w:hyperlink>
      <w:r>
        <w:rPr>
          <w:rStyle w:val="MdBr"/>
        </w:rPr>
        <w:br/>
        <w:t xml:space="preserve"/>
      </w:r>
      <w:r>
        <w:t xml:space="preserve">[8] Grand View Research. "Paid (In App Purchase) - Spiritual Wellness App Market Statistics." </w:t>
      </w:r>
      <w:hyperlink w:history="1" r:id="rId0sjbprshmvasxddr-gly6">
        <w:r>
          <w:rPr>
            <w:rStyle w:val="MdLink"/>
          </w:rPr>
          <w:t xml:space="preserve">https://www.grandviewresearch.com/horizon/statistics/spiritual-wellness-app-market/subscription/paid-in-app-purchase/global</w:t>
        </w:r>
      </w:hyperlink>
      <w:r>
        <w:rPr>
          <w:rStyle w:val="MdBr"/>
        </w:rPr>
        <w:br/>
        <w:t xml:space="preserve"/>
      </w:r>
      <w:r>
        <w:t xml:space="preserve">[9] GetLatka. "Headspace Revenue 2024: $348.4M ARR, $3B Valuation." </w:t>
      </w:r>
      <w:hyperlink w:history="1" r:id="rIdyezwlrwuj_e05gu9xrm4_">
        <w:r>
          <w:rPr>
            <w:rStyle w:val="MdLink"/>
          </w:rPr>
          <w:t xml:space="preserve">https://getlatka.com/companies/headspace</w:t>
        </w:r>
      </w:hyperlink>
      <w:r>
        <w:rPr>
          <w:rStyle w:val="MdBr"/>
        </w:rPr>
        <w:br/>
        <w:t xml:space="preserve"/>
      </w:r>
      <w:r>
        <w:t xml:space="preserve">[10] McKinsey &amp; Company. "The Future of Wellness trends survey 2025." </w:t>
      </w:r>
      <w:hyperlink w:history="1" r:id="rIdfolvoyyawjnjfh46jiyny">
        <w:r>
          <w:rPr>
            <w:rStyle w:val="MdLink"/>
          </w:rPr>
          <w:t xml:space="preserve">https://www.mckinsey.com/industries/consumer-packaged-goods/our-insights/future-of-wellness-trends</w:t>
        </w:r>
      </w:hyperlink>
      <w:r>
        <w:rPr>
          <w:rStyle w:val="MdBr"/>
        </w:rPr>
        <w:br/>
        <w:t xml:space="preserve"/>
      </w:r>
      <w:r>
        <w:t xml:space="preserve">[11] Gallup News. "In U.S., 47% Identify as Religious, 33% as Spiritual." </w:t>
      </w:r>
      <w:hyperlink w:history="1" r:id="rIdhw4w-acbmvo71wzudanm7">
        <w:r>
          <w:rPr>
            <w:rStyle w:val="MdLink"/>
          </w:rPr>
          <w:t xml:space="preserve">https://news.gallup.com/poll/511133/identify-religious-spiritual.aspx</w:t>
        </w:r>
      </w:hyperlink>
      <w:r>
        <w:rPr>
          <w:rStyle w:val="MdBr"/>
        </w:rPr>
        <w:br/>
        <w:t xml:space="preserve"/>
      </w:r>
      <w:r>
        <w:t xml:space="preserve">[12] MyNitya. "Co-Star vs The Pattern vs MyNitya: Which AI Astrology App Is Best?" </w:t>
      </w:r>
      <w:hyperlink w:history="1" r:id="rIdl2xvgwffmgpttqts97kz4">
        <w:r>
          <w:rPr>
            <w:rStyle w:val="MdLink"/>
          </w:rPr>
          <w:t xml:space="preserve">https://mynitya.com/blog/costar-vs-pattern-vs-mynitya-comparison</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2wmkaekgyos2exs-ne0ek" Type="http://schemas.openxmlformats.org/officeDocument/2006/relationships/hyperlink" Target="https://globalwellnessinstitute.org/press-room/statistics-and-facts/" TargetMode="External"/><Relationship Id="rId9oge-jqa1vpr2ytx1tfy8" Type="http://schemas.openxmlformats.org/officeDocument/2006/relationships/hyperlink" Target="https://www.marknteladvisors.com/research-library/astrology-app-market.html" TargetMode="External"/><Relationship Id="rIdghjvet79utp2ijxss8tq7" Type="http://schemas.openxmlformats.org/officeDocument/2006/relationships/hyperlink" Target="https://astrology-api.io/blog/astrology-api-market-explosion-30b-opportunity-2030" TargetMode="External"/><Relationship Id="rIdgsvvxlj7krh8pwvfqcx3w" Type="http://schemas.openxmlformats.org/officeDocument/2006/relationships/hyperlink" Target="https://www.grandviewresearch.com/industry-analysis/personal-development-market" TargetMode="External"/><Relationship Id="rIdlqe309pe5c9ts7fhkvwj0" Type="http://schemas.openxmlformats.org/officeDocument/2006/relationships/hyperlink" Target="https://www.htfmarketinsights.com/report/4381085-personal-development-learning-app-market" TargetMode="External"/><Relationship Id="rIdvmniu8aoi3okj8ypbvyi9" Type="http://schemas.openxmlformats.org/officeDocument/2006/relationships/hyperlink" Target="https://finance.yahoo.com/news/humandesign-ai-where-ancient-wisdom-140000994.html" TargetMode="External"/><Relationship Id="rId0sjbprshmvasxddr-gly6" Type="http://schemas.openxmlformats.org/officeDocument/2006/relationships/hyperlink" Target="https://www.grandviewresearch.com/horizon/statistics/spiritual-wellness-app-market/subscription/paid-in-app-purchase/global" TargetMode="External"/><Relationship Id="rIdyezwlrwuj_e05gu9xrm4_" Type="http://schemas.openxmlformats.org/officeDocument/2006/relationships/hyperlink" Target="https://getlatka.com/companies/headspace" TargetMode="External"/><Relationship Id="rIdfolvoyyawjnjfh46jiyny" Type="http://schemas.openxmlformats.org/officeDocument/2006/relationships/hyperlink" Target="https://www.mckinsey.com/industries/consumer-packaged-goods/our-insights/future-of-wellness-trends" TargetMode="External"/><Relationship Id="rIdhw4w-acbmvo71wzudanm7" Type="http://schemas.openxmlformats.org/officeDocument/2006/relationships/hyperlink" Target="https://news.gallup.com/poll/511133/identify-religious-spiritual.aspx" TargetMode="External"/><Relationship Id="rIdl2xvgwffmgpttqts97kz4" Type="http://schemas.openxmlformats.org/officeDocument/2006/relationships/hyperlink" Target="https://mynitya.com/blog/costar-vs-pattern-vs-mynitya-comparison" TargetMode="External"/><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2026-05-13T16:32:00.563Z</dcterms:created>
  <dcterms:modified xsi:type="dcterms:W3CDTF">2026-05-13T16:32:00.563Z</dcterms:modified>
</cp:coreProperties>
</file>

<file path=docProps/custom.xml><?xml version="1.0" encoding="utf-8"?>
<Properties xmlns="http://schemas.openxmlformats.org/officeDocument/2006/custom-properties" xmlns:vt="http://schemas.openxmlformats.org/officeDocument/2006/docPropsVTypes"/>
</file>