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2CE8D" w14:textId="1F25391E" w:rsidR="007D4122" w:rsidRPr="001F1A14" w:rsidRDefault="001F1A14" w:rsidP="001F1A14">
      <w:pPr>
        <w:jc w:val="both"/>
        <w:rPr>
          <w:rFonts w:ascii="Palatino Linotype" w:hAnsi="Palatino Linotype"/>
          <w:b/>
          <w:bCs/>
          <w:lang w:val="en-US"/>
        </w:rPr>
      </w:pPr>
      <w:r>
        <w:rPr>
          <w:rStyle w:val="Textoennegrita"/>
          <w:rFonts w:ascii="Palatino Linotype" w:hAnsi="Palatino Linotype"/>
          <w:noProof/>
          <w:lang w:val="en-US"/>
        </w:rPr>
        <w:drawing>
          <wp:inline distT="0" distB="0" distL="0" distR="0" wp14:anchorId="6CBF0C3E" wp14:editId="0438AC52">
            <wp:extent cx="5613400" cy="68580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3400" cy="6858000"/>
                    </a:xfrm>
                    <a:prstGeom prst="rect">
                      <a:avLst/>
                    </a:prstGeom>
                    <a:noFill/>
                    <a:ln>
                      <a:noFill/>
                    </a:ln>
                  </pic:spPr>
                </pic:pic>
              </a:graphicData>
            </a:graphic>
          </wp:inline>
        </w:drawing>
      </w:r>
      <w:r w:rsidRPr="001F1A14">
        <w:rPr>
          <w:rStyle w:val="Textoennegrita"/>
          <w:rFonts w:ascii="Palatino Linotype" w:hAnsi="Palatino Linotype"/>
          <w:lang w:val="en-US"/>
        </w:rPr>
        <w:t xml:space="preserve">Supplementary Figure </w:t>
      </w:r>
      <w:r>
        <w:rPr>
          <w:rStyle w:val="Textoennegrita"/>
          <w:rFonts w:ascii="Palatino Linotype" w:hAnsi="Palatino Linotype"/>
          <w:lang w:val="en-US"/>
        </w:rPr>
        <w:t>S1</w:t>
      </w:r>
      <w:r w:rsidRPr="001F1A14">
        <w:rPr>
          <w:rStyle w:val="Textoennegrita"/>
          <w:rFonts w:ascii="Palatino Linotype" w:hAnsi="Palatino Linotype"/>
          <w:lang w:val="en-US"/>
        </w:rPr>
        <w:t>.</w:t>
      </w:r>
      <w:r w:rsidRPr="001F1A14">
        <w:rPr>
          <w:rFonts w:ascii="Palatino Linotype" w:hAnsi="Palatino Linotype"/>
          <w:lang w:val="en-US"/>
        </w:rPr>
        <w:t xml:space="preserve"> Calibration curves before and after applying sigmoid calibration to the ensemble model for (A) the Food Dataset and (B) the Nutrient Dataset. In the Food Dataset, calibration did not improve model reliability: the Brier score slightly worsened (from 0.1093 to 0.1096), indicating that post-processing was unnecessary. In contrast, the Nutrient Dataset showed clear gains: the Brier score improved from 0.0683 to 0.0560 and </w:t>
      </w:r>
      <w:r w:rsidRPr="001F1A14">
        <w:rPr>
          <w:rFonts w:ascii="Palatino Linotype" w:hAnsi="Palatino Linotype"/>
          <w:lang w:val="en-US"/>
        </w:rPr>
        <w:lastRenderedPageBreak/>
        <w:t>alignment with the perfect calibration line was enhanced, supporting the use of sigmoid calibration under this scenario.</w:t>
      </w:r>
    </w:p>
    <w:p w14:paraId="0ECD1C5A" w14:textId="0D502D11" w:rsidR="00EB6CA1" w:rsidRDefault="007D4122">
      <w:r>
        <w:rPr>
          <w:noProof/>
        </w:rPr>
        <w:drawing>
          <wp:inline distT="0" distB="0" distL="0" distR="0" wp14:anchorId="3B081BE8" wp14:editId="725A51D8">
            <wp:extent cx="5612130" cy="738886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7388860"/>
                    </a:xfrm>
                    <a:prstGeom prst="rect">
                      <a:avLst/>
                    </a:prstGeom>
                    <a:noFill/>
                    <a:ln>
                      <a:noFill/>
                    </a:ln>
                  </pic:spPr>
                </pic:pic>
              </a:graphicData>
            </a:graphic>
          </wp:inline>
        </w:drawing>
      </w:r>
    </w:p>
    <w:p w14:paraId="2B6565C4" w14:textId="4B96E509" w:rsidR="007D4122" w:rsidRDefault="007D4122" w:rsidP="007D4122">
      <w:pPr>
        <w:jc w:val="both"/>
        <w:rPr>
          <w:rFonts w:ascii="Palatino Linotype" w:hAnsi="Palatino Linotype"/>
          <w:lang w:val="en-US"/>
        </w:rPr>
      </w:pPr>
      <w:r w:rsidRPr="007D4122">
        <w:rPr>
          <w:rStyle w:val="Textoennegrita"/>
          <w:rFonts w:ascii="Palatino Linotype" w:hAnsi="Palatino Linotype"/>
          <w:lang w:val="en-US"/>
        </w:rPr>
        <w:lastRenderedPageBreak/>
        <w:t xml:space="preserve">Supplementary Figure </w:t>
      </w:r>
      <w:r w:rsidR="001F1A14">
        <w:rPr>
          <w:rStyle w:val="Textoennegrita"/>
          <w:rFonts w:ascii="Palatino Linotype" w:hAnsi="Palatino Linotype"/>
          <w:lang w:val="en-US"/>
        </w:rPr>
        <w:t>S2</w:t>
      </w:r>
      <w:r w:rsidRPr="007D4122">
        <w:rPr>
          <w:rStyle w:val="Textoennegrita"/>
          <w:rFonts w:ascii="Palatino Linotype" w:hAnsi="Palatino Linotype"/>
          <w:lang w:val="en-US"/>
        </w:rPr>
        <w:t>.</w:t>
      </w:r>
      <w:r w:rsidRPr="007D4122">
        <w:rPr>
          <w:rFonts w:ascii="Palatino Linotype" w:hAnsi="Palatino Linotype"/>
          <w:lang w:val="en-US"/>
        </w:rPr>
        <w:t xml:space="preserve"> Sensitivity analysis of oversampling strategies (SMOTE and ADASYN) applied to the Food and Nutrient datasets, with and without majority class reduction. Each panel shows the effect of increasing the minority class oversampling ratio (x-axis) on model performance (F1-score, y-axis). Overall, SMOTE combined with majority class reduction achieved the highest F1-scores, yet the results also highlight that performance improvements can emerge under different resampling scenarios, underscoring the importance of sensitivity analyses when addressing class imbalance.</w:t>
      </w:r>
    </w:p>
    <w:p w14:paraId="76DD69BA" w14:textId="272DEE25" w:rsidR="00FB19ED" w:rsidRDefault="00FB19ED" w:rsidP="007D4122">
      <w:pPr>
        <w:jc w:val="both"/>
        <w:rPr>
          <w:rFonts w:ascii="Palatino Linotype" w:hAnsi="Palatino Linotype"/>
          <w:lang w:val="en-US"/>
        </w:rPr>
      </w:pPr>
    </w:p>
    <w:p w14:paraId="2815D8BC" w14:textId="69286F39" w:rsidR="00FB19ED" w:rsidRDefault="00FB19ED" w:rsidP="007D4122">
      <w:pPr>
        <w:jc w:val="both"/>
        <w:rPr>
          <w:rFonts w:ascii="Palatino Linotype" w:hAnsi="Palatino Linotype"/>
          <w:lang w:val="en-US"/>
        </w:rPr>
      </w:pPr>
    </w:p>
    <w:p w14:paraId="4F3FD01F" w14:textId="5E201D1C" w:rsidR="00FB19ED" w:rsidRDefault="00FB19ED" w:rsidP="007D4122">
      <w:pPr>
        <w:jc w:val="both"/>
        <w:rPr>
          <w:rFonts w:ascii="Palatino Linotype" w:hAnsi="Palatino Linotype"/>
          <w:lang w:val="en-US"/>
        </w:rPr>
      </w:pPr>
    </w:p>
    <w:p w14:paraId="1109B1F0" w14:textId="77777777" w:rsidR="00FB19ED" w:rsidRDefault="00FB19ED" w:rsidP="007D4122">
      <w:pPr>
        <w:jc w:val="both"/>
        <w:rPr>
          <w:rFonts w:ascii="Palatino Linotype" w:hAnsi="Palatino Linotype"/>
          <w:lang w:val="en-US"/>
        </w:rPr>
      </w:pPr>
    </w:p>
    <w:p w14:paraId="31925700" w14:textId="61491426" w:rsidR="001F1A14" w:rsidRDefault="00FB19ED" w:rsidP="007D4122">
      <w:pPr>
        <w:jc w:val="both"/>
        <w:rPr>
          <w:rFonts w:ascii="Palatino Linotype" w:hAnsi="Palatino Linotype"/>
          <w:lang w:val="en-US"/>
        </w:rPr>
      </w:pPr>
      <w:r w:rsidRPr="00FB19ED">
        <w:rPr>
          <w:rFonts w:ascii="Palatino Linotype" w:hAnsi="Palatino Linotype"/>
          <w:b/>
          <w:bCs/>
          <w:lang w:val="en-US"/>
        </w:rPr>
        <w:t xml:space="preserve">Supplementary Table </w:t>
      </w:r>
      <w:r>
        <w:rPr>
          <w:rFonts w:ascii="Palatino Linotype" w:hAnsi="Palatino Linotype"/>
          <w:b/>
          <w:bCs/>
          <w:lang w:val="en-US"/>
        </w:rPr>
        <w:t>S1</w:t>
      </w:r>
      <w:r w:rsidRPr="00FB19ED">
        <w:rPr>
          <w:rFonts w:ascii="Palatino Linotype" w:hAnsi="Palatino Linotype"/>
          <w:b/>
          <w:bCs/>
          <w:lang w:val="en-US"/>
        </w:rPr>
        <w:t>.</w:t>
      </w:r>
      <w:r w:rsidRPr="00FB19ED">
        <w:rPr>
          <w:rFonts w:ascii="Palatino Linotype" w:hAnsi="Palatino Linotype"/>
          <w:lang w:val="en-US"/>
        </w:rPr>
        <w:t xml:space="preserve"> Sensitivity analysis of SHAP food group interpretations across resampling scenarios. Average feature ranks and directional trends are presented for the main food categories associated with T2DM risk. Fruits, sweets, oils &amp; fats, and red meat consistently emerged as top predictors across scenarios, maintaining stable directional effects. Other groups such as vegetables, tubers, proteins, grains, and white meat showed greater variability in rank positions but preserved consistent directional trends, underscoring the robustness of the core dietary signals while highlighting the influence of class balancing strategies on model interpretation.</w:t>
      </w:r>
    </w:p>
    <w:tbl>
      <w:tblPr>
        <w:tblW w:w="8647" w:type="dxa"/>
        <w:tblCellMar>
          <w:left w:w="70" w:type="dxa"/>
          <w:right w:w="70" w:type="dxa"/>
        </w:tblCellMar>
        <w:tblLook w:val="04A0" w:firstRow="1" w:lastRow="0" w:firstColumn="1" w:lastColumn="0" w:noHBand="0" w:noVBand="1"/>
      </w:tblPr>
      <w:tblGrid>
        <w:gridCol w:w="1843"/>
        <w:gridCol w:w="1701"/>
        <w:gridCol w:w="1701"/>
        <w:gridCol w:w="1701"/>
        <w:gridCol w:w="1701"/>
      </w:tblGrid>
      <w:tr w:rsidR="001F1A14" w:rsidRPr="001F1A14" w14:paraId="17CA3810" w14:textId="77777777" w:rsidTr="00FB19ED">
        <w:trPr>
          <w:trHeight w:val="1440"/>
        </w:trPr>
        <w:tc>
          <w:tcPr>
            <w:tcW w:w="1843" w:type="dxa"/>
            <w:tcBorders>
              <w:top w:val="single" w:sz="4" w:space="0" w:color="auto"/>
              <w:left w:val="nil"/>
              <w:bottom w:val="single" w:sz="4" w:space="0" w:color="auto"/>
              <w:right w:val="nil"/>
            </w:tcBorders>
            <w:shd w:val="clear" w:color="auto" w:fill="auto"/>
            <w:vAlign w:val="center"/>
            <w:hideMark/>
          </w:tcPr>
          <w:p w14:paraId="0C47104E" w14:textId="77777777" w:rsidR="001F1A14" w:rsidRPr="001F1A14" w:rsidRDefault="001F1A14" w:rsidP="001F1A14">
            <w:pPr>
              <w:spacing w:after="0" w:line="240" w:lineRule="auto"/>
              <w:jc w:val="center"/>
              <w:rPr>
                <w:rFonts w:ascii="Calibri" w:eastAsia="Times New Roman" w:hAnsi="Calibri" w:cs="Calibri"/>
                <w:b/>
                <w:bCs/>
                <w:color w:val="000000"/>
                <w:kern w:val="0"/>
                <w:lang w:eastAsia="es-CO"/>
                <w14:ligatures w14:val="none"/>
              </w:rPr>
            </w:pPr>
            <w:proofErr w:type="spellStart"/>
            <w:r w:rsidRPr="001F1A14">
              <w:rPr>
                <w:rFonts w:ascii="Calibri" w:eastAsia="Times New Roman" w:hAnsi="Calibri" w:cs="Calibri"/>
                <w:b/>
                <w:bCs/>
                <w:color w:val="000000"/>
                <w:kern w:val="0"/>
                <w:lang w:eastAsia="es-CO"/>
                <w14:ligatures w14:val="none"/>
              </w:rPr>
              <w:t>Feature</w:t>
            </w:r>
            <w:proofErr w:type="spellEnd"/>
          </w:p>
        </w:tc>
        <w:tc>
          <w:tcPr>
            <w:tcW w:w="1701" w:type="dxa"/>
            <w:tcBorders>
              <w:top w:val="single" w:sz="4" w:space="0" w:color="auto"/>
              <w:left w:val="nil"/>
              <w:bottom w:val="single" w:sz="4" w:space="0" w:color="auto"/>
              <w:right w:val="nil"/>
            </w:tcBorders>
            <w:shd w:val="clear" w:color="auto" w:fill="auto"/>
            <w:vAlign w:val="center"/>
            <w:hideMark/>
          </w:tcPr>
          <w:p w14:paraId="1D494460" w14:textId="77777777" w:rsidR="001F1A14" w:rsidRPr="001F1A14" w:rsidRDefault="001F1A14" w:rsidP="001F1A14">
            <w:pPr>
              <w:spacing w:after="0" w:line="240" w:lineRule="auto"/>
              <w:jc w:val="center"/>
              <w:rPr>
                <w:rFonts w:ascii="Calibri" w:eastAsia="Times New Roman" w:hAnsi="Calibri" w:cs="Calibri"/>
                <w:b/>
                <w:bCs/>
                <w:color w:val="000000"/>
                <w:kern w:val="0"/>
                <w:lang w:val="en-US" w:eastAsia="es-CO"/>
                <w14:ligatures w14:val="none"/>
              </w:rPr>
            </w:pPr>
            <w:r w:rsidRPr="001F1A14">
              <w:rPr>
                <w:rFonts w:ascii="Calibri" w:eastAsia="Times New Roman" w:hAnsi="Calibri" w:cs="Calibri"/>
                <w:b/>
                <w:bCs/>
                <w:color w:val="000000"/>
                <w:kern w:val="0"/>
                <w:lang w:val="en-US" w:eastAsia="es-CO"/>
                <w14:ligatures w14:val="none"/>
              </w:rPr>
              <w:t>Baseline (SMOTE 400</w:t>
            </w:r>
            <w:proofErr w:type="gramStart"/>
            <w:r w:rsidRPr="001F1A14">
              <w:rPr>
                <w:rFonts w:ascii="Calibri" w:eastAsia="Times New Roman" w:hAnsi="Calibri" w:cs="Calibri"/>
                <w:b/>
                <w:bCs/>
                <w:color w:val="000000"/>
                <w:kern w:val="0"/>
                <w:lang w:val="en-US" w:eastAsia="es-CO"/>
                <w14:ligatures w14:val="none"/>
              </w:rPr>
              <w:t>%)Avg</w:t>
            </w:r>
            <w:proofErr w:type="gramEnd"/>
            <w:r w:rsidRPr="001F1A14">
              <w:rPr>
                <w:rFonts w:ascii="Calibri" w:eastAsia="Times New Roman" w:hAnsi="Calibri" w:cs="Calibri"/>
                <w:b/>
                <w:bCs/>
                <w:color w:val="000000"/>
                <w:kern w:val="0"/>
                <w:lang w:val="en-US" w:eastAsia="es-CO"/>
                <w14:ligatures w14:val="none"/>
              </w:rPr>
              <w:t xml:space="preserve"> Rank / Trend</w:t>
            </w:r>
          </w:p>
        </w:tc>
        <w:tc>
          <w:tcPr>
            <w:tcW w:w="1701" w:type="dxa"/>
            <w:tcBorders>
              <w:top w:val="single" w:sz="4" w:space="0" w:color="auto"/>
              <w:left w:val="nil"/>
              <w:bottom w:val="single" w:sz="4" w:space="0" w:color="auto"/>
              <w:right w:val="nil"/>
            </w:tcBorders>
            <w:shd w:val="clear" w:color="auto" w:fill="auto"/>
            <w:vAlign w:val="center"/>
            <w:hideMark/>
          </w:tcPr>
          <w:p w14:paraId="1ED0C7A8" w14:textId="77777777" w:rsidR="001F1A14" w:rsidRPr="001F1A14" w:rsidRDefault="001F1A14" w:rsidP="001F1A14">
            <w:pPr>
              <w:spacing w:after="0" w:line="240" w:lineRule="auto"/>
              <w:jc w:val="center"/>
              <w:rPr>
                <w:rFonts w:ascii="Calibri" w:eastAsia="Times New Roman" w:hAnsi="Calibri" w:cs="Calibri"/>
                <w:b/>
                <w:bCs/>
                <w:color w:val="000000"/>
                <w:kern w:val="0"/>
                <w:lang w:eastAsia="es-CO"/>
                <w14:ligatures w14:val="none"/>
              </w:rPr>
            </w:pPr>
            <w:r w:rsidRPr="001F1A14">
              <w:rPr>
                <w:rFonts w:ascii="Calibri" w:eastAsia="Times New Roman" w:hAnsi="Calibri" w:cs="Calibri"/>
                <w:b/>
                <w:bCs/>
                <w:color w:val="000000"/>
                <w:kern w:val="0"/>
                <w:lang w:eastAsia="es-CO"/>
                <w14:ligatures w14:val="none"/>
              </w:rPr>
              <w:t>SMOTE 250% (50</w:t>
            </w:r>
            <w:proofErr w:type="gramStart"/>
            <w:r w:rsidRPr="001F1A14">
              <w:rPr>
                <w:rFonts w:ascii="Calibri" w:eastAsia="Times New Roman" w:hAnsi="Calibri" w:cs="Calibri"/>
                <w:b/>
                <w:bCs/>
                <w:color w:val="000000"/>
                <w:kern w:val="0"/>
                <w:lang w:eastAsia="es-CO"/>
                <w14:ligatures w14:val="none"/>
              </w:rPr>
              <w:t>%)</w:t>
            </w:r>
            <w:proofErr w:type="spellStart"/>
            <w:r w:rsidRPr="001F1A14">
              <w:rPr>
                <w:rFonts w:ascii="Calibri" w:eastAsia="Times New Roman" w:hAnsi="Calibri" w:cs="Calibri"/>
                <w:b/>
                <w:bCs/>
                <w:color w:val="000000"/>
                <w:kern w:val="0"/>
                <w:lang w:eastAsia="es-CO"/>
                <w14:ligatures w14:val="none"/>
              </w:rPr>
              <w:t>Avg</w:t>
            </w:r>
            <w:proofErr w:type="spellEnd"/>
            <w:proofErr w:type="gramEnd"/>
            <w:r w:rsidRPr="001F1A14">
              <w:rPr>
                <w:rFonts w:ascii="Calibri" w:eastAsia="Times New Roman" w:hAnsi="Calibri" w:cs="Calibri"/>
                <w:b/>
                <w:bCs/>
                <w:color w:val="000000"/>
                <w:kern w:val="0"/>
                <w:lang w:eastAsia="es-CO"/>
                <w14:ligatures w14:val="none"/>
              </w:rPr>
              <w:t xml:space="preserve"> Rank / </w:t>
            </w:r>
            <w:proofErr w:type="spellStart"/>
            <w:r w:rsidRPr="001F1A14">
              <w:rPr>
                <w:rFonts w:ascii="Calibri" w:eastAsia="Times New Roman" w:hAnsi="Calibri" w:cs="Calibri"/>
                <w:b/>
                <w:bCs/>
                <w:color w:val="000000"/>
                <w:kern w:val="0"/>
                <w:lang w:eastAsia="es-CO"/>
                <w14:ligatures w14:val="none"/>
              </w:rPr>
              <w:t>Trend</w:t>
            </w:r>
            <w:proofErr w:type="spellEnd"/>
          </w:p>
        </w:tc>
        <w:tc>
          <w:tcPr>
            <w:tcW w:w="1701" w:type="dxa"/>
            <w:tcBorders>
              <w:top w:val="single" w:sz="4" w:space="0" w:color="auto"/>
              <w:left w:val="nil"/>
              <w:bottom w:val="single" w:sz="4" w:space="0" w:color="auto"/>
              <w:right w:val="nil"/>
            </w:tcBorders>
            <w:shd w:val="clear" w:color="auto" w:fill="auto"/>
            <w:vAlign w:val="center"/>
            <w:hideMark/>
          </w:tcPr>
          <w:p w14:paraId="4A883506" w14:textId="77777777" w:rsidR="001F1A14" w:rsidRPr="001F1A14" w:rsidRDefault="001F1A14" w:rsidP="001F1A14">
            <w:pPr>
              <w:spacing w:after="0" w:line="240" w:lineRule="auto"/>
              <w:jc w:val="center"/>
              <w:rPr>
                <w:rFonts w:ascii="Calibri" w:eastAsia="Times New Roman" w:hAnsi="Calibri" w:cs="Calibri"/>
                <w:b/>
                <w:bCs/>
                <w:color w:val="000000"/>
                <w:kern w:val="0"/>
                <w:lang w:eastAsia="es-CO"/>
                <w14:ligatures w14:val="none"/>
              </w:rPr>
            </w:pPr>
            <w:r w:rsidRPr="001F1A14">
              <w:rPr>
                <w:rFonts w:ascii="Calibri" w:eastAsia="Times New Roman" w:hAnsi="Calibri" w:cs="Calibri"/>
                <w:b/>
                <w:bCs/>
                <w:color w:val="000000"/>
                <w:kern w:val="0"/>
                <w:lang w:eastAsia="es-CO"/>
                <w14:ligatures w14:val="none"/>
              </w:rPr>
              <w:t>ADASYN 250% (50</w:t>
            </w:r>
            <w:proofErr w:type="gramStart"/>
            <w:r w:rsidRPr="001F1A14">
              <w:rPr>
                <w:rFonts w:ascii="Calibri" w:eastAsia="Times New Roman" w:hAnsi="Calibri" w:cs="Calibri"/>
                <w:b/>
                <w:bCs/>
                <w:color w:val="000000"/>
                <w:kern w:val="0"/>
                <w:lang w:eastAsia="es-CO"/>
                <w14:ligatures w14:val="none"/>
              </w:rPr>
              <w:t>%)</w:t>
            </w:r>
            <w:proofErr w:type="spellStart"/>
            <w:r w:rsidRPr="001F1A14">
              <w:rPr>
                <w:rFonts w:ascii="Calibri" w:eastAsia="Times New Roman" w:hAnsi="Calibri" w:cs="Calibri"/>
                <w:b/>
                <w:bCs/>
                <w:color w:val="000000"/>
                <w:kern w:val="0"/>
                <w:lang w:eastAsia="es-CO"/>
                <w14:ligatures w14:val="none"/>
              </w:rPr>
              <w:t>Avg</w:t>
            </w:r>
            <w:proofErr w:type="spellEnd"/>
            <w:proofErr w:type="gramEnd"/>
            <w:r w:rsidRPr="001F1A14">
              <w:rPr>
                <w:rFonts w:ascii="Calibri" w:eastAsia="Times New Roman" w:hAnsi="Calibri" w:cs="Calibri"/>
                <w:b/>
                <w:bCs/>
                <w:color w:val="000000"/>
                <w:kern w:val="0"/>
                <w:lang w:eastAsia="es-CO"/>
                <w14:ligatures w14:val="none"/>
              </w:rPr>
              <w:t xml:space="preserve"> Rank / </w:t>
            </w:r>
            <w:proofErr w:type="spellStart"/>
            <w:r w:rsidRPr="001F1A14">
              <w:rPr>
                <w:rFonts w:ascii="Calibri" w:eastAsia="Times New Roman" w:hAnsi="Calibri" w:cs="Calibri"/>
                <w:b/>
                <w:bCs/>
                <w:color w:val="000000"/>
                <w:kern w:val="0"/>
                <w:lang w:eastAsia="es-CO"/>
                <w14:ligatures w14:val="none"/>
              </w:rPr>
              <w:t>Trend</w:t>
            </w:r>
            <w:proofErr w:type="spellEnd"/>
          </w:p>
        </w:tc>
        <w:tc>
          <w:tcPr>
            <w:tcW w:w="1701" w:type="dxa"/>
            <w:tcBorders>
              <w:top w:val="single" w:sz="4" w:space="0" w:color="auto"/>
              <w:left w:val="nil"/>
              <w:bottom w:val="single" w:sz="4" w:space="0" w:color="auto"/>
              <w:right w:val="nil"/>
            </w:tcBorders>
            <w:shd w:val="clear" w:color="auto" w:fill="auto"/>
            <w:vAlign w:val="center"/>
            <w:hideMark/>
          </w:tcPr>
          <w:p w14:paraId="6666FB79" w14:textId="77777777" w:rsidR="001F1A14" w:rsidRPr="001F1A14" w:rsidRDefault="001F1A14" w:rsidP="001F1A14">
            <w:pPr>
              <w:spacing w:after="0" w:line="240" w:lineRule="auto"/>
              <w:jc w:val="center"/>
              <w:rPr>
                <w:rFonts w:ascii="Calibri" w:eastAsia="Times New Roman" w:hAnsi="Calibri" w:cs="Calibri"/>
                <w:b/>
                <w:bCs/>
                <w:color w:val="000000"/>
                <w:kern w:val="0"/>
                <w:lang w:eastAsia="es-CO"/>
                <w14:ligatures w14:val="none"/>
              </w:rPr>
            </w:pPr>
            <w:r w:rsidRPr="001F1A14">
              <w:rPr>
                <w:rFonts w:ascii="Calibri" w:eastAsia="Times New Roman" w:hAnsi="Calibri" w:cs="Calibri"/>
                <w:b/>
                <w:bCs/>
                <w:color w:val="000000"/>
                <w:kern w:val="0"/>
                <w:lang w:eastAsia="es-CO"/>
                <w14:ligatures w14:val="none"/>
              </w:rPr>
              <w:t>SMOTE 300% (0</w:t>
            </w:r>
            <w:proofErr w:type="gramStart"/>
            <w:r w:rsidRPr="001F1A14">
              <w:rPr>
                <w:rFonts w:ascii="Calibri" w:eastAsia="Times New Roman" w:hAnsi="Calibri" w:cs="Calibri"/>
                <w:b/>
                <w:bCs/>
                <w:color w:val="000000"/>
                <w:kern w:val="0"/>
                <w:lang w:eastAsia="es-CO"/>
                <w14:ligatures w14:val="none"/>
              </w:rPr>
              <w:t>%)</w:t>
            </w:r>
            <w:proofErr w:type="spellStart"/>
            <w:r w:rsidRPr="001F1A14">
              <w:rPr>
                <w:rFonts w:ascii="Calibri" w:eastAsia="Times New Roman" w:hAnsi="Calibri" w:cs="Calibri"/>
                <w:b/>
                <w:bCs/>
                <w:color w:val="000000"/>
                <w:kern w:val="0"/>
                <w:lang w:eastAsia="es-CO"/>
                <w14:ligatures w14:val="none"/>
              </w:rPr>
              <w:t>Avg</w:t>
            </w:r>
            <w:proofErr w:type="spellEnd"/>
            <w:proofErr w:type="gramEnd"/>
            <w:r w:rsidRPr="001F1A14">
              <w:rPr>
                <w:rFonts w:ascii="Calibri" w:eastAsia="Times New Roman" w:hAnsi="Calibri" w:cs="Calibri"/>
                <w:b/>
                <w:bCs/>
                <w:color w:val="000000"/>
                <w:kern w:val="0"/>
                <w:lang w:eastAsia="es-CO"/>
                <w14:ligatures w14:val="none"/>
              </w:rPr>
              <w:t xml:space="preserve"> Rank / </w:t>
            </w:r>
            <w:proofErr w:type="spellStart"/>
            <w:r w:rsidRPr="001F1A14">
              <w:rPr>
                <w:rFonts w:ascii="Calibri" w:eastAsia="Times New Roman" w:hAnsi="Calibri" w:cs="Calibri"/>
                <w:b/>
                <w:bCs/>
                <w:color w:val="000000"/>
                <w:kern w:val="0"/>
                <w:lang w:eastAsia="es-CO"/>
                <w14:ligatures w14:val="none"/>
              </w:rPr>
              <w:t>Trend</w:t>
            </w:r>
            <w:proofErr w:type="spellEnd"/>
          </w:p>
        </w:tc>
      </w:tr>
      <w:tr w:rsidR="001F1A14" w:rsidRPr="001F1A14" w14:paraId="14F23B66" w14:textId="77777777" w:rsidTr="00FB19ED">
        <w:trPr>
          <w:trHeight w:val="432"/>
        </w:trPr>
        <w:tc>
          <w:tcPr>
            <w:tcW w:w="1843" w:type="dxa"/>
            <w:tcBorders>
              <w:top w:val="nil"/>
              <w:left w:val="nil"/>
              <w:bottom w:val="nil"/>
              <w:right w:val="nil"/>
            </w:tcBorders>
            <w:shd w:val="clear" w:color="auto" w:fill="auto"/>
            <w:vAlign w:val="center"/>
            <w:hideMark/>
          </w:tcPr>
          <w:p w14:paraId="43D56EE4" w14:textId="77777777" w:rsidR="001F1A14" w:rsidRPr="001F1A14" w:rsidRDefault="001F1A14" w:rsidP="001F1A14">
            <w:pPr>
              <w:spacing w:after="0" w:line="240" w:lineRule="auto"/>
              <w:rPr>
                <w:rFonts w:ascii="Calibri" w:eastAsia="Times New Roman" w:hAnsi="Calibri" w:cs="Calibri"/>
                <w:b/>
                <w:bCs/>
                <w:color w:val="000000"/>
                <w:kern w:val="0"/>
                <w:lang w:eastAsia="es-CO"/>
                <w14:ligatures w14:val="none"/>
              </w:rPr>
            </w:pPr>
            <w:proofErr w:type="spellStart"/>
            <w:r w:rsidRPr="001F1A14">
              <w:rPr>
                <w:rFonts w:ascii="Calibri" w:eastAsia="Times New Roman" w:hAnsi="Calibri" w:cs="Calibri"/>
                <w:b/>
                <w:bCs/>
                <w:color w:val="000000"/>
                <w:kern w:val="0"/>
                <w:lang w:eastAsia="es-CO"/>
                <w14:ligatures w14:val="none"/>
              </w:rPr>
              <w:t>Fruits</w:t>
            </w:r>
            <w:proofErr w:type="spellEnd"/>
          </w:p>
        </w:tc>
        <w:tc>
          <w:tcPr>
            <w:tcW w:w="1701" w:type="dxa"/>
            <w:tcBorders>
              <w:top w:val="nil"/>
              <w:left w:val="nil"/>
              <w:bottom w:val="nil"/>
              <w:right w:val="nil"/>
            </w:tcBorders>
            <w:shd w:val="clear" w:color="auto" w:fill="auto"/>
            <w:vAlign w:val="center"/>
            <w:hideMark/>
          </w:tcPr>
          <w:p w14:paraId="6E0BF9B1"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4.93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5C76E579"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2.15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584E3BA1"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2.60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4C52862D"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1.60 / ↓ </w:t>
            </w:r>
            <w:proofErr w:type="spellStart"/>
            <w:r w:rsidRPr="001F1A14">
              <w:rPr>
                <w:rFonts w:ascii="Calibri" w:eastAsia="Times New Roman" w:hAnsi="Calibri" w:cs="Calibri"/>
                <w:color w:val="000000"/>
                <w:kern w:val="0"/>
                <w:lang w:eastAsia="es-CO"/>
                <w14:ligatures w14:val="none"/>
              </w:rPr>
              <w:t>risk</w:t>
            </w:r>
            <w:proofErr w:type="spellEnd"/>
          </w:p>
        </w:tc>
      </w:tr>
      <w:tr w:rsidR="001F1A14" w:rsidRPr="001F1A14" w14:paraId="0BC6CCB2" w14:textId="77777777" w:rsidTr="00FB19ED">
        <w:trPr>
          <w:trHeight w:val="432"/>
        </w:trPr>
        <w:tc>
          <w:tcPr>
            <w:tcW w:w="1843" w:type="dxa"/>
            <w:tcBorders>
              <w:top w:val="nil"/>
              <w:left w:val="nil"/>
              <w:bottom w:val="nil"/>
              <w:right w:val="nil"/>
            </w:tcBorders>
            <w:shd w:val="clear" w:color="auto" w:fill="auto"/>
            <w:vAlign w:val="center"/>
            <w:hideMark/>
          </w:tcPr>
          <w:p w14:paraId="2BDD83BC" w14:textId="77777777" w:rsidR="001F1A14" w:rsidRPr="001F1A14" w:rsidRDefault="001F1A14" w:rsidP="001F1A14">
            <w:pPr>
              <w:spacing w:after="0" w:line="240" w:lineRule="auto"/>
              <w:rPr>
                <w:rFonts w:ascii="Calibri" w:eastAsia="Times New Roman" w:hAnsi="Calibri" w:cs="Calibri"/>
                <w:b/>
                <w:bCs/>
                <w:color w:val="000000"/>
                <w:kern w:val="0"/>
                <w:lang w:eastAsia="es-CO"/>
                <w14:ligatures w14:val="none"/>
              </w:rPr>
            </w:pPr>
            <w:proofErr w:type="spellStart"/>
            <w:r w:rsidRPr="001F1A14">
              <w:rPr>
                <w:rFonts w:ascii="Calibri" w:eastAsia="Times New Roman" w:hAnsi="Calibri" w:cs="Calibri"/>
                <w:b/>
                <w:bCs/>
                <w:color w:val="000000"/>
                <w:kern w:val="0"/>
                <w:lang w:eastAsia="es-CO"/>
                <w14:ligatures w14:val="none"/>
              </w:rPr>
              <w:t>Oils</w:t>
            </w:r>
            <w:proofErr w:type="spellEnd"/>
            <w:r w:rsidRPr="001F1A14">
              <w:rPr>
                <w:rFonts w:ascii="Calibri" w:eastAsia="Times New Roman" w:hAnsi="Calibri" w:cs="Calibri"/>
                <w:b/>
                <w:bCs/>
                <w:color w:val="000000"/>
                <w:kern w:val="0"/>
                <w:lang w:eastAsia="es-CO"/>
                <w14:ligatures w14:val="none"/>
              </w:rPr>
              <w:t xml:space="preserve"> &amp; </w:t>
            </w:r>
            <w:proofErr w:type="spellStart"/>
            <w:r w:rsidRPr="001F1A14">
              <w:rPr>
                <w:rFonts w:ascii="Calibri" w:eastAsia="Times New Roman" w:hAnsi="Calibri" w:cs="Calibri"/>
                <w:b/>
                <w:bCs/>
                <w:color w:val="000000"/>
                <w:kern w:val="0"/>
                <w:lang w:eastAsia="es-CO"/>
                <w14:ligatures w14:val="none"/>
              </w:rPr>
              <w:t>Fats</w:t>
            </w:r>
            <w:proofErr w:type="spellEnd"/>
          </w:p>
        </w:tc>
        <w:tc>
          <w:tcPr>
            <w:tcW w:w="1701" w:type="dxa"/>
            <w:tcBorders>
              <w:top w:val="nil"/>
              <w:left w:val="nil"/>
              <w:bottom w:val="nil"/>
              <w:right w:val="nil"/>
            </w:tcBorders>
            <w:shd w:val="clear" w:color="auto" w:fill="auto"/>
            <w:vAlign w:val="center"/>
            <w:hideMark/>
          </w:tcPr>
          <w:p w14:paraId="6C13884E"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5.96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4460FD57"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4.70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57E3C6C0"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4.10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584C8CEA"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4.55 / ↑ </w:t>
            </w:r>
            <w:proofErr w:type="spellStart"/>
            <w:r w:rsidRPr="001F1A14">
              <w:rPr>
                <w:rFonts w:ascii="Calibri" w:eastAsia="Times New Roman" w:hAnsi="Calibri" w:cs="Calibri"/>
                <w:color w:val="000000"/>
                <w:kern w:val="0"/>
                <w:lang w:eastAsia="es-CO"/>
                <w14:ligatures w14:val="none"/>
              </w:rPr>
              <w:t>risk</w:t>
            </w:r>
            <w:proofErr w:type="spellEnd"/>
          </w:p>
        </w:tc>
      </w:tr>
      <w:tr w:rsidR="001F1A14" w:rsidRPr="001F1A14" w14:paraId="0EDF2F5C" w14:textId="77777777" w:rsidTr="00FB19ED">
        <w:trPr>
          <w:trHeight w:val="432"/>
        </w:trPr>
        <w:tc>
          <w:tcPr>
            <w:tcW w:w="1843" w:type="dxa"/>
            <w:tcBorders>
              <w:top w:val="nil"/>
              <w:left w:val="nil"/>
              <w:bottom w:val="nil"/>
              <w:right w:val="nil"/>
            </w:tcBorders>
            <w:shd w:val="clear" w:color="auto" w:fill="auto"/>
            <w:vAlign w:val="center"/>
            <w:hideMark/>
          </w:tcPr>
          <w:p w14:paraId="64A77A6A" w14:textId="77777777" w:rsidR="001F1A14" w:rsidRPr="001F1A14" w:rsidRDefault="001F1A14" w:rsidP="001F1A14">
            <w:pPr>
              <w:spacing w:after="0" w:line="240" w:lineRule="auto"/>
              <w:rPr>
                <w:rFonts w:ascii="Calibri" w:eastAsia="Times New Roman" w:hAnsi="Calibri" w:cs="Calibri"/>
                <w:b/>
                <w:bCs/>
                <w:color w:val="000000"/>
                <w:kern w:val="0"/>
                <w:lang w:eastAsia="es-CO"/>
                <w14:ligatures w14:val="none"/>
              </w:rPr>
            </w:pPr>
            <w:proofErr w:type="spellStart"/>
            <w:r w:rsidRPr="001F1A14">
              <w:rPr>
                <w:rFonts w:ascii="Calibri" w:eastAsia="Times New Roman" w:hAnsi="Calibri" w:cs="Calibri"/>
                <w:b/>
                <w:bCs/>
                <w:color w:val="000000"/>
                <w:kern w:val="0"/>
                <w:lang w:eastAsia="es-CO"/>
                <w14:ligatures w14:val="none"/>
              </w:rPr>
              <w:t>Sweets</w:t>
            </w:r>
            <w:proofErr w:type="spellEnd"/>
          </w:p>
        </w:tc>
        <w:tc>
          <w:tcPr>
            <w:tcW w:w="1701" w:type="dxa"/>
            <w:tcBorders>
              <w:top w:val="nil"/>
              <w:left w:val="nil"/>
              <w:bottom w:val="nil"/>
              <w:right w:val="nil"/>
            </w:tcBorders>
            <w:shd w:val="clear" w:color="auto" w:fill="auto"/>
            <w:vAlign w:val="center"/>
            <w:hideMark/>
          </w:tcPr>
          <w:p w14:paraId="081025BA"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5.15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6E8415A7"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2.60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5C3F93A3"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3.45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0E0FCAAE"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3.70 / ↑ </w:t>
            </w:r>
            <w:proofErr w:type="spellStart"/>
            <w:r w:rsidRPr="001F1A14">
              <w:rPr>
                <w:rFonts w:ascii="Calibri" w:eastAsia="Times New Roman" w:hAnsi="Calibri" w:cs="Calibri"/>
                <w:color w:val="000000"/>
                <w:kern w:val="0"/>
                <w:lang w:eastAsia="es-CO"/>
                <w14:ligatures w14:val="none"/>
              </w:rPr>
              <w:t>risk</w:t>
            </w:r>
            <w:proofErr w:type="spellEnd"/>
          </w:p>
        </w:tc>
      </w:tr>
      <w:tr w:rsidR="001F1A14" w:rsidRPr="001F1A14" w14:paraId="1E53CF2F" w14:textId="77777777" w:rsidTr="00FB19ED">
        <w:trPr>
          <w:trHeight w:val="432"/>
        </w:trPr>
        <w:tc>
          <w:tcPr>
            <w:tcW w:w="1843" w:type="dxa"/>
            <w:tcBorders>
              <w:top w:val="nil"/>
              <w:left w:val="nil"/>
              <w:bottom w:val="nil"/>
              <w:right w:val="nil"/>
            </w:tcBorders>
            <w:shd w:val="clear" w:color="auto" w:fill="auto"/>
            <w:vAlign w:val="center"/>
            <w:hideMark/>
          </w:tcPr>
          <w:p w14:paraId="23288E1A" w14:textId="77777777" w:rsidR="001F1A14" w:rsidRPr="001F1A14" w:rsidRDefault="001F1A14" w:rsidP="001F1A14">
            <w:pPr>
              <w:spacing w:after="0" w:line="240" w:lineRule="auto"/>
              <w:rPr>
                <w:rFonts w:ascii="Calibri" w:eastAsia="Times New Roman" w:hAnsi="Calibri" w:cs="Calibri"/>
                <w:b/>
                <w:bCs/>
                <w:color w:val="000000"/>
                <w:kern w:val="0"/>
                <w:lang w:eastAsia="es-CO"/>
                <w14:ligatures w14:val="none"/>
              </w:rPr>
            </w:pPr>
            <w:r w:rsidRPr="001F1A14">
              <w:rPr>
                <w:rFonts w:ascii="Calibri" w:eastAsia="Times New Roman" w:hAnsi="Calibri" w:cs="Calibri"/>
                <w:b/>
                <w:bCs/>
                <w:color w:val="000000"/>
                <w:kern w:val="0"/>
                <w:lang w:eastAsia="es-CO"/>
                <w14:ligatures w14:val="none"/>
              </w:rPr>
              <w:t>Vegetables</w:t>
            </w:r>
          </w:p>
        </w:tc>
        <w:tc>
          <w:tcPr>
            <w:tcW w:w="1701" w:type="dxa"/>
            <w:tcBorders>
              <w:top w:val="nil"/>
              <w:left w:val="nil"/>
              <w:bottom w:val="nil"/>
              <w:right w:val="nil"/>
            </w:tcBorders>
            <w:shd w:val="clear" w:color="auto" w:fill="auto"/>
            <w:vAlign w:val="center"/>
            <w:hideMark/>
          </w:tcPr>
          <w:p w14:paraId="65E03F54"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6.52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66EA6915"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7.85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49CE363A"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8.45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0703229F"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8.10 / ↓ </w:t>
            </w:r>
            <w:proofErr w:type="spellStart"/>
            <w:r w:rsidRPr="001F1A14">
              <w:rPr>
                <w:rFonts w:ascii="Calibri" w:eastAsia="Times New Roman" w:hAnsi="Calibri" w:cs="Calibri"/>
                <w:color w:val="000000"/>
                <w:kern w:val="0"/>
                <w:lang w:eastAsia="es-CO"/>
                <w14:ligatures w14:val="none"/>
              </w:rPr>
              <w:t>risk</w:t>
            </w:r>
            <w:proofErr w:type="spellEnd"/>
          </w:p>
        </w:tc>
      </w:tr>
      <w:tr w:rsidR="001F1A14" w:rsidRPr="001F1A14" w14:paraId="0D559927" w14:textId="77777777" w:rsidTr="00FB19ED">
        <w:trPr>
          <w:trHeight w:val="432"/>
        </w:trPr>
        <w:tc>
          <w:tcPr>
            <w:tcW w:w="1843" w:type="dxa"/>
            <w:tcBorders>
              <w:top w:val="nil"/>
              <w:left w:val="nil"/>
              <w:bottom w:val="nil"/>
              <w:right w:val="nil"/>
            </w:tcBorders>
            <w:shd w:val="clear" w:color="auto" w:fill="auto"/>
            <w:vAlign w:val="center"/>
            <w:hideMark/>
          </w:tcPr>
          <w:p w14:paraId="103FF201" w14:textId="77777777" w:rsidR="001F1A14" w:rsidRPr="001F1A14" w:rsidRDefault="001F1A14" w:rsidP="001F1A14">
            <w:pPr>
              <w:spacing w:after="0" w:line="240" w:lineRule="auto"/>
              <w:rPr>
                <w:rFonts w:ascii="Calibri" w:eastAsia="Times New Roman" w:hAnsi="Calibri" w:cs="Calibri"/>
                <w:b/>
                <w:bCs/>
                <w:color w:val="000000"/>
                <w:kern w:val="0"/>
                <w:lang w:eastAsia="es-CO"/>
                <w14:ligatures w14:val="none"/>
              </w:rPr>
            </w:pPr>
            <w:r w:rsidRPr="001F1A14">
              <w:rPr>
                <w:rFonts w:ascii="Calibri" w:eastAsia="Times New Roman" w:hAnsi="Calibri" w:cs="Calibri"/>
                <w:b/>
                <w:bCs/>
                <w:color w:val="000000"/>
                <w:kern w:val="0"/>
                <w:lang w:eastAsia="es-CO"/>
                <w14:ligatures w14:val="none"/>
              </w:rPr>
              <w:t xml:space="preserve">Red </w:t>
            </w:r>
            <w:proofErr w:type="spellStart"/>
            <w:r w:rsidRPr="001F1A14">
              <w:rPr>
                <w:rFonts w:ascii="Calibri" w:eastAsia="Times New Roman" w:hAnsi="Calibri" w:cs="Calibri"/>
                <w:b/>
                <w:bCs/>
                <w:color w:val="000000"/>
                <w:kern w:val="0"/>
                <w:lang w:eastAsia="es-CO"/>
                <w14:ligatures w14:val="none"/>
              </w:rPr>
              <w:t>Meat</w:t>
            </w:r>
            <w:proofErr w:type="spellEnd"/>
          </w:p>
        </w:tc>
        <w:tc>
          <w:tcPr>
            <w:tcW w:w="1701" w:type="dxa"/>
            <w:tcBorders>
              <w:top w:val="nil"/>
              <w:left w:val="nil"/>
              <w:bottom w:val="nil"/>
              <w:right w:val="nil"/>
            </w:tcBorders>
            <w:shd w:val="clear" w:color="auto" w:fill="auto"/>
            <w:vAlign w:val="center"/>
            <w:hideMark/>
          </w:tcPr>
          <w:p w14:paraId="0033BF1F"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4.31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5C37C8EC"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3.30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6323FC92"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2.30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769D5869"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2.25 / ↓ </w:t>
            </w:r>
            <w:proofErr w:type="spellStart"/>
            <w:r w:rsidRPr="001F1A14">
              <w:rPr>
                <w:rFonts w:ascii="Calibri" w:eastAsia="Times New Roman" w:hAnsi="Calibri" w:cs="Calibri"/>
                <w:color w:val="000000"/>
                <w:kern w:val="0"/>
                <w:lang w:eastAsia="es-CO"/>
                <w14:ligatures w14:val="none"/>
              </w:rPr>
              <w:t>risk</w:t>
            </w:r>
            <w:proofErr w:type="spellEnd"/>
          </w:p>
        </w:tc>
      </w:tr>
      <w:tr w:rsidR="001F1A14" w:rsidRPr="001F1A14" w14:paraId="36FCF52B" w14:textId="77777777" w:rsidTr="00FB19ED">
        <w:trPr>
          <w:trHeight w:val="432"/>
        </w:trPr>
        <w:tc>
          <w:tcPr>
            <w:tcW w:w="1843" w:type="dxa"/>
            <w:tcBorders>
              <w:top w:val="nil"/>
              <w:left w:val="nil"/>
              <w:bottom w:val="nil"/>
              <w:right w:val="nil"/>
            </w:tcBorders>
            <w:shd w:val="clear" w:color="auto" w:fill="auto"/>
            <w:vAlign w:val="center"/>
            <w:hideMark/>
          </w:tcPr>
          <w:p w14:paraId="27E11AF3" w14:textId="77777777" w:rsidR="001F1A14" w:rsidRPr="001F1A14" w:rsidRDefault="001F1A14" w:rsidP="001F1A14">
            <w:pPr>
              <w:spacing w:after="0" w:line="240" w:lineRule="auto"/>
              <w:rPr>
                <w:rFonts w:ascii="Calibri" w:eastAsia="Times New Roman" w:hAnsi="Calibri" w:cs="Calibri"/>
                <w:b/>
                <w:bCs/>
                <w:color w:val="000000"/>
                <w:kern w:val="0"/>
                <w:lang w:eastAsia="es-CO"/>
                <w14:ligatures w14:val="none"/>
              </w:rPr>
            </w:pPr>
            <w:proofErr w:type="spellStart"/>
            <w:r w:rsidRPr="001F1A14">
              <w:rPr>
                <w:rFonts w:ascii="Calibri" w:eastAsia="Times New Roman" w:hAnsi="Calibri" w:cs="Calibri"/>
                <w:b/>
                <w:bCs/>
                <w:color w:val="000000"/>
                <w:kern w:val="0"/>
                <w:lang w:eastAsia="es-CO"/>
                <w14:ligatures w14:val="none"/>
              </w:rPr>
              <w:t>Tubers</w:t>
            </w:r>
            <w:proofErr w:type="spellEnd"/>
          </w:p>
        </w:tc>
        <w:tc>
          <w:tcPr>
            <w:tcW w:w="1701" w:type="dxa"/>
            <w:tcBorders>
              <w:top w:val="nil"/>
              <w:left w:val="nil"/>
              <w:bottom w:val="nil"/>
              <w:right w:val="nil"/>
            </w:tcBorders>
            <w:shd w:val="clear" w:color="auto" w:fill="auto"/>
            <w:vAlign w:val="center"/>
            <w:hideMark/>
          </w:tcPr>
          <w:p w14:paraId="01D3B572"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5.23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31E48FBC"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5.05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286AF76B"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5.40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2AA27F5E"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6.55 / ↓ </w:t>
            </w:r>
            <w:proofErr w:type="spellStart"/>
            <w:r w:rsidRPr="001F1A14">
              <w:rPr>
                <w:rFonts w:ascii="Calibri" w:eastAsia="Times New Roman" w:hAnsi="Calibri" w:cs="Calibri"/>
                <w:color w:val="000000"/>
                <w:kern w:val="0"/>
                <w:lang w:eastAsia="es-CO"/>
                <w14:ligatures w14:val="none"/>
              </w:rPr>
              <w:t>risk</w:t>
            </w:r>
            <w:proofErr w:type="spellEnd"/>
          </w:p>
        </w:tc>
      </w:tr>
      <w:tr w:rsidR="001F1A14" w:rsidRPr="001F1A14" w14:paraId="4925CC7B" w14:textId="77777777" w:rsidTr="00FB19ED">
        <w:trPr>
          <w:trHeight w:val="432"/>
        </w:trPr>
        <w:tc>
          <w:tcPr>
            <w:tcW w:w="1843" w:type="dxa"/>
            <w:tcBorders>
              <w:top w:val="nil"/>
              <w:left w:val="nil"/>
              <w:bottom w:val="nil"/>
              <w:right w:val="nil"/>
            </w:tcBorders>
            <w:shd w:val="clear" w:color="auto" w:fill="auto"/>
            <w:vAlign w:val="center"/>
            <w:hideMark/>
          </w:tcPr>
          <w:p w14:paraId="2156390E" w14:textId="77777777" w:rsidR="001F1A14" w:rsidRPr="001F1A14" w:rsidRDefault="001F1A14" w:rsidP="001F1A14">
            <w:pPr>
              <w:spacing w:after="0" w:line="240" w:lineRule="auto"/>
              <w:rPr>
                <w:rFonts w:ascii="Calibri" w:eastAsia="Times New Roman" w:hAnsi="Calibri" w:cs="Calibri"/>
                <w:b/>
                <w:bCs/>
                <w:color w:val="000000"/>
                <w:kern w:val="0"/>
                <w:lang w:eastAsia="es-CO"/>
                <w14:ligatures w14:val="none"/>
              </w:rPr>
            </w:pPr>
            <w:proofErr w:type="spellStart"/>
            <w:r w:rsidRPr="001F1A14">
              <w:rPr>
                <w:rFonts w:ascii="Calibri" w:eastAsia="Times New Roman" w:hAnsi="Calibri" w:cs="Calibri"/>
                <w:b/>
                <w:bCs/>
                <w:color w:val="000000"/>
                <w:kern w:val="0"/>
                <w:lang w:eastAsia="es-CO"/>
                <w14:ligatures w14:val="none"/>
              </w:rPr>
              <w:t>Proteins</w:t>
            </w:r>
            <w:proofErr w:type="spellEnd"/>
          </w:p>
        </w:tc>
        <w:tc>
          <w:tcPr>
            <w:tcW w:w="1701" w:type="dxa"/>
            <w:tcBorders>
              <w:top w:val="nil"/>
              <w:left w:val="nil"/>
              <w:bottom w:val="nil"/>
              <w:right w:val="nil"/>
            </w:tcBorders>
            <w:shd w:val="clear" w:color="auto" w:fill="auto"/>
            <w:vAlign w:val="center"/>
            <w:hideMark/>
          </w:tcPr>
          <w:p w14:paraId="03D79E0A"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6.23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01D691D8"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6.94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1FA5C564"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6.61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35925078"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6.70 / ↓ </w:t>
            </w:r>
            <w:proofErr w:type="spellStart"/>
            <w:r w:rsidRPr="001F1A14">
              <w:rPr>
                <w:rFonts w:ascii="Calibri" w:eastAsia="Times New Roman" w:hAnsi="Calibri" w:cs="Calibri"/>
                <w:color w:val="000000"/>
                <w:kern w:val="0"/>
                <w:lang w:eastAsia="es-CO"/>
                <w14:ligatures w14:val="none"/>
              </w:rPr>
              <w:t>risk</w:t>
            </w:r>
            <w:proofErr w:type="spellEnd"/>
          </w:p>
        </w:tc>
      </w:tr>
      <w:tr w:rsidR="001F1A14" w:rsidRPr="001F1A14" w14:paraId="279DACA7" w14:textId="77777777" w:rsidTr="00FB19ED">
        <w:trPr>
          <w:trHeight w:val="432"/>
        </w:trPr>
        <w:tc>
          <w:tcPr>
            <w:tcW w:w="1843" w:type="dxa"/>
            <w:tcBorders>
              <w:top w:val="nil"/>
              <w:left w:val="nil"/>
              <w:bottom w:val="nil"/>
              <w:right w:val="nil"/>
            </w:tcBorders>
            <w:shd w:val="clear" w:color="auto" w:fill="auto"/>
            <w:vAlign w:val="center"/>
            <w:hideMark/>
          </w:tcPr>
          <w:p w14:paraId="4A227010" w14:textId="77777777" w:rsidR="001F1A14" w:rsidRPr="001F1A14" w:rsidRDefault="001F1A14" w:rsidP="001F1A14">
            <w:pPr>
              <w:spacing w:after="0" w:line="240" w:lineRule="auto"/>
              <w:rPr>
                <w:rFonts w:ascii="Calibri" w:eastAsia="Times New Roman" w:hAnsi="Calibri" w:cs="Calibri"/>
                <w:b/>
                <w:bCs/>
                <w:color w:val="000000"/>
                <w:kern w:val="0"/>
                <w:lang w:eastAsia="es-CO"/>
                <w14:ligatures w14:val="none"/>
              </w:rPr>
            </w:pPr>
            <w:r w:rsidRPr="001F1A14">
              <w:rPr>
                <w:rFonts w:ascii="Calibri" w:eastAsia="Times New Roman" w:hAnsi="Calibri" w:cs="Calibri"/>
                <w:b/>
                <w:bCs/>
                <w:color w:val="000000"/>
                <w:kern w:val="0"/>
                <w:lang w:eastAsia="es-CO"/>
                <w14:ligatures w14:val="none"/>
              </w:rPr>
              <w:t xml:space="preserve">Hot </w:t>
            </w:r>
            <w:proofErr w:type="spellStart"/>
            <w:r w:rsidRPr="001F1A14">
              <w:rPr>
                <w:rFonts w:ascii="Calibri" w:eastAsia="Times New Roman" w:hAnsi="Calibri" w:cs="Calibri"/>
                <w:b/>
                <w:bCs/>
                <w:color w:val="000000"/>
                <w:kern w:val="0"/>
                <w:lang w:eastAsia="es-CO"/>
                <w14:ligatures w14:val="none"/>
              </w:rPr>
              <w:t>Beverages</w:t>
            </w:r>
            <w:proofErr w:type="spellEnd"/>
          </w:p>
        </w:tc>
        <w:tc>
          <w:tcPr>
            <w:tcW w:w="1701" w:type="dxa"/>
            <w:tcBorders>
              <w:top w:val="nil"/>
              <w:left w:val="nil"/>
              <w:bottom w:val="nil"/>
              <w:right w:val="nil"/>
            </w:tcBorders>
            <w:shd w:val="clear" w:color="auto" w:fill="auto"/>
            <w:vAlign w:val="center"/>
            <w:hideMark/>
          </w:tcPr>
          <w:p w14:paraId="2631E670"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5.63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63621B3F"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5.40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45BC2171"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5.15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5D5BD8EC"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4.50 / ↓ </w:t>
            </w:r>
            <w:proofErr w:type="spellStart"/>
            <w:r w:rsidRPr="001F1A14">
              <w:rPr>
                <w:rFonts w:ascii="Calibri" w:eastAsia="Times New Roman" w:hAnsi="Calibri" w:cs="Calibri"/>
                <w:color w:val="000000"/>
                <w:kern w:val="0"/>
                <w:lang w:eastAsia="es-CO"/>
                <w14:ligatures w14:val="none"/>
              </w:rPr>
              <w:t>risk</w:t>
            </w:r>
            <w:proofErr w:type="spellEnd"/>
          </w:p>
        </w:tc>
      </w:tr>
      <w:tr w:rsidR="001F1A14" w:rsidRPr="001F1A14" w14:paraId="325CC178" w14:textId="77777777" w:rsidTr="00FB19ED">
        <w:trPr>
          <w:trHeight w:val="432"/>
        </w:trPr>
        <w:tc>
          <w:tcPr>
            <w:tcW w:w="1843" w:type="dxa"/>
            <w:tcBorders>
              <w:top w:val="nil"/>
              <w:left w:val="nil"/>
              <w:bottom w:val="nil"/>
              <w:right w:val="nil"/>
            </w:tcBorders>
            <w:shd w:val="clear" w:color="auto" w:fill="auto"/>
            <w:vAlign w:val="center"/>
            <w:hideMark/>
          </w:tcPr>
          <w:p w14:paraId="66F5511E" w14:textId="77777777" w:rsidR="001F1A14" w:rsidRPr="001F1A14" w:rsidRDefault="001F1A14" w:rsidP="001F1A14">
            <w:pPr>
              <w:spacing w:after="0" w:line="240" w:lineRule="auto"/>
              <w:rPr>
                <w:rFonts w:ascii="Calibri" w:eastAsia="Times New Roman" w:hAnsi="Calibri" w:cs="Calibri"/>
                <w:b/>
                <w:bCs/>
                <w:color w:val="000000"/>
                <w:kern w:val="0"/>
                <w:lang w:eastAsia="es-CO"/>
                <w14:ligatures w14:val="none"/>
              </w:rPr>
            </w:pPr>
            <w:proofErr w:type="spellStart"/>
            <w:r w:rsidRPr="001F1A14">
              <w:rPr>
                <w:rFonts w:ascii="Calibri" w:eastAsia="Times New Roman" w:hAnsi="Calibri" w:cs="Calibri"/>
                <w:b/>
                <w:bCs/>
                <w:color w:val="000000"/>
                <w:kern w:val="0"/>
                <w:lang w:eastAsia="es-CO"/>
                <w14:ligatures w14:val="none"/>
              </w:rPr>
              <w:t>Grains</w:t>
            </w:r>
            <w:proofErr w:type="spellEnd"/>
            <w:r w:rsidRPr="001F1A14">
              <w:rPr>
                <w:rFonts w:ascii="Calibri" w:eastAsia="Times New Roman" w:hAnsi="Calibri" w:cs="Calibri"/>
                <w:b/>
                <w:bCs/>
                <w:color w:val="000000"/>
                <w:kern w:val="0"/>
                <w:lang w:eastAsia="es-CO"/>
                <w14:ligatures w14:val="none"/>
              </w:rPr>
              <w:t xml:space="preserve"> &amp; </w:t>
            </w:r>
            <w:proofErr w:type="spellStart"/>
            <w:r w:rsidRPr="001F1A14">
              <w:rPr>
                <w:rFonts w:ascii="Calibri" w:eastAsia="Times New Roman" w:hAnsi="Calibri" w:cs="Calibri"/>
                <w:b/>
                <w:bCs/>
                <w:color w:val="000000"/>
                <w:kern w:val="0"/>
                <w:lang w:eastAsia="es-CO"/>
                <w14:ligatures w14:val="none"/>
              </w:rPr>
              <w:t>Cereals</w:t>
            </w:r>
            <w:proofErr w:type="spellEnd"/>
          </w:p>
        </w:tc>
        <w:tc>
          <w:tcPr>
            <w:tcW w:w="1701" w:type="dxa"/>
            <w:tcBorders>
              <w:top w:val="nil"/>
              <w:left w:val="nil"/>
              <w:bottom w:val="nil"/>
              <w:right w:val="nil"/>
            </w:tcBorders>
            <w:shd w:val="clear" w:color="auto" w:fill="auto"/>
            <w:vAlign w:val="center"/>
            <w:hideMark/>
          </w:tcPr>
          <w:p w14:paraId="6C35CC8E"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6.05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66F54990"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7.55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6B13FB64"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8.06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78A0229C"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7.95 / ↓ </w:t>
            </w:r>
            <w:proofErr w:type="spellStart"/>
            <w:r w:rsidRPr="001F1A14">
              <w:rPr>
                <w:rFonts w:ascii="Calibri" w:eastAsia="Times New Roman" w:hAnsi="Calibri" w:cs="Calibri"/>
                <w:color w:val="000000"/>
                <w:kern w:val="0"/>
                <w:lang w:eastAsia="es-CO"/>
                <w14:ligatures w14:val="none"/>
              </w:rPr>
              <w:t>risk</w:t>
            </w:r>
            <w:proofErr w:type="spellEnd"/>
          </w:p>
        </w:tc>
      </w:tr>
      <w:tr w:rsidR="001F1A14" w:rsidRPr="001F1A14" w14:paraId="1C9F989F" w14:textId="77777777" w:rsidTr="00FB19ED">
        <w:trPr>
          <w:trHeight w:val="432"/>
        </w:trPr>
        <w:tc>
          <w:tcPr>
            <w:tcW w:w="1843" w:type="dxa"/>
            <w:tcBorders>
              <w:top w:val="nil"/>
              <w:left w:val="nil"/>
              <w:bottom w:val="single" w:sz="4" w:space="0" w:color="auto"/>
              <w:right w:val="nil"/>
            </w:tcBorders>
            <w:shd w:val="clear" w:color="auto" w:fill="auto"/>
            <w:vAlign w:val="center"/>
            <w:hideMark/>
          </w:tcPr>
          <w:p w14:paraId="2B76E9BE" w14:textId="77777777" w:rsidR="001F1A14" w:rsidRPr="001F1A14" w:rsidRDefault="001F1A14" w:rsidP="001F1A14">
            <w:pPr>
              <w:spacing w:after="0" w:line="240" w:lineRule="auto"/>
              <w:rPr>
                <w:rFonts w:ascii="Calibri" w:eastAsia="Times New Roman" w:hAnsi="Calibri" w:cs="Calibri"/>
                <w:b/>
                <w:bCs/>
                <w:color w:val="000000"/>
                <w:kern w:val="0"/>
                <w:lang w:eastAsia="es-CO"/>
                <w14:ligatures w14:val="none"/>
              </w:rPr>
            </w:pPr>
            <w:r w:rsidRPr="001F1A14">
              <w:rPr>
                <w:rFonts w:ascii="Calibri" w:eastAsia="Times New Roman" w:hAnsi="Calibri" w:cs="Calibri"/>
                <w:b/>
                <w:bCs/>
                <w:color w:val="000000"/>
                <w:kern w:val="0"/>
                <w:lang w:eastAsia="es-CO"/>
                <w14:ligatures w14:val="none"/>
              </w:rPr>
              <w:t xml:space="preserve">White </w:t>
            </w:r>
            <w:proofErr w:type="spellStart"/>
            <w:r w:rsidRPr="001F1A14">
              <w:rPr>
                <w:rFonts w:ascii="Calibri" w:eastAsia="Times New Roman" w:hAnsi="Calibri" w:cs="Calibri"/>
                <w:b/>
                <w:bCs/>
                <w:color w:val="000000"/>
                <w:kern w:val="0"/>
                <w:lang w:eastAsia="es-CO"/>
                <w14:ligatures w14:val="none"/>
              </w:rPr>
              <w:t>Meat</w:t>
            </w:r>
            <w:proofErr w:type="spellEnd"/>
          </w:p>
        </w:tc>
        <w:tc>
          <w:tcPr>
            <w:tcW w:w="1701" w:type="dxa"/>
            <w:tcBorders>
              <w:top w:val="nil"/>
              <w:left w:val="nil"/>
              <w:bottom w:val="single" w:sz="4" w:space="0" w:color="auto"/>
              <w:right w:val="nil"/>
            </w:tcBorders>
            <w:shd w:val="clear" w:color="auto" w:fill="auto"/>
            <w:vAlign w:val="center"/>
            <w:hideMark/>
          </w:tcPr>
          <w:p w14:paraId="0BF1ED00"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6.50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single" w:sz="4" w:space="0" w:color="auto"/>
              <w:right w:val="nil"/>
            </w:tcBorders>
            <w:shd w:val="clear" w:color="auto" w:fill="auto"/>
            <w:vAlign w:val="center"/>
            <w:hideMark/>
          </w:tcPr>
          <w:p w14:paraId="5B1DDDB5"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8.67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single" w:sz="4" w:space="0" w:color="auto"/>
              <w:right w:val="nil"/>
            </w:tcBorders>
            <w:shd w:val="clear" w:color="auto" w:fill="auto"/>
            <w:vAlign w:val="center"/>
            <w:hideMark/>
          </w:tcPr>
          <w:p w14:paraId="23CF5840"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8.18 / ↓ </w:t>
            </w:r>
            <w:proofErr w:type="spellStart"/>
            <w:r w:rsidRPr="001F1A14">
              <w:rPr>
                <w:rFonts w:ascii="Calibri" w:eastAsia="Times New Roman" w:hAnsi="Calibri" w:cs="Calibri"/>
                <w:color w:val="000000"/>
                <w:kern w:val="0"/>
                <w:lang w:eastAsia="es-CO"/>
                <w14:ligatures w14:val="none"/>
              </w:rPr>
              <w:t>risk</w:t>
            </w:r>
            <w:proofErr w:type="spellEnd"/>
          </w:p>
        </w:tc>
        <w:tc>
          <w:tcPr>
            <w:tcW w:w="1701" w:type="dxa"/>
            <w:tcBorders>
              <w:top w:val="nil"/>
              <w:left w:val="nil"/>
              <w:bottom w:val="single" w:sz="4" w:space="0" w:color="auto"/>
              <w:right w:val="nil"/>
            </w:tcBorders>
            <w:shd w:val="clear" w:color="auto" w:fill="auto"/>
            <w:vAlign w:val="center"/>
            <w:hideMark/>
          </w:tcPr>
          <w:p w14:paraId="64794D83" w14:textId="77777777" w:rsidR="001F1A14" w:rsidRPr="001F1A14" w:rsidRDefault="001F1A14" w:rsidP="001F1A14">
            <w:pPr>
              <w:spacing w:after="0" w:line="240" w:lineRule="auto"/>
              <w:rPr>
                <w:rFonts w:ascii="Calibri" w:eastAsia="Times New Roman" w:hAnsi="Calibri" w:cs="Calibri"/>
                <w:color w:val="000000"/>
                <w:kern w:val="0"/>
                <w:lang w:eastAsia="es-CO"/>
                <w14:ligatures w14:val="none"/>
              </w:rPr>
            </w:pPr>
            <w:r w:rsidRPr="001F1A14">
              <w:rPr>
                <w:rFonts w:ascii="Calibri" w:eastAsia="Times New Roman" w:hAnsi="Calibri" w:cs="Calibri"/>
                <w:color w:val="000000"/>
                <w:kern w:val="0"/>
                <w:lang w:eastAsia="es-CO"/>
                <w14:ligatures w14:val="none"/>
              </w:rPr>
              <w:t xml:space="preserve">8.94 / ↓ </w:t>
            </w:r>
            <w:proofErr w:type="spellStart"/>
            <w:r w:rsidRPr="001F1A14">
              <w:rPr>
                <w:rFonts w:ascii="Calibri" w:eastAsia="Times New Roman" w:hAnsi="Calibri" w:cs="Calibri"/>
                <w:color w:val="000000"/>
                <w:kern w:val="0"/>
                <w:lang w:eastAsia="es-CO"/>
                <w14:ligatures w14:val="none"/>
              </w:rPr>
              <w:t>risk</w:t>
            </w:r>
            <w:proofErr w:type="spellEnd"/>
          </w:p>
        </w:tc>
      </w:tr>
    </w:tbl>
    <w:p w14:paraId="706C4C8F" w14:textId="77777777" w:rsidR="001F1A14" w:rsidRDefault="001F1A14" w:rsidP="007D4122">
      <w:pPr>
        <w:jc w:val="both"/>
        <w:rPr>
          <w:rFonts w:ascii="Palatino Linotype" w:hAnsi="Palatino Linotype"/>
          <w:lang w:val="en-US"/>
        </w:rPr>
      </w:pPr>
    </w:p>
    <w:p w14:paraId="079F05AC" w14:textId="347D214E" w:rsidR="007D4122" w:rsidRPr="001F1A14" w:rsidRDefault="001F1A14" w:rsidP="007D4122">
      <w:pPr>
        <w:jc w:val="both"/>
        <w:rPr>
          <w:rFonts w:ascii="Palatino Linotype" w:hAnsi="Palatino Linotype"/>
          <w:lang w:val="en-US"/>
        </w:rPr>
      </w:pPr>
      <w:r w:rsidRPr="001F1A14">
        <w:rPr>
          <w:rStyle w:val="Textoennegrita"/>
          <w:rFonts w:ascii="Palatino Linotype" w:hAnsi="Palatino Linotype"/>
          <w:lang w:val="en-US"/>
        </w:rPr>
        <w:t xml:space="preserve">Supplementary Table </w:t>
      </w:r>
      <w:r w:rsidRPr="001F1A14">
        <w:rPr>
          <w:rStyle w:val="Textoennegrita"/>
          <w:rFonts w:ascii="Palatino Linotype" w:hAnsi="Palatino Linotype"/>
          <w:lang w:val="en-US"/>
        </w:rPr>
        <w:t>S</w:t>
      </w:r>
      <w:r>
        <w:rPr>
          <w:rStyle w:val="Textoennegrita"/>
          <w:rFonts w:ascii="Palatino Linotype" w:hAnsi="Palatino Linotype"/>
          <w:lang w:val="en-US"/>
        </w:rPr>
        <w:t>2</w:t>
      </w:r>
      <w:r w:rsidRPr="001F1A14">
        <w:rPr>
          <w:rStyle w:val="Textoennegrita"/>
          <w:rFonts w:ascii="Palatino Linotype" w:hAnsi="Palatino Linotype"/>
          <w:lang w:val="en-US"/>
        </w:rPr>
        <w:t>.</w:t>
      </w:r>
      <w:r w:rsidRPr="001F1A14">
        <w:rPr>
          <w:rFonts w:ascii="Palatino Linotype" w:hAnsi="Palatino Linotype"/>
          <w:lang w:val="en-US"/>
        </w:rPr>
        <w:t xml:space="preserve"> Sensitivity analysis of SHAP nutrient interpretations across different resampling scenarios. The table shows average feature ranks and directional trends for the top predictors of T2DM risk in the Nutrient Dataset. Core nutrients such as zinc, vitamin A, and crude fiber remained consistently influential across scenarios, while vitamin B6 and manganese exhibited changes in directionality, highlighting the importance of sensitivity checks when interpreting model explanations under different oversampling and class reduction settings.</w:t>
      </w:r>
    </w:p>
    <w:tbl>
      <w:tblPr>
        <w:tblW w:w="8679" w:type="dxa"/>
        <w:tblCellMar>
          <w:left w:w="70" w:type="dxa"/>
          <w:right w:w="70" w:type="dxa"/>
        </w:tblCellMar>
        <w:tblLook w:val="04A0" w:firstRow="1" w:lastRow="0" w:firstColumn="1" w:lastColumn="0" w:noHBand="0" w:noVBand="1"/>
      </w:tblPr>
      <w:tblGrid>
        <w:gridCol w:w="1879"/>
        <w:gridCol w:w="1699"/>
        <w:gridCol w:w="1699"/>
        <w:gridCol w:w="1701"/>
        <w:gridCol w:w="1701"/>
      </w:tblGrid>
      <w:tr w:rsidR="001F1A14" w:rsidRPr="001F1A14" w14:paraId="0C2FB41D" w14:textId="77777777" w:rsidTr="001F1A14">
        <w:trPr>
          <w:trHeight w:val="1560"/>
        </w:trPr>
        <w:tc>
          <w:tcPr>
            <w:tcW w:w="1879" w:type="dxa"/>
            <w:tcBorders>
              <w:top w:val="single" w:sz="4" w:space="0" w:color="auto"/>
              <w:left w:val="nil"/>
              <w:bottom w:val="single" w:sz="4" w:space="0" w:color="auto"/>
              <w:right w:val="nil"/>
            </w:tcBorders>
            <w:shd w:val="clear" w:color="auto" w:fill="auto"/>
            <w:vAlign w:val="center"/>
            <w:hideMark/>
          </w:tcPr>
          <w:p w14:paraId="2A76852E" w14:textId="77777777" w:rsidR="001F1A14" w:rsidRPr="001F1A14" w:rsidRDefault="001F1A14" w:rsidP="001F1A14">
            <w:pPr>
              <w:spacing w:after="0" w:line="240" w:lineRule="auto"/>
              <w:jc w:val="center"/>
              <w:rPr>
                <w:rFonts w:ascii="Palatino Linotype" w:eastAsia="Times New Roman" w:hAnsi="Palatino Linotype" w:cs="Calibri"/>
                <w:b/>
                <w:bCs/>
                <w:color w:val="000000"/>
                <w:kern w:val="0"/>
                <w:lang w:eastAsia="es-CO"/>
                <w14:ligatures w14:val="none"/>
              </w:rPr>
            </w:pPr>
            <w:proofErr w:type="spellStart"/>
            <w:r w:rsidRPr="001F1A14">
              <w:rPr>
                <w:rFonts w:ascii="Palatino Linotype" w:eastAsia="Times New Roman" w:hAnsi="Palatino Linotype" w:cs="Calibri"/>
                <w:b/>
                <w:bCs/>
                <w:color w:val="000000"/>
                <w:kern w:val="0"/>
                <w:lang w:eastAsia="es-CO"/>
                <w14:ligatures w14:val="none"/>
              </w:rPr>
              <w:t>Feature</w:t>
            </w:r>
            <w:proofErr w:type="spellEnd"/>
          </w:p>
        </w:tc>
        <w:tc>
          <w:tcPr>
            <w:tcW w:w="1699" w:type="dxa"/>
            <w:tcBorders>
              <w:top w:val="single" w:sz="4" w:space="0" w:color="auto"/>
              <w:left w:val="nil"/>
              <w:bottom w:val="single" w:sz="4" w:space="0" w:color="auto"/>
              <w:right w:val="nil"/>
            </w:tcBorders>
            <w:shd w:val="clear" w:color="auto" w:fill="auto"/>
            <w:vAlign w:val="center"/>
            <w:hideMark/>
          </w:tcPr>
          <w:p w14:paraId="1FE01074" w14:textId="77777777" w:rsidR="001F1A14" w:rsidRPr="001F1A14" w:rsidRDefault="001F1A14" w:rsidP="001F1A14">
            <w:pPr>
              <w:spacing w:after="0" w:line="240" w:lineRule="auto"/>
              <w:jc w:val="center"/>
              <w:rPr>
                <w:rFonts w:ascii="Palatino Linotype" w:eastAsia="Times New Roman" w:hAnsi="Palatino Linotype" w:cs="Calibri"/>
                <w:b/>
                <w:bCs/>
                <w:color w:val="000000"/>
                <w:kern w:val="0"/>
                <w:lang w:val="en-US" w:eastAsia="es-CO"/>
                <w14:ligatures w14:val="none"/>
              </w:rPr>
            </w:pPr>
            <w:r w:rsidRPr="001F1A14">
              <w:rPr>
                <w:rFonts w:ascii="Palatino Linotype" w:eastAsia="Times New Roman" w:hAnsi="Palatino Linotype" w:cs="Calibri"/>
                <w:b/>
                <w:bCs/>
                <w:color w:val="000000"/>
                <w:kern w:val="0"/>
                <w:lang w:val="en-US" w:eastAsia="es-CO"/>
                <w14:ligatures w14:val="none"/>
              </w:rPr>
              <w:t>Baseline (SMOTE 400</w:t>
            </w:r>
            <w:proofErr w:type="gramStart"/>
            <w:r w:rsidRPr="001F1A14">
              <w:rPr>
                <w:rFonts w:ascii="Palatino Linotype" w:eastAsia="Times New Roman" w:hAnsi="Palatino Linotype" w:cs="Calibri"/>
                <w:b/>
                <w:bCs/>
                <w:color w:val="000000"/>
                <w:kern w:val="0"/>
                <w:lang w:val="en-US" w:eastAsia="es-CO"/>
                <w14:ligatures w14:val="none"/>
              </w:rPr>
              <w:t>%)Avg</w:t>
            </w:r>
            <w:proofErr w:type="gramEnd"/>
            <w:r w:rsidRPr="001F1A14">
              <w:rPr>
                <w:rFonts w:ascii="Palatino Linotype" w:eastAsia="Times New Roman" w:hAnsi="Palatino Linotype" w:cs="Calibri"/>
                <w:b/>
                <w:bCs/>
                <w:color w:val="000000"/>
                <w:kern w:val="0"/>
                <w:lang w:val="en-US" w:eastAsia="es-CO"/>
                <w14:ligatures w14:val="none"/>
              </w:rPr>
              <w:t xml:space="preserve"> Rank / Trend</w:t>
            </w:r>
          </w:p>
        </w:tc>
        <w:tc>
          <w:tcPr>
            <w:tcW w:w="1699" w:type="dxa"/>
            <w:tcBorders>
              <w:top w:val="single" w:sz="4" w:space="0" w:color="auto"/>
              <w:left w:val="nil"/>
              <w:bottom w:val="single" w:sz="4" w:space="0" w:color="auto"/>
              <w:right w:val="nil"/>
            </w:tcBorders>
            <w:shd w:val="clear" w:color="auto" w:fill="auto"/>
            <w:vAlign w:val="center"/>
            <w:hideMark/>
          </w:tcPr>
          <w:p w14:paraId="71E3E457" w14:textId="77777777" w:rsidR="001F1A14" w:rsidRPr="001F1A14" w:rsidRDefault="001F1A14" w:rsidP="001F1A14">
            <w:pPr>
              <w:spacing w:after="0" w:line="240" w:lineRule="auto"/>
              <w:jc w:val="center"/>
              <w:rPr>
                <w:rFonts w:ascii="Palatino Linotype" w:eastAsia="Times New Roman" w:hAnsi="Palatino Linotype" w:cs="Calibri"/>
                <w:b/>
                <w:bCs/>
                <w:color w:val="000000"/>
                <w:kern w:val="0"/>
                <w:lang w:eastAsia="es-CO"/>
                <w14:ligatures w14:val="none"/>
              </w:rPr>
            </w:pPr>
            <w:r w:rsidRPr="001F1A14">
              <w:rPr>
                <w:rFonts w:ascii="Palatino Linotype" w:eastAsia="Times New Roman" w:hAnsi="Palatino Linotype" w:cs="Calibri"/>
                <w:b/>
                <w:bCs/>
                <w:color w:val="000000"/>
                <w:kern w:val="0"/>
                <w:lang w:eastAsia="es-CO"/>
                <w14:ligatures w14:val="none"/>
              </w:rPr>
              <w:t>SMOTE 250% (50</w:t>
            </w:r>
            <w:proofErr w:type="gramStart"/>
            <w:r w:rsidRPr="001F1A14">
              <w:rPr>
                <w:rFonts w:ascii="Palatino Linotype" w:eastAsia="Times New Roman" w:hAnsi="Palatino Linotype" w:cs="Calibri"/>
                <w:b/>
                <w:bCs/>
                <w:color w:val="000000"/>
                <w:kern w:val="0"/>
                <w:lang w:eastAsia="es-CO"/>
                <w14:ligatures w14:val="none"/>
              </w:rPr>
              <w:t>%)</w:t>
            </w:r>
            <w:proofErr w:type="spellStart"/>
            <w:r w:rsidRPr="001F1A14">
              <w:rPr>
                <w:rFonts w:ascii="Palatino Linotype" w:eastAsia="Times New Roman" w:hAnsi="Palatino Linotype" w:cs="Calibri"/>
                <w:b/>
                <w:bCs/>
                <w:color w:val="000000"/>
                <w:kern w:val="0"/>
                <w:lang w:eastAsia="es-CO"/>
                <w14:ligatures w14:val="none"/>
              </w:rPr>
              <w:t>Avg</w:t>
            </w:r>
            <w:proofErr w:type="spellEnd"/>
            <w:proofErr w:type="gramEnd"/>
            <w:r w:rsidRPr="001F1A14">
              <w:rPr>
                <w:rFonts w:ascii="Palatino Linotype" w:eastAsia="Times New Roman" w:hAnsi="Palatino Linotype" w:cs="Calibri"/>
                <w:b/>
                <w:bCs/>
                <w:color w:val="000000"/>
                <w:kern w:val="0"/>
                <w:lang w:eastAsia="es-CO"/>
                <w14:ligatures w14:val="none"/>
              </w:rPr>
              <w:t xml:space="preserve"> Rank / </w:t>
            </w:r>
            <w:proofErr w:type="spellStart"/>
            <w:r w:rsidRPr="001F1A14">
              <w:rPr>
                <w:rFonts w:ascii="Palatino Linotype" w:eastAsia="Times New Roman" w:hAnsi="Palatino Linotype" w:cs="Calibri"/>
                <w:b/>
                <w:bCs/>
                <w:color w:val="000000"/>
                <w:kern w:val="0"/>
                <w:lang w:eastAsia="es-CO"/>
                <w14:ligatures w14:val="none"/>
              </w:rPr>
              <w:t>Trend</w:t>
            </w:r>
            <w:proofErr w:type="spellEnd"/>
          </w:p>
        </w:tc>
        <w:tc>
          <w:tcPr>
            <w:tcW w:w="1701" w:type="dxa"/>
            <w:tcBorders>
              <w:top w:val="single" w:sz="4" w:space="0" w:color="auto"/>
              <w:left w:val="nil"/>
              <w:bottom w:val="single" w:sz="4" w:space="0" w:color="auto"/>
              <w:right w:val="nil"/>
            </w:tcBorders>
            <w:shd w:val="clear" w:color="auto" w:fill="auto"/>
            <w:vAlign w:val="center"/>
            <w:hideMark/>
          </w:tcPr>
          <w:p w14:paraId="4EBBD245" w14:textId="77777777" w:rsidR="001F1A14" w:rsidRPr="001F1A14" w:rsidRDefault="001F1A14" w:rsidP="001F1A14">
            <w:pPr>
              <w:spacing w:after="0" w:line="240" w:lineRule="auto"/>
              <w:jc w:val="center"/>
              <w:rPr>
                <w:rFonts w:ascii="Palatino Linotype" w:eastAsia="Times New Roman" w:hAnsi="Palatino Linotype" w:cs="Calibri"/>
                <w:b/>
                <w:bCs/>
                <w:color w:val="000000"/>
                <w:kern w:val="0"/>
                <w:lang w:eastAsia="es-CO"/>
                <w14:ligatures w14:val="none"/>
              </w:rPr>
            </w:pPr>
            <w:r w:rsidRPr="001F1A14">
              <w:rPr>
                <w:rFonts w:ascii="Palatino Linotype" w:eastAsia="Times New Roman" w:hAnsi="Palatino Linotype" w:cs="Calibri"/>
                <w:b/>
                <w:bCs/>
                <w:color w:val="000000"/>
                <w:kern w:val="0"/>
                <w:lang w:eastAsia="es-CO"/>
                <w14:ligatures w14:val="none"/>
              </w:rPr>
              <w:t>ADASYN 250% (50</w:t>
            </w:r>
            <w:proofErr w:type="gramStart"/>
            <w:r w:rsidRPr="001F1A14">
              <w:rPr>
                <w:rFonts w:ascii="Palatino Linotype" w:eastAsia="Times New Roman" w:hAnsi="Palatino Linotype" w:cs="Calibri"/>
                <w:b/>
                <w:bCs/>
                <w:color w:val="000000"/>
                <w:kern w:val="0"/>
                <w:lang w:eastAsia="es-CO"/>
                <w14:ligatures w14:val="none"/>
              </w:rPr>
              <w:t>%)</w:t>
            </w:r>
            <w:proofErr w:type="spellStart"/>
            <w:r w:rsidRPr="001F1A14">
              <w:rPr>
                <w:rFonts w:ascii="Palatino Linotype" w:eastAsia="Times New Roman" w:hAnsi="Palatino Linotype" w:cs="Calibri"/>
                <w:b/>
                <w:bCs/>
                <w:color w:val="000000"/>
                <w:kern w:val="0"/>
                <w:lang w:eastAsia="es-CO"/>
                <w14:ligatures w14:val="none"/>
              </w:rPr>
              <w:t>Avg</w:t>
            </w:r>
            <w:proofErr w:type="spellEnd"/>
            <w:proofErr w:type="gramEnd"/>
            <w:r w:rsidRPr="001F1A14">
              <w:rPr>
                <w:rFonts w:ascii="Palatino Linotype" w:eastAsia="Times New Roman" w:hAnsi="Palatino Linotype" w:cs="Calibri"/>
                <w:b/>
                <w:bCs/>
                <w:color w:val="000000"/>
                <w:kern w:val="0"/>
                <w:lang w:eastAsia="es-CO"/>
                <w14:ligatures w14:val="none"/>
              </w:rPr>
              <w:t xml:space="preserve"> Rank / </w:t>
            </w:r>
            <w:proofErr w:type="spellStart"/>
            <w:r w:rsidRPr="001F1A14">
              <w:rPr>
                <w:rFonts w:ascii="Palatino Linotype" w:eastAsia="Times New Roman" w:hAnsi="Palatino Linotype" w:cs="Calibri"/>
                <w:b/>
                <w:bCs/>
                <w:color w:val="000000"/>
                <w:kern w:val="0"/>
                <w:lang w:eastAsia="es-CO"/>
                <w14:ligatures w14:val="none"/>
              </w:rPr>
              <w:t>Trend</w:t>
            </w:r>
            <w:proofErr w:type="spellEnd"/>
          </w:p>
        </w:tc>
        <w:tc>
          <w:tcPr>
            <w:tcW w:w="1701" w:type="dxa"/>
            <w:tcBorders>
              <w:top w:val="single" w:sz="4" w:space="0" w:color="auto"/>
              <w:left w:val="nil"/>
              <w:bottom w:val="single" w:sz="4" w:space="0" w:color="auto"/>
              <w:right w:val="nil"/>
            </w:tcBorders>
            <w:shd w:val="clear" w:color="auto" w:fill="auto"/>
            <w:vAlign w:val="center"/>
            <w:hideMark/>
          </w:tcPr>
          <w:p w14:paraId="167E73DD" w14:textId="77777777" w:rsidR="001F1A14" w:rsidRPr="001F1A14" w:rsidRDefault="001F1A14" w:rsidP="001F1A14">
            <w:pPr>
              <w:spacing w:after="0" w:line="240" w:lineRule="auto"/>
              <w:jc w:val="center"/>
              <w:rPr>
                <w:rFonts w:ascii="Palatino Linotype" w:eastAsia="Times New Roman" w:hAnsi="Palatino Linotype" w:cs="Calibri"/>
                <w:b/>
                <w:bCs/>
                <w:color w:val="000000"/>
                <w:kern w:val="0"/>
                <w:lang w:eastAsia="es-CO"/>
                <w14:ligatures w14:val="none"/>
              </w:rPr>
            </w:pPr>
            <w:r w:rsidRPr="001F1A14">
              <w:rPr>
                <w:rFonts w:ascii="Palatino Linotype" w:eastAsia="Times New Roman" w:hAnsi="Palatino Linotype" w:cs="Calibri"/>
                <w:b/>
                <w:bCs/>
                <w:color w:val="000000"/>
                <w:kern w:val="0"/>
                <w:lang w:eastAsia="es-CO"/>
                <w14:ligatures w14:val="none"/>
              </w:rPr>
              <w:t>SMOTE 500% (70</w:t>
            </w:r>
            <w:proofErr w:type="gramStart"/>
            <w:r w:rsidRPr="001F1A14">
              <w:rPr>
                <w:rFonts w:ascii="Palatino Linotype" w:eastAsia="Times New Roman" w:hAnsi="Palatino Linotype" w:cs="Calibri"/>
                <w:b/>
                <w:bCs/>
                <w:color w:val="000000"/>
                <w:kern w:val="0"/>
                <w:lang w:eastAsia="es-CO"/>
                <w14:ligatures w14:val="none"/>
              </w:rPr>
              <w:t>%)</w:t>
            </w:r>
            <w:proofErr w:type="spellStart"/>
            <w:r w:rsidRPr="001F1A14">
              <w:rPr>
                <w:rFonts w:ascii="Palatino Linotype" w:eastAsia="Times New Roman" w:hAnsi="Palatino Linotype" w:cs="Calibri"/>
                <w:b/>
                <w:bCs/>
                <w:color w:val="000000"/>
                <w:kern w:val="0"/>
                <w:lang w:eastAsia="es-CO"/>
                <w14:ligatures w14:val="none"/>
              </w:rPr>
              <w:t>Avg</w:t>
            </w:r>
            <w:proofErr w:type="spellEnd"/>
            <w:proofErr w:type="gramEnd"/>
            <w:r w:rsidRPr="001F1A14">
              <w:rPr>
                <w:rFonts w:ascii="Palatino Linotype" w:eastAsia="Times New Roman" w:hAnsi="Palatino Linotype" w:cs="Calibri"/>
                <w:b/>
                <w:bCs/>
                <w:color w:val="000000"/>
                <w:kern w:val="0"/>
                <w:lang w:eastAsia="es-CO"/>
                <w14:ligatures w14:val="none"/>
              </w:rPr>
              <w:t xml:space="preserve"> Rank / </w:t>
            </w:r>
            <w:proofErr w:type="spellStart"/>
            <w:r w:rsidRPr="001F1A14">
              <w:rPr>
                <w:rFonts w:ascii="Palatino Linotype" w:eastAsia="Times New Roman" w:hAnsi="Palatino Linotype" w:cs="Calibri"/>
                <w:b/>
                <w:bCs/>
                <w:color w:val="000000"/>
                <w:kern w:val="0"/>
                <w:lang w:eastAsia="es-CO"/>
                <w14:ligatures w14:val="none"/>
              </w:rPr>
              <w:t>Trend</w:t>
            </w:r>
            <w:proofErr w:type="spellEnd"/>
          </w:p>
        </w:tc>
      </w:tr>
      <w:tr w:rsidR="001F1A14" w:rsidRPr="001F1A14" w14:paraId="467C72AB" w14:textId="77777777" w:rsidTr="001F1A14">
        <w:trPr>
          <w:trHeight w:val="504"/>
        </w:trPr>
        <w:tc>
          <w:tcPr>
            <w:tcW w:w="1879" w:type="dxa"/>
            <w:tcBorders>
              <w:top w:val="nil"/>
              <w:left w:val="nil"/>
              <w:bottom w:val="nil"/>
              <w:right w:val="nil"/>
            </w:tcBorders>
            <w:shd w:val="clear" w:color="auto" w:fill="auto"/>
            <w:vAlign w:val="center"/>
            <w:hideMark/>
          </w:tcPr>
          <w:p w14:paraId="1D1D734F" w14:textId="77777777" w:rsidR="001F1A14" w:rsidRPr="001F1A14" w:rsidRDefault="001F1A14" w:rsidP="001F1A14">
            <w:pPr>
              <w:spacing w:after="0" w:line="240" w:lineRule="auto"/>
              <w:rPr>
                <w:rFonts w:ascii="Palatino Linotype" w:eastAsia="Times New Roman" w:hAnsi="Palatino Linotype" w:cs="Calibri"/>
                <w:b/>
                <w:bCs/>
                <w:color w:val="000000"/>
                <w:kern w:val="0"/>
                <w:lang w:eastAsia="es-CO"/>
                <w14:ligatures w14:val="none"/>
              </w:rPr>
            </w:pPr>
            <w:r w:rsidRPr="001F1A14">
              <w:rPr>
                <w:rFonts w:ascii="Palatino Linotype" w:eastAsia="Times New Roman" w:hAnsi="Palatino Linotype" w:cs="Calibri"/>
                <w:b/>
                <w:bCs/>
                <w:color w:val="000000"/>
                <w:kern w:val="0"/>
                <w:lang w:eastAsia="es-CO"/>
                <w14:ligatures w14:val="none"/>
              </w:rPr>
              <w:t>Zinc (mg)</w:t>
            </w:r>
          </w:p>
        </w:tc>
        <w:tc>
          <w:tcPr>
            <w:tcW w:w="1699" w:type="dxa"/>
            <w:tcBorders>
              <w:top w:val="nil"/>
              <w:left w:val="nil"/>
              <w:bottom w:val="nil"/>
              <w:right w:val="nil"/>
            </w:tcBorders>
            <w:shd w:val="clear" w:color="auto" w:fill="auto"/>
            <w:vAlign w:val="center"/>
            <w:hideMark/>
          </w:tcPr>
          <w:p w14:paraId="0DDD6F13"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4.54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c>
          <w:tcPr>
            <w:tcW w:w="1699" w:type="dxa"/>
            <w:tcBorders>
              <w:top w:val="nil"/>
              <w:left w:val="nil"/>
              <w:bottom w:val="nil"/>
              <w:right w:val="nil"/>
            </w:tcBorders>
            <w:shd w:val="clear" w:color="auto" w:fill="auto"/>
            <w:vAlign w:val="center"/>
            <w:hideMark/>
          </w:tcPr>
          <w:p w14:paraId="02FAE96C"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3.20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6ED98C94"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3.00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2AF2FA63"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3.94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r>
      <w:tr w:rsidR="001F1A14" w:rsidRPr="001F1A14" w14:paraId="0DA64A19" w14:textId="77777777" w:rsidTr="001F1A14">
        <w:trPr>
          <w:trHeight w:val="504"/>
        </w:trPr>
        <w:tc>
          <w:tcPr>
            <w:tcW w:w="1879" w:type="dxa"/>
            <w:tcBorders>
              <w:top w:val="nil"/>
              <w:left w:val="nil"/>
              <w:bottom w:val="nil"/>
              <w:right w:val="nil"/>
            </w:tcBorders>
            <w:shd w:val="clear" w:color="auto" w:fill="auto"/>
            <w:vAlign w:val="center"/>
            <w:hideMark/>
          </w:tcPr>
          <w:p w14:paraId="2F47E7A2" w14:textId="77777777" w:rsidR="001F1A14" w:rsidRPr="001F1A14" w:rsidRDefault="001F1A14" w:rsidP="001F1A14">
            <w:pPr>
              <w:spacing w:after="0" w:line="240" w:lineRule="auto"/>
              <w:rPr>
                <w:rFonts w:ascii="Palatino Linotype" w:eastAsia="Times New Roman" w:hAnsi="Palatino Linotype" w:cs="Calibri"/>
                <w:b/>
                <w:bCs/>
                <w:color w:val="000000"/>
                <w:kern w:val="0"/>
                <w:lang w:eastAsia="es-CO"/>
                <w14:ligatures w14:val="none"/>
              </w:rPr>
            </w:pPr>
            <w:proofErr w:type="spellStart"/>
            <w:r w:rsidRPr="001F1A14">
              <w:rPr>
                <w:rFonts w:ascii="Palatino Linotype" w:eastAsia="Times New Roman" w:hAnsi="Palatino Linotype" w:cs="Calibri"/>
                <w:b/>
                <w:bCs/>
                <w:color w:val="000000"/>
                <w:kern w:val="0"/>
                <w:lang w:eastAsia="es-CO"/>
                <w14:ligatures w14:val="none"/>
              </w:rPr>
              <w:t>Vitamin</w:t>
            </w:r>
            <w:proofErr w:type="spellEnd"/>
            <w:r w:rsidRPr="001F1A14">
              <w:rPr>
                <w:rFonts w:ascii="Palatino Linotype" w:eastAsia="Times New Roman" w:hAnsi="Palatino Linotype" w:cs="Calibri"/>
                <w:b/>
                <w:bCs/>
                <w:color w:val="000000"/>
                <w:kern w:val="0"/>
                <w:lang w:eastAsia="es-CO"/>
                <w14:ligatures w14:val="none"/>
              </w:rPr>
              <w:t xml:space="preserve"> A (µg RE)</w:t>
            </w:r>
          </w:p>
        </w:tc>
        <w:tc>
          <w:tcPr>
            <w:tcW w:w="1699" w:type="dxa"/>
            <w:tcBorders>
              <w:top w:val="nil"/>
              <w:left w:val="nil"/>
              <w:bottom w:val="nil"/>
              <w:right w:val="nil"/>
            </w:tcBorders>
            <w:shd w:val="clear" w:color="auto" w:fill="auto"/>
            <w:vAlign w:val="center"/>
            <w:hideMark/>
          </w:tcPr>
          <w:p w14:paraId="748DFFB3"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4.68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c>
          <w:tcPr>
            <w:tcW w:w="1699" w:type="dxa"/>
            <w:tcBorders>
              <w:top w:val="nil"/>
              <w:left w:val="nil"/>
              <w:bottom w:val="nil"/>
              <w:right w:val="nil"/>
            </w:tcBorders>
            <w:shd w:val="clear" w:color="auto" w:fill="auto"/>
            <w:vAlign w:val="center"/>
            <w:hideMark/>
          </w:tcPr>
          <w:p w14:paraId="06976BAB"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3.75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7A0A397D"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4.35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754C5D5A"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4.45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r>
      <w:tr w:rsidR="001F1A14" w:rsidRPr="001F1A14" w14:paraId="67490743" w14:textId="77777777" w:rsidTr="001F1A14">
        <w:trPr>
          <w:trHeight w:val="504"/>
        </w:trPr>
        <w:tc>
          <w:tcPr>
            <w:tcW w:w="1879" w:type="dxa"/>
            <w:tcBorders>
              <w:top w:val="nil"/>
              <w:left w:val="nil"/>
              <w:bottom w:val="nil"/>
              <w:right w:val="nil"/>
            </w:tcBorders>
            <w:shd w:val="clear" w:color="auto" w:fill="auto"/>
            <w:vAlign w:val="center"/>
            <w:hideMark/>
          </w:tcPr>
          <w:p w14:paraId="3F75530F" w14:textId="77777777" w:rsidR="001F1A14" w:rsidRPr="001F1A14" w:rsidRDefault="001F1A14" w:rsidP="001F1A14">
            <w:pPr>
              <w:spacing w:after="0" w:line="240" w:lineRule="auto"/>
              <w:rPr>
                <w:rFonts w:ascii="Palatino Linotype" w:eastAsia="Times New Roman" w:hAnsi="Palatino Linotype" w:cs="Calibri"/>
                <w:b/>
                <w:bCs/>
                <w:color w:val="000000"/>
                <w:kern w:val="0"/>
                <w:lang w:eastAsia="es-CO"/>
                <w14:ligatures w14:val="none"/>
              </w:rPr>
            </w:pPr>
            <w:r w:rsidRPr="001F1A14">
              <w:rPr>
                <w:rFonts w:ascii="Palatino Linotype" w:eastAsia="Times New Roman" w:hAnsi="Palatino Linotype" w:cs="Calibri"/>
                <w:b/>
                <w:bCs/>
                <w:color w:val="000000"/>
                <w:kern w:val="0"/>
                <w:lang w:eastAsia="es-CO"/>
                <w14:ligatures w14:val="none"/>
              </w:rPr>
              <w:t xml:space="preserve">Crude </w:t>
            </w:r>
            <w:proofErr w:type="spellStart"/>
            <w:r w:rsidRPr="001F1A14">
              <w:rPr>
                <w:rFonts w:ascii="Palatino Linotype" w:eastAsia="Times New Roman" w:hAnsi="Palatino Linotype" w:cs="Calibri"/>
                <w:b/>
                <w:bCs/>
                <w:color w:val="000000"/>
                <w:kern w:val="0"/>
                <w:lang w:eastAsia="es-CO"/>
                <w14:ligatures w14:val="none"/>
              </w:rPr>
              <w:t>Fiber</w:t>
            </w:r>
            <w:proofErr w:type="spellEnd"/>
            <w:r w:rsidRPr="001F1A14">
              <w:rPr>
                <w:rFonts w:ascii="Palatino Linotype" w:eastAsia="Times New Roman" w:hAnsi="Palatino Linotype" w:cs="Calibri"/>
                <w:b/>
                <w:bCs/>
                <w:color w:val="000000"/>
                <w:kern w:val="0"/>
                <w:lang w:eastAsia="es-CO"/>
                <w14:ligatures w14:val="none"/>
              </w:rPr>
              <w:t xml:space="preserve"> (g)</w:t>
            </w:r>
          </w:p>
        </w:tc>
        <w:tc>
          <w:tcPr>
            <w:tcW w:w="1699" w:type="dxa"/>
            <w:tcBorders>
              <w:top w:val="nil"/>
              <w:left w:val="nil"/>
              <w:bottom w:val="nil"/>
              <w:right w:val="nil"/>
            </w:tcBorders>
            <w:shd w:val="clear" w:color="auto" w:fill="auto"/>
            <w:vAlign w:val="center"/>
            <w:hideMark/>
          </w:tcPr>
          <w:p w14:paraId="13004636"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5.04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c>
          <w:tcPr>
            <w:tcW w:w="1699" w:type="dxa"/>
            <w:tcBorders>
              <w:top w:val="nil"/>
              <w:left w:val="nil"/>
              <w:bottom w:val="nil"/>
              <w:right w:val="nil"/>
            </w:tcBorders>
            <w:shd w:val="clear" w:color="auto" w:fill="auto"/>
            <w:vAlign w:val="center"/>
            <w:hideMark/>
          </w:tcPr>
          <w:p w14:paraId="0C923E57"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4.61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616E5656"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3.60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60F30D10"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4.35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r>
      <w:tr w:rsidR="001F1A14" w:rsidRPr="001F1A14" w14:paraId="0F8C5EC0" w14:textId="77777777" w:rsidTr="001F1A14">
        <w:trPr>
          <w:trHeight w:val="504"/>
        </w:trPr>
        <w:tc>
          <w:tcPr>
            <w:tcW w:w="1879" w:type="dxa"/>
            <w:tcBorders>
              <w:top w:val="nil"/>
              <w:left w:val="nil"/>
              <w:bottom w:val="nil"/>
              <w:right w:val="nil"/>
            </w:tcBorders>
            <w:shd w:val="clear" w:color="auto" w:fill="auto"/>
            <w:vAlign w:val="center"/>
            <w:hideMark/>
          </w:tcPr>
          <w:p w14:paraId="77A8771E" w14:textId="77777777" w:rsidR="001F1A14" w:rsidRPr="001F1A14" w:rsidRDefault="001F1A14" w:rsidP="001F1A14">
            <w:pPr>
              <w:spacing w:after="0" w:line="240" w:lineRule="auto"/>
              <w:rPr>
                <w:rFonts w:ascii="Palatino Linotype" w:eastAsia="Times New Roman" w:hAnsi="Palatino Linotype" w:cs="Calibri"/>
                <w:b/>
                <w:bCs/>
                <w:color w:val="000000"/>
                <w:kern w:val="0"/>
                <w:lang w:eastAsia="es-CO"/>
                <w14:ligatures w14:val="none"/>
              </w:rPr>
            </w:pPr>
            <w:proofErr w:type="spellStart"/>
            <w:r w:rsidRPr="001F1A14">
              <w:rPr>
                <w:rFonts w:ascii="Palatino Linotype" w:eastAsia="Times New Roman" w:hAnsi="Palatino Linotype" w:cs="Calibri"/>
                <w:b/>
                <w:bCs/>
                <w:color w:val="000000"/>
                <w:kern w:val="0"/>
                <w:lang w:eastAsia="es-CO"/>
                <w14:ligatures w14:val="none"/>
              </w:rPr>
              <w:t>Vitamin</w:t>
            </w:r>
            <w:proofErr w:type="spellEnd"/>
            <w:r w:rsidRPr="001F1A14">
              <w:rPr>
                <w:rFonts w:ascii="Palatino Linotype" w:eastAsia="Times New Roman" w:hAnsi="Palatino Linotype" w:cs="Calibri"/>
                <w:b/>
                <w:bCs/>
                <w:color w:val="000000"/>
                <w:kern w:val="0"/>
                <w:lang w:eastAsia="es-CO"/>
                <w14:ligatures w14:val="none"/>
              </w:rPr>
              <w:t xml:space="preserve"> B6 (mg)</w:t>
            </w:r>
          </w:p>
        </w:tc>
        <w:tc>
          <w:tcPr>
            <w:tcW w:w="1699" w:type="dxa"/>
            <w:tcBorders>
              <w:top w:val="nil"/>
              <w:left w:val="nil"/>
              <w:bottom w:val="nil"/>
              <w:right w:val="nil"/>
            </w:tcBorders>
            <w:shd w:val="clear" w:color="auto" w:fill="auto"/>
            <w:vAlign w:val="center"/>
            <w:hideMark/>
          </w:tcPr>
          <w:p w14:paraId="14EEBBAD"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4.13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c>
          <w:tcPr>
            <w:tcW w:w="1699" w:type="dxa"/>
            <w:tcBorders>
              <w:top w:val="nil"/>
              <w:left w:val="nil"/>
              <w:bottom w:val="nil"/>
              <w:right w:val="nil"/>
            </w:tcBorders>
            <w:shd w:val="clear" w:color="auto" w:fill="auto"/>
            <w:vAlign w:val="center"/>
            <w:hideMark/>
          </w:tcPr>
          <w:p w14:paraId="25A2A667"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3.21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6BD68CFD"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2.37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20EBC25E"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1.55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r>
      <w:tr w:rsidR="001F1A14" w:rsidRPr="001F1A14" w14:paraId="54EF5AC8" w14:textId="77777777" w:rsidTr="001F1A14">
        <w:trPr>
          <w:trHeight w:val="504"/>
        </w:trPr>
        <w:tc>
          <w:tcPr>
            <w:tcW w:w="1879" w:type="dxa"/>
            <w:tcBorders>
              <w:top w:val="nil"/>
              <w:left w:val="nil"/>
              <w:bottom w:val="nil"/>
              <w:right w:val="nil"/>
            </w:tcBorders>
            <w:shd w:val="clear" w:color="auto" w:fill="auto"/>
            <w:vAlign w:val="center"/>
            <w:hideMark/>
          </w:tcPr>
          <w:p w14:paraId="171BB3FC" w14:textId="77777777" w:rsidR="001F1A14" w:rsidRPr="001F1A14" w:rsidRDefault="001F1A14" w:rsidP="001F1A14">
            <w:pPr>
              <w:spacing w:after="0" w:line="240" w:lineRule="auto"/>
              <w:rPr>
                <w:rFonts w:ascii="Palatino Linotype" w:eastAsia="Times New Roman" w:hAnsi="Palatino Linotype" w:cs="Calibri"/>
                <w:b/>
                <w:bCs/>
                <w:color w:val="000000"/>
                <w:kern w:val="0"/>
                <w:lang w:eastAsia="es-CO"/>
                <w14:ligatures w14:val="none"/>
              </w:rPr>
            </w:pPr>
            <w:proofErr w:type="spellStart"/>
            <w:r w:rsidRPr="001F1A14">
              <w:rPr>
                <w:rFonts w:ascii="Palatino Linotype" w:eastAsia="Times New Roman" w:hAnsi="Palatino Linotype" w:cs="Calibri"/>
                <w:b/>
                <w:bCs/>
                <w:color w:val="000000"/>
                <w:kern w:val="0"/>
                <w:lang w:eastAsia="es-CO"/>
                <w14:ligatures w14:val="none"/>
              </w:rPr>
              <w:t>Manganese</w:t>
            </w:r>
            <w:proofErr w:type="spellEnd"/>
            <w:r w:rsidRPr="001F1A14">
              <w:rPr>
                <w:rFonts w:ascii="Palatino Linotype" w:eastAsia="Times New Roman" w:hAnsi="Palatino Linotype" w:cs="Calibri"/>
                <w:b/>
                <w:bCs/>
                <w:color w:val="000000"/>
                <w:kern w:val="0"/>
                <w:lang w:eastAsia="es-CO"/>
                <w14:ligatures w14:val="none"/>
              </w:rPr>
              <w:t xml:space="preserve"> (mg)</w:t>
            </w:r>
          </w:p>
        </w:tc>
        <w:tc>
          <w:tcPr>
            <w:tcW w:w="1699" w:type="dxa"/>
            <w:tcBorders>
              <w:top w:val="nil"/>
              <w:left w:val="nil"/>
              <w:bottom w:val="nil"/>
              <w:right w:val="nil"/>
            </w:tcBorders>
            <w:shd w:val="clear" w:color="auto" w:fill="auto"/>
            <w:vAlign w:val="center"/>
            <w:hideMark/>
          </w:tcPr>
          <w:p w14:paraId="1CD481EC"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5.76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c>
          <w:tcPr>
            <w:tcW w:w="1699" w:type="dxa"/>
            <w:tcBorders>
              <w:top w:val="nil"/>
              <w:left w:val="nil"/>
              <w:bottom w:val="nil"/>
              <w:right w:val="nil"/>
            </w:tcBorders>
            <w:shd w:val="clear" w:color="auto" w:fill="auto"/>
            <w:vAlign w:val="center"/>
            <w:hideMark/>
          </w:tcPr>
          <w:p w14:paraId="1F88F721"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5.60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647D6FE6"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6.00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3B3AAC43"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4.06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r>
      <w:tr w:rsidR="001F1A14" w:rsidRPr="001F1A14" w14:paraId="7AB528D2" w14:textId="77777777" w:rsidTr="001F1A14">
        <w:trPr>
          <w:trHeight w:val="504"/>
        </w:trPr>
        <w:tc>
          <w:tcPr>
            <w:tcW w:w="1879" w:type="dxa"/>
            <w:tcBorders>
              <w:top w:val="nil"/>
              <w:left w:val="nil"/>
              <w:bottom w:val="nil"/>
              <w:right w:val="nil"/>
            </w:tcBorders>
            <w:shd w:val="clear" w:color="auto" w:fill="auto"/>
            <w:vAlign w:val="center"/>
            <w:hideMark/>
          </w:tcPr>
          <w:p w14:paraId="7D7A9FB1" w14:textId="77777777" w:rsidR="001F1A14" w:rsidRPr="001F1A14" w:rsidRDefault="001F1A14" w:rsidP="001F1A14">
            <w:pPr>
              <w:spacing w:after="0" w:line="240" w:lineRule="auto"/>
              <w:rPr>
                <w:rFonts w:ascii="Palatino Linotype" w:eastAsia="Times New Roman" w:hAnsi="Palatino Linotype" w:cs="Calibri"/>
                <w:b/>
                <w:bCs/>
                <w:color w:val="000000"/>
                <w:kern w:val="0"/>
                <w:lang w:eastAsia="es-CO"/>
                <w14:ligatures w14:val="none"/>
              </w:rPr>
            </w:pPr>
            <w:proofErr w:type="spellStart"/>
            <w:r w:rsidRPr="001F1A14">
              <w:rPr>
                <w:rFonts w:ascii="Palatino Linotype" w:eastAsia="Times New Roman" w:hAnsi="Palatino Linotype" w:cs="Calibri"/>
                <w:b/>
                <w:bCs/>
                <w:color w:val="000000"/>
                <w:kern w:val="0"/>
                <w:lang w:eastAsia="es-CO"/>
                <w14:ligatures w14:val="none"/>
              </w:rPr>
              <w:t>Potassium</w:t>
            </w:r>
            <w:proofErr w:type="spellEnd"/>
            <w:r w:rsidRPr="001F1A14">
              <w:rPr>
                <w:rFonts w:ascii="Palatino Linotype" w:eastAsia="Times New Roman" w:hAnsi="Palatino Linotype" w:cs="Calibri"/>
                <w:b/>
                <w:bCs/>
                <w:color w:val="000000"/>
                <w:kern w:val="0"/>
                <w:lang w:eastAsia="es-CO"/>
                <w14:ligatures w14:val="none"/>
              </w:rPr>
              <w:t xml:space="preserve"> (mg)</w:t>
            </w:r>
          </w:p>
        </w:tc>
        <w:tc>
          <w:tcPr>
            <w:tcW w:w="1699" w:type="dxa"/>
            <w:tcBorders>
              <w:top w:val="nil"/>
              <w:left w:val="nil"/>
              <w:bottom w:val="nil"/>
              <w:right w:val="nil"/>
            </w:tcBorders>
            <w:shd w:val="clear" w:color="auto" w:fill="auto"/>
            <w:vAlign w:val="center"/>
            <w:hideMark/>
          </w:tcPr>
          <w:p w14:paraId="644D3EDD"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4.67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c>
          <w:tcPr>
            <w:tcW w:w="1699" w:type="dxa"/>
            <w:tcBorders>
              <w:top w:val="nil"/>
              <w:left w:val="nil"/>
              <w:bottom w:val="nil"/>
              <w:right w:val="nil"/>
            </w:tcBorders>
            <w:shd w:val="clear" w:color="auto" w:fill="auto"/>
            <w:vAlign w:val="center"/>
            <w:hideMark/>
          </w:tcPr>
          <w:p w14:paraId="02717DFA"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w:t>
            </w:r>
          </w:p>
        </w:tc>
        <w:tc>
          <w:tcPr>
            <w:tcW w:w="1701" w:type="dxa"/>
            <w:tcBorders>
              <w:top w:val="nil"/>
              <w:left w:val="nil"/>
              <w:bottom w:val="nil"/>
              <w:right w:val="nil"/>
            </w:tcBorders>
            <w:shd w:val="clear" w:color="auto" w:fill="auto"/>
            <w:vAlign w:val="center"/>
            <w:hideMark/>
          </w:tcPr>
          <w:p w14:paraId="56FAA38E"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8.00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68616038"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8.08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r>
      <w:tr w:rsidR="001F1A14" w:rsidRPr="001F1A14" w14:paraId="39AFFCEB" w14:textId="77777777" w:rsidTr="001F1A14">
        <w:trPr>
          <w:trHeight w:val="504"/>
        </w:trPr>
        <w:tc>
          <w:tcPr>
            <w:tcW w:w="1879" w:type="dxa"/>
            <w:tcBorders>
              <w:top w:val="nil"/>
              <w:left w:val="nil"/>
              <w:bottom w:val="nil"/>
              <w:right w:val="nil"/>
            </w:tcBorders>
            <w:shd w:val="clear" w:color="auto" w:fill="auto"/>
            <w:vAlign w:val="center"/>
            <w:hideMark/>
          </w:tcPr>
          <w:p w14:paraId="12EBF063" w14:textId="77777777" w:rsidR="001F1A14" w:rsidRPr="001F1A14" w:rsidRDefault="001F1A14" w:rsidP="001F1A14">
            <w:pPr>
              <w:spacing w:after="0" w:line="240" w:lineRule="auto"/>
              <w:rPr>
                <w:rFonts w:ascii="Palatino Linotype" w:eastAsia="Times New Roman" w:hAnsi="Palatino Linotype" w:cs="Calibri"/>
                <w:b/>
                <w:bCs/>
                <w:color w:val="000000"/>
                <w:kern w:val="0"/>
                <w:lang w:eastAsia="es-CO"/>
                <w14:ligatures w14:val="none"/>
              </w:rPr>
            </w:pPr>
            <w:r w:rsidRPr="001F1A14">
              <w:rPr>
                <w:rFonts w:ascii="Palatino Linotype" w:eastAsia="Times New Roman" w:hAnsi="Palatino Linotype" w:cs="Calibri"/>
                <w:b/>
                <w:bCs/>
                <w:color w:val="000000"/>
                <w:kern w:val="0"/>
                <w:lang w:eastAsia="es-CO"/>
                <w14:ligatures w14:val="none"/>
              </w:rPr>
              <w:t xml:space="preserve">Animal </w:t>
            </w:r>
            <w:proofErr w:type="spellStart"/>
            <w:r w:rsidRPr="001F1A14">
              <w:rPr>
                <w:rFonts w:ascii="Palatino Linotype" w:eastAsia="Times New Roman" w:hAnsi="Palatino Linotype" w:cs="Calibri"/>
                <w:b/>
                <w:bCs/>
                <w:color w:val="000000"/>
                <w:kern w:val="0"/>
                <w:lang w:eastAsia="es-CO"/>
                <w14:ligatures w14:val="none"/>
              </w:rPr>
              <w:t>Protein</w:t>
            </w:r>
            <w:proofErr w:type="spellEnd"/>
            <w:r w:rsidRPr="001F1A14">
              <w:rPr>
                <w:rFonts w:ascii="Palatino Linotype" w:eastAsia="Times New Roman" w:hAnsi="Palatino Linotype" w:cs="Calibri"/>
                <w:b/>
                <w:bCs/>
                <w:color w:val="000000"/>
                <w:kern w:val="0"/>
                <w:lang w:eastAsia="es-CO"/>
                <w14:ligatures w14:val="none"/>
              </w:rPr>
              <w:t xml:space="preserve"> (g)</w:t>
            </w:r>
          </w:p>
        </w:tc>
        <w:tc>
          <w:tcPr>
            <w:tcW w:w="1699" w:type="dxa"/>
            <w:tcBorders>
              <w:top w:val="nil"/>
              <w:left w:val="nil"/>
              <w:bottom w:val="nil"/>
              <w:right w:val="nil"/>
            </w:tcBorders>
            <w:shd w:val="clear" w:color="auto" w:fill="auto"/>
            <w:vAlign w:val="center"/>
            <w:hideMark/>
          </w:tcPr>
          <w:p w14:paraId="0071AF41"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5.67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c>
          <w:tcPr>
            <w:tcW w:w="1699" w:type="dxa"/>
            <w:tcBorders>
              <w:top w:val="nil"/>
              <w:left w:val="nil"/>
              <w:bottom w:val="nil"/>
              <w:right w:val="nil"/>
            </w:tcBorders>
            <w:shd w:val="clear" w:color="auto" w:fill="auto"/>
            <w:vAlign w:val="center"/>
            <w:hideMark/>
          </w:tcPr>
          <w:p w14:paraId="245D0750"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5.31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1FEE5278"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6.71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14DE92BC"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7.07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r>
      <w:tr w:rsidR="001F1A14" w:rsidRPr="001F1A14" w14:paraId="4BB5185C" w14:textId="77777777" w:rsidTr="001F1A14">
        <w:trPr>
          <w:trHeight w:val="504"/>
        </w:trPr>
        <w:tc>
          <w:tcPr>
            <w:tcW w:w="1879" w:type="dxa"/>
            <w:tcBorders>
              <w:top w:val="nil"/>
              <w:left w:val="nil"/>
              <w:bottom w:val="nil"/>
              <w:right w:val="nil"/>
            </w:tcBorders>
            <w:shd w:val="clear" w:color="auto" w:fill="auto"/>
            <w:vAlign w:val="center"/>
            <w:hideMark/>
          </w:tcPr>
          <w:p w14:paraId="2F86918F" w14:textId="77777777" w:rsidR="001F1A14" w:rsidRPr="001F1A14" w:rsidRDefault="001F1A14" w:rsidP="001F1A14">
            <w:pPr>
              <w:spacing w:after="0" w:line="240" w:lineRule="auto"/>
              <w:rPr>
                <w:rFonts w:ascii="Palatino Linotype" w:eastAsia="Times New Roman" w:hAnsi="Palatino Linotype" w:cs="Calibri"/>
                <w:b/>
                <w:bCs/>
                <w:color w:val="000000"/>
                <w:kern w:val="0"/>
                <w:lang w:eastAsia="es-CO"/>
                <w14:ligatures w14:val="none"/>
              </w:rPr>
            </w:pPr>
            <w:proofErr w:type="spellStart"/>
            <w:r w:rsidRPr="001F1A14">
              <w:rPr>
                <w:rFonts w:ascii="Palatino Linotype" w:eastAsia="Times New Roman" w:hAnsi="Palatino Linotype" w:cs="Calibri"/>
                <w:b/>
                <w:bCs/>
                <w:color w:val="000000"/>
                <w:kern w:val="0"/>
                <w:lang w:eastAsia="es-CO"/>
                <w14:ligatures w14:val="none"/>
              </w:rPr>
              <w:t>Vitamin</w:t>
            </w:r>
            <w:proofErr w:type="spellEnd"/>
            <w:r w:rsidRPr="001F1A14">
              <w:rPr>
                <w:rFonts w:ascii="Palatino Linotype" w:eastAsia="Times New Roman" w:hAnsi="Palatino Linotype" w:cs="Calibri"/>
                <w:b/>
                <w:bCs/>
                <w:color w:val="000000"/>
                <w:kern w:val="0"/>
                <w:lang w:eastAsia="es-CO"/>
                <w14:ligatures w14:val="none"/>
              </w:rPr>
              <w:t xml:space="preserve"> E (mg α-TE)</w:t>
            </w:r>
          </w:p>
        </w:tc>
        <w:tc>
          <w:tcPr>
            <w:tcW w:w="1699" w:type="dxa"/>
            <w:tcBorders>
              <w:top w:val="nil"/>
              <w:left w:val="nil"/>
              <w:bottom w:val="nil"/>
              <w:right w:val="nil"/>
            </w:tcBorders>
            <w:shd w:val="clear" w:color="auto" w:fill="auto"/>
            <w:vAlign w:val="center"/>
            <w:hideMark/>
          </w:tcPr>
          <w:p w14:paraId="588AF65C"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6.60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c>
          <w:tcPr>
            <w:tcW w:w="1699" w:type="dxa"/>
            <w:tcBorders>
              <w:top w:val="nil"/>
              <w:left w:val="nil"/>
              <w:bottom w:val="nil"/>
              <w:right w:val="nil"/>
            </w:tcBorders>
            <w:shd w:val="clear" w:color="auto" w:fill="auto"/>
            <w:vAlign w:val="center"/>
            <w:hideMark/>
          </w:tcPr>
          <w:p w14:paraId="661A1856"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w:t>
            </w:r>
          </w:p>
        </w:tc>
        <w:tc>
          <w:tcPr>
            <w:tcW w:w="1701" w:type="dxa"/>
            <w:tcBorders>
              <w:top w:val="nil"/>
              <w:left w:val="nil"/>
              <w:bottom w:val="nil"/>
              <w:right w:val="nil"/>
            </w:tcBorders>
            <w:shd w:val="clear" w:color="auto" w:fill="auto"/>
            <w:vAlign w:val="center"/>
            <w:hideMark/>
          </w:tcPr>
          <w:p w14:paraId="1224912F"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w:t>
            </w:r>
          </w:p>
        </w:tc>
        <w:tc>
          <w:tcPr>
            <w:tcW w:w="1701" w:type="dxa"/>
            <w:tcBorders>
              <w:top w:val="nil"/>
              <w:left w:val="nil"/>
              <w:bottom w:val="nil"/>
              <w:right w:val="nil"/>
            </w:tcBorders>
            <w:shd w:val="clear" w:color="auto" w:fill="auto"/>
            <w:vAlign w:val="center"/>
            <w:hideMark/>
          </w:tcPr>
          <w:p w14:paraId="1FE267CE"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w:t>
            </w:r>
          </w:p>
        </w:tc>
      </w:tr>
      <w:tr w:rsidR="001F1A14" w:rsidRPr="001F1A14" w14:paraId="7E02C742" w14:textId="77777777" w:rsidTr="001F1A14">
        <w:trPr>
          <w:trHeight w:val="504"/>
        </w:trPr>
        <w:tc>
          <w:tcPr>
            <w:tcW w:w="1879" w:type="dxa"/>
            <w:tcBorders>
              <w:top w:val="nil"/>
              <w:left w:val="nil"/>
              <w:bottom w:val="nil"/>
              <w:right w:val="nil"/>
            </w:tcBorders>
            <w:shd w:val="clear" w:color="auto" w:fill="auto"/>
            <w:vAlign w:val="center"/>
            <w:hideMark/>
          </w:tcPr>
          <w:p w14:paraId="7D74690B" w14:textId="77777777" w:rsidR="001F1A14" w:rsidRPr="001F1A14" w:rsidRDefault="001F1A14" w:rsidP="001F1A14">
            <w:pPr>
              <w:spacing w:after="0" w:line="240" w:lineRule="auto"/>
              <w:rPr>
                <w:rFonts w:ascii="Palatino Linotype" w:eastAsia="Times New Roman" w:hAnsi="Palatino Linotype" w:cs="Calibri"/>
                <w:b/>
                <w:bCs/>
                <w:color w:val="000000"/>
                <w:kern w:val="0"/>
                <w:lang w:eastAsia="es-CO"/>
                <w14:ligatures w14:val="none"/>
              </w:rPr>
            </w:pPr>
            <w:proofErr w:type="spellStart"/>
            <w:r w:rsidRPr="001F1A14">
              <w:rPr>
                <w:rFonts w:ascii="Palatino Linotype" w:eastAsia="Times New Roman" w:hAnsi="Palatino Linotype" w:cs="Calibri"/>
                <w:b/>
                <w:bCs/>
                <w:color w:val="000000"/>
                <w:kern w:val="0"/>
                <w:lang w:eastAsia="es-CO"/>
                <w14:ligatures w14:val="none"/>
              </w:rPr>
              <w:t>Concentrated</w:t>
            </w:r>
            <w:proofErr w:type="spellEnd"/>
            <w:r w:rsidRPr="001F1A14">
              <w:rPr>
                <w:rFonts w:ascii="Palatino Linotype" w:eastAsia="Times New Roman" w:hAnsi="Palatino Linotype" w:cs="Calibri"/>
                <w:b/>
                <w:bCs/>
                <w:color w:val="000000"/>
                <w:kern w:val="0"/>
                <w:lang w:eastAsia="es-CO"/>
                <w14:ligatures w14:val="none"/>
              </w:rPr>
              <w:t xml:space="preserve"> </w:t>
            </w:r>
            <w:proofErr w:type="spellStart"/>
            <w:r w:rsidRPr="001F1A14">
              <w:rPr>
                <w:rFonts w:ascii="Palatino Linotype" w:eastAsia="Times New Roman" w:hAnsi="Palatino Linotype" w:cs="Calibri"/>
                <w:b/>
                <w:bCs/>
                <w:color w:val="000000"/>
                <w:kern w:val="0"/>
                <w:lang w:eastAsia="es-CO"/>
                <w14:ligatures w14:val="none"/>
              </w:rPr>
              <w:t>Carbohydrates</w:t>
            </w:r>
            <w:proofErr w:type="spellEnd"/>
            <w:r w:rsidRPr="001F1A14">
              <w:rPr>
                <w:rFonts w:ascii="Palatino Linotype" w:eastAsia="Times New Roman" w:hAnsi="Palatino Linotype" w:cs="Calibri"/>
                <w:b/>
                <w:bCs/>
                <w:color w:val="000000"/>
                <w:kern w:val="0"/>
                <w:lang w:eastAsia="es-CO"/>
                <w14:ligatures w14:val="none"/>
              </w:rPr>
              <w:t xml:space="preserve"> (g)</w:t>
            </w:r>
          </w:p>
        </w:tc>
        <w:tc>
          <w:tcPr>
            <w:tcW w:w="1699" w:type="dxa"/>
            <w:tcBorders>
              <w:top w:val="nil"/>
              <w:left w:val="nil"/>
              <w:bottom w:val="nil"/>
              <w:right w:val="nil"/>
            </w:tcBorders>
            <w:shd w:val="clear" w:color="auto" w:fill="auto"/>
            <w:vAlign w:val="center"/>
            <w:hideMark/>
          </w:tcPr>
          <w:p w14:paraId="75EED336"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4.23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c>
          <w:tcPr>
            <w:tcW w:w="1699" w:type="dxa"/>
            <w:tcBorders>
              <w:top w:val="nil"/>
              <w:left w:val="nil"/>
              <w:bottom w:val="nil"/>
              <w:right w:val="nil"/>
            </w:tcBorders>
            <w:shd w:val="clear" w:color="auto" w:fill="auto"/>
            <w:vAlign w:val="center"/>
            <w:hideMark/>
          </w:tcPr>
          <w:p w14:paraId="6629C782"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6.67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6BD7C108"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6.00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c>
          <w:tcPr>
            <w:tcW w:w="1701" w:type="dxa"/>
            <w:tcBorders>
              <w:top w:val="nil"/>
              <w:left w:val="nil"/>
              <w:bottom w:val="nil"/>
              <w:right w:val="nil"/>
            </w:tcBorders>
            <w:shd w:val="clear" w:color="auto" w:fill="auto"/>
            <w:vAlign w:val="center"/>
            <w:hideMark/>
          </w:tcPr>
          <w:p w14:paraId="4F1544F2"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5.85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r>
      <w:tr w:rsidR="001F1A14" w:rsidRPr="001F1A14" w14:paraId="47B3ED35" w14:textId="77777777" w:rsidTr="001F1A14">
        <w:trPr>
          <w:trHeight w:val="504"/>
        </w:trPr>
        <w:tc>
          <w:tcPr>
            <w:tcW w:w="1879" w:type="dxa"/>
            <w:tcBorders>
              <w:top w:val="nil"/>
              <w:left w:val="nil"/>
              <w:bottom w:val="single" w:sz="4" w:space="0" w:color="auto"/>
              <w:right w:val="nil"/>
            </w:tcBorders>
            <w:shd w:val="clear" w:color="auto" w:fill="auto"/>
            <w:vAlign w:val="center"/>
            <w:hideMark/>
          </w:tcPr>
          <w:p w14:paraId="4BA33CE4" w14:textId="77777777" w:rsidR="001F1A14" w:rsidRPr="001F1A14" w:rsidRDefault="001F1A14" w:rsidP="001F1A14">
            <w:pPr>
              <w:spacing w:after="0" w:line="240" w:lineRule="auto"/>
              <w:rPr>
                <w:rFonts w:ascii="Palatino Linotype" w:eastAsia="Times New Roman" w:hAnsi="Palatino Linotype" w:cs="Calibri"/>
                <w:b/>
                <w:bCs/>
                <w:color w:val="000000"/>
                <w:kern w:val="0"/>
                <w:lang w:eastAsia="es-CO"/>
                <w14:ligatures w14:val="none"/>
              </w:rPr>
            </w:pPr>
            <w:proofErr w:type="spellStart"/>
            <w:r w:rsidRPr="001F1A14">
              <w:rPr>
                <w:rFonts w:ascii="Palatino Linotype" w:eastAsia="Times New Roman" w:hAnsi="Palatino Linotype" w:cs="Calibri"/>
                <w:b/>
                <w:bCs/>
                <w:color w:val="000000"/>
                <w:kern w:val="0"/>
                <w:lang w:eastAsia="es-CO"/>
                <w14:ligatures w14:val="none"/>
              </w:rPr>
              <w:t>Folic</w:t>
            </w:r>
            <w:proofErr w:type="spellEnd"/>
            <w:r w:rsidRPr="001F1A14">
              <w:rPr>
                <w:rFonts w:ascii="Palatino Linotype" w:eastAsia="Times New Roman" w:hAnsi="Palatino Linotype" w:cs="Calibri"/>
                <w:b/>
                <w:bCs/>
                <w:color w:val="000000"/>
                <w:kern w:val="0"/>
                <w:lang w:eastAsia="es-CO"/>
                <w14:ligatures w14:val="none"/>
              </w:rPr>
              <w:t xml:space="preserve"> </w:t>
            </w:r>
            <w:proofErr w:type="spellStart"/>
            <w:r w:rsidRPr="001F1A14">
              <w:rPr>
                <w:rFonts w:ascii="Palatino Linotype" w:eastAsia="Times New Roman" w:hAnsi="Palatino Linotype" w:cs="Calibri"/>
                <w:b/>
                <w:bCs/>
                <w:color w:val="000000"/>
                <w:kern w:val="0"/>
                <w:lang w:eastAsia="es-CO"/>
                <w14:ligatures w14:val="none"/>
              </w:rPr>
              <w:t>Acid</w:t>
            </w:r>
            <w:proofErr w:type="spellEnd"/>
            <w:r w:rsidRPr="001F1A14">
              <w:rPr>
                <w:rFonts w:ascii="Palatino Linotype" w:eastAsia="Times New Roman" w:hAnsi="Palatino Linotype" w:cs="Calibri"/>
                <w:b/>
                <w:bCs/>
                <w:color w:val="000000"/>
                <w:kern w:val="0"/>
                <w:lang w:eastAsia="es-CO"/>
                <w14:ligatures w14:val="none"/>
              </w:rPr>
              <w:t xml:space="preserve"> (µg)</w:t>
            </w:r>
          </w:p>
        </w:tc>
        <w:tc>
          <w:tcPr>
            <w:tcW w:w="1699" w:type="dxa"/>
            <w:tcBorders>
              <w:top w:val="nil"/>
              <w:left w:val="nil"/>
              <w:bottom w:val="single" w:sz="4" w:space="0" w:color="auto"/>
              <w:right w:val="nil"/>
            </w:tcBorders>
            <w:shd w:val="clear" w:color="auto" w:fill="auto"/>
            <w:vAlign w:val="center"/>
            <w:hideMark/>
          </w:tcPr>
          <w:p w14:paraId="5063D1DE"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5.33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c>
          <w:tcPr>
            <w:tcW w:w="1699" w:type="dxa"/>
            <w:tcBorders>
              <w:top w:val="nil"/>
              <w:left w:val="nil"/>
              <w:bottom w:val="single" w:sz="4" w:space="0" w:color="auto"/>
              <w:right w:val="nil"/>
            </w:tcBorders>
            <w:shd w:val="clear" w:color="auto" w:fill="auto"/>
            <w:vAlign w:val="center"/>
            <w:hideMark/>
          </w:tcPr>
          <w:p w14:paraId="2076FFBA"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5.88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c>
          <w:tcPr>
            <w:tcW w:w="1701" w:type="dxa"/>
            <w:tcBorders>
              <w:top w:val="nil"/>
              <w:left w:val="nil"/>
              <w:bottom w:val="single" w:sz="4" w:space="0" w:color="auto"/>
              <w:right w:val="nil"/>
            </w:tcBorders>
            <w:shd w:val="clear" w:color="auto" w:fill="auto"/>
            <w:vAlign w:val="center"/>
            <w:hideMark/>
          </w:tcPr>
          <w:p w14:paraId="103D4064"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6.00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c>
          <w:tcPr>
            <w:tcW w:w="1701" w:type="dxa"/>
            <w:tcBorders>
              <w:top w:val="nil"/>
              <w:left w:val="nil"/>
              <w:bottom w:val="single" w:sz="4" w:space="0" w:color="auto"/>
              <w:right w:val="nil"/>
            </w:tcBorders>
            <w:shd w:val="clear" w:color="auto" w:fill="auto"/>
            <w:vAlign w:val="center"/>
            <w:hideMark/>
          </w:tcPr>
          <w:p w14:paraId="18DBEA30" w14:textId="77777777" w:rsidR="001F1A14" w:rsidRPr="001F1A14" w:rsidRDefault="001F1A14" w:rsidP="001F1A14">
            <w:pPr>
              <w:spacing w:after="0" w:line="240" w:lineRule="auto"/>
              <w:jc w:val="center"/>
              <w:rPr>
                <w:rFonts w:ascii="Palatino Linotype" w:eastAsia="Times New Roman" w:hAnsi="Palatino Linotype" w:cs="Calibri"/>
                <w:color w:val="000000"/>
                <w:kern w:val="0"/>
                <w:lang w:eastAsia="es-CO"/>
                <w14:ligatures w14:val="none"/>
              </w:rPr>
            </w:pPr>
            <w:r w:rsidRPr="001F1A14">
              <w:rPr>
                <w:rFonts w:ascii="Palatino Linotype" w:eastAsia="Times New Roman" w:hAnsi="Palatino Linotype" w:cs="Calibri"/>
                <w:color w:val="000000"/>
                <w:kern w:val="0"/>
                <w:lang w:eastAsia="es-CO"/>
                <w14:ligatures w14:val="none"/>
              </w:rPr>
              <w:t xml:space="preserve">6.38 / </w:t>
            </w:r>
            <w:r w:rsidRPr="001F1A14">
              <w:rPr>
                <w:rFonts w:ascii="Times New Roman" w:eastAsia="Times New Roman" w:hAnsi="Times New Roman" w:cs="Times New Roman"/>
                <w:color w:val="000000"/>
                <w:kern w:val="0"/>
                <w:lang w:eastAsia="es-CO"/>
                <w14:ligatures w14:val="none"/>
              </w:rPr>
              <w:t>↑</w:t>
            </w:r>
            <w:r w:rsidRPr="001F1A14">
              <w:rPr>
                <w:rFonts w:ascii="Palatino Linotype" w:eastAsia="Times New Roman" w:hAnsi="Palatino Linotype" w:cs="Calibri"/>
                <w:color w:val="000000"/>
                <w:kern w:val="0"/>
                <w:lang w:eastAsia="es-CO"/>
                <w14:ligatures w14:val="none"/>
              </w:rPr>
              <w:t xml:space="preserve"> </w:t>
            </w:r>
            <w:proofErr w:type="spellStart"/>
            <w:r w:rsidRPr="001F1A14">
              <w:rPr>
                <w:rFonts w:ascii="Palatino Linotype" w:eastAsia="Times New Roman" w:hAnsi="Palatino Linotype" w:cs="Calibri"/>
                <w:color w:val="000000"/>
                <w:kern w:val="0"/>
                <w:lang w:eastAsia="es-CO"/>
                <w14:ligatures w14:val="none"/>
              </w:rPr>
              <w:t>risk</w:t>
            </w:r>
            <w:proofErr w:type="spellEnd"/>
          </w:p>
        </w:tc>
      </w:tr>
    </w:tbl>
    <w:p w14:paraId="4AFB590F" w14:textId="77777777" w:rsidR="007D4122" w:rsidRPr="007D4122" w:rsidRDefault="007D4122" w:rsidP="007D4122">
      <w:pPr>
        <w:jc w:val="both"/>
        <w:rPr>
          <w:rFonts w:ascii="Palatino Linotype" w:hAnsi="Palatino Linotype"/>
          <w:lang w:val="en-US"/>
        </w:rPr>
      </w:pPr>
    </w:p>
    <w:sectPr w:rsidR="007D4122" w:rsidRPr="007D41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7E8"/>
    <w:rsid w:val="001F1A14"/>
    <w:rsid w:val="007D4122"/>
    <w:rsid w:val="00C447E8"/>
    <w:rsid w:val="00CD39FD"/>
    <w:rsid w:val="00E25245"/>
    <w:rsid w:val="00EB6CA1"/>
    <w:rsid w:val="00F35274"/>
    <w:rsid w:val="00FB19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F45C99"/>
  <w14:defaultImageDpi w14:val="32767"/>
  <w15:chartTrackingRefBased/>
  <w15:docId w15:val="{EF511D52-38DA-4C89-90FA-84015615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D41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028950">
      <w:bodyDiv w:val="1"/>
      <w:marLeft w:val="0"/>
      <w:marRight w:val="0"/>
      <w:marTop w:val="0"/>
      <w:marBottom w:val="0"/>
      <w:divBdr>
        <w:top w:val="none" w:sz="0" w:space="0" w:color="auto"/>
        <w:left w:val="none" w:sz="0" w:space="0" w:color="auto"/>
        <w:bottom w:val="none" w:sz="0" w:space="0" w:color="auto"/>
        <w:right w:val="none" w:sz="0" w:space="0" w:color="auto"/>
      </w:divBdr>
    </w:div>
    <w:div w:id="456725413">
      <w:bodyDiv w:val="1"/>
      <w:marLeft w:val="0"/>
      <w:marRight w:val="0"/>
      <w:marTop w:val="0"/>
      <w:marBottom w:val="0"/>
      <w:divBdr>
        <w:top w:val="none" w:sz="0" w:space="0" w:color="auto"/>
        <w:left w:val="none" w:sz="0" w:space="0" w:color="auto"/>
        <w:bottom w:val="none" w:sz="0" w:space="0" w:color="auto"/>
        <w:right w:val="none" w:sz="0" w:space="0" w:color="auto"/>
      </w:divBdr>
    </w:div>
    <w:div w:id="86648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625</Words>
  <Characters>3439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Suescum  Holguin</dc:creator>
  <cp:keywords/>
  <dc:description/>
  <cp:lastModifiedBy>Jason Suescum  Holguin</cp:lastModifiedBy>
  <cp:revision>2</cp:revision>
  <dcterms:created xsi:type="dcterms:W3CDTF">2025-09-02T19:32:00Z</dcterms:created>
  <dcterms:modified xsi:type="dcterms:W3CDTF">2025-09-02T20:09:00Z</dcterms:modified>
</cp:coreProperties>
</file>