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NoSuchFace9713" w:hAnsi="NoSuchFace9713"/>
          <w:sz w:val="28"/>
        </w:rPr>
      </w:pPr>
      <w:r>
        <w:rPr>
          <w:rFonts w:ascii="NoSuchFace9713" w:hAnsi="NoSuchFace9713"/>
          <w:sz w:val="28"/>
        </w:rPr>
        <w:t>Token ZQXJ-2026 set in a face no machine has.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SuchFace9713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