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Microsoft YaHei"/>
          <w:b/>
          <w:color w:val="119E96"/>
          <w:sz w:val="18"/>
        </w:rPr>
        <w:t>PE6201 · END-OF-COURSE PROJECT</w:t>
      </w:r>
    </w:p>
    <w:p>
      <w:pPr>
        <w:spacing w:after="40"/>
      </w:pPr>
      <w:r>
        <w:rPr>
          <w:rFonts w:ascii="Arial" w:hAnsi="Arial" w:eastAsia="Microsoft YaHei"/>
          <w:b/>
          <w:color w:val="0B2D49"/>
          <w:sz w:val="56"/>
        </w:rPr>
        <w:t>AI Scroll</w:t>
      </w:r>
    </w:p>
    <w:p>
      <w:pPr>
        <w:spacing w:after="180"/>
      </w:pPr>
      <w:r>
        <w:rPr>
          <w:rFonts w:ascii="Arial" w:hAnsi="Arial" w:eastAsia="Microsoft YaHei"/>
          <w:b/>
          <w:color w:val="119E96"/>
          <w:sz w:val="36"/>
        </w:rPr>
        <w:t>Business and Technical Trade-off Analysis</w:t>
      </w:r>
    </w:p>
    <w:p>
      <w:pPr>
        <w:spacing w:after="200"/>
      </w:pPr>
      <w:r>
        <w:rPr>
          <w:rFonts w:ascii="Arial" w:hAnsi="Arial" w:eastAsia="Microsoft YaHei"/>
          <w:b/>
          <w:color w:val="60748A"/>
          <w:sz w:val="18"/>
        </w:rPr>
        <w:t>Wang Chen Yu Jason  ·  Submission version  ·  4 October 2026</w:t>
      </w:r>
    </w:p>
    <w:tbl>
      <w:tblPr>
        <w:tblW w:type="auto" w:w="0"/>
        <w:jc w:val="center"/>
        <w:tblLook w:firstColumn="1" w:firstRow="1" w:lastColumn="0" w:lastRow="0" w:noHBand="0" w:noVBand="1" w:val="04A0"/>
      </w:tblPr>
      <w:tblGrid>
        <w:gridCol w:w="10166"/>
      </w:tblGrid>
      <w:tr>
        <w:tc>
          <w:tcPr>
            <w:tcW w:type="dxa" w:w="10166"/>
            <w:shd w:fill="E6F6F3"/>
            <w:tcMar>
              <w:top w:w="180" w:type="dxa"/>
              <w:start w:w="190" w:type="dxa"/>
              <w:bottom w:w="180" w:type="dxa"/>
              <w:end w:w="190" w:type="dxa"/>
            </w:tcMar>
          </w:tcPr>
          <w:p>
            <w:r>
              <w:rPr>
                <w:rFonts w:ascii="Arial" w:hAnsi="Arial" w:eastAsia="Microsoft YaHei"/>
                <w:b/>
                <w:color w:val="119E96"/>
                <w:sz w:val="18"/>
              </w:rPr>
              <w:t>EXECUTIVE DECISION</w:t>
              <w:br/>
            </w:r>
            <w:r>
              <w:rPr>
                <w:rFonts w:ascii="Arial" w:hAnsi="Arial" w:eastAsia="Microsoft YaHei"/>
                <w:b/>
                <w:color w:val="0B2D49"/>
                <w:sz w:val="22"/>
              </w:rPr>
              <w:t>Use an evidence-first hybrid Agent: a language model interprets academic email, deterministic controls validate and merge results, and the student approves every calendar write.</w:t>
            </w:r>
          </w:p>
        </w:tc>
      </w:tr>
    </w:tbl>
    <w:p>
      <w:pPr>
        <w:keepNext/>
        <w:spacing w:before="200" w:after="80"/>
      </w:pPr>
      <w:r>
        <w:rPr>
          <w:rFonts w:ascii="Arial" w:hAnsi="Arial" w:eastAsia="Microsoft YaHei"/>
          <w:b/>
          <w:color w:val="0B2D49"/>
          <w:sz w:val="30"/>
        </w:rPr>
        <w:t>Problem and product decision</w:t>
      </w:r>
    </w:p>
    <w:p>
      <w:pPr>
        <w:spacing w:after="120" w:line="269" w:lineRule="auto"/>
      </w:pPr>
      <w:r>
        <w:rPr>
          <w:rFonts w:ascii="Arial" w:hAnsi="Arial" w:eastAsia="Microsoft YaHei"/>
          <w:b w:val="0"/>
          <w:color w:val="0B2D49"/>
          <w:sz w:val="20"/>
        </w:rPr>
        <w:t>Students receive deadlines, extensions, cancellations and submission rules across many messages. The hard case is a chain in which a later email changes the original instruction. Manual search and copy-paste are slow and can preserve an obsolete deadline. AI Scroll converts selected course emails into one evidence-backed timeline, a backward study plan and a calendar proposal. The system automates interpretation and preparation while keeping the final external action under explicit user control.</w:t>
      </w:r>
    </w:p>
    <w:p>
      <w:r>
        <w:drawing>
          <wp:inline xmlns:a="http://schemas.openxmlformats.org/drawingml/2006/main" xmlns:pic="http://schemas.openxmlformats.org/drawingml/2006/picture">
            <wp:extent cx="6400800" cy="3646967"/>
            <wp:docPr id="1" name="Picture 1"/>
            <wp:cNvGraphicFramePr>
              <a:graphicFrameLocks noChangeAspect="1"/>
            </wp:cNvGraphicFramePr>
            <a:graphic>
              <a:graphicData uri="http://schemas.openxmlformats.org/drawingml/2006/picture">
                <pic:pic>
                  <pic:nvPicPr>
                    <pic:cNvPr id="0" name="ui_final_wide.png"/>
                    <pic:cNvPicPr/>
                  </pic:nvPicPr>
                  <pic:blipFill>
                    <a:blip r:embed="rId9"/>
                    <a:stretch>
                      <a:fillRect/>
                    </a:stretch>
                  </pic:blipFill>
                  <pic:spPr>
                    <a:xfrm>
                      <a:off x="0" y="0"/>
                      <a:ext cx="6400800" cy="3646967"/>
                    </a:xfrm>
                    <a:prstGeom prst="rect"/>
                  </pic:spPr>
                </pic:pic>
              </a:graphicData>
            </a:graphic>
          </wp:inline>
        </w:drawing>
      </w:r>
    </w:p>
    <w:p>
      <w:pPr>
        <w:jc w:val="center"/>
      </w:pPr>
      <w:r>
        <w:rPr>
          <w:rFonts w:ascii="Arial" w:hAnsi="Arial" w:eastAsia="Microsoft YaHei"/>
          <w:b w:val="0"/>
          <w:color w:val="60748A"/>
          <w:sz w:val="16"/>
        </w:rPr>
        <w:t>Figure 1. Working interface: inbox evidence, selected message and approval-gated action plan.</w:t>
      </w:r>
    </w:p>
    <w:p>
      <w:r>
        <w:br w:type="page"/>
      </w:r>
    </w:p>
    <w:p>
      <w:pPr>
        <w:keepNext/>
        <w:spacing w:before="200" w:after="80"/>
      </w:pPr>
      <w:r>
        <w:rPr>
          <w:rFonts w:ascii="Arial" w:hAnsi="Arial" w:eastAsia="Microsoft YaHei"/>
          <w:b/>
          <w:color w:val="0B2D49"/>
          <w:sz w:val="30"/>
        </w:rPr>
        <w:t>System scope and hybrid architecture</w:t>
      </w:r>
    </w:p>
    <w:p>
      <w:pPr>
        <w:spacing w:after="120" w:line="269" w:lineRule="auto"/>
      </w:pPr>
      <w:r>
        <w:rPr>
          <w:rFonts w:ascii="Arial" w:hAnsi="Arial" w:eastAsia="Microsoft YaHei"/>
          <w:b w:val="0"/>
          <w:color w:val="0B2D49"/>
          <w:sz w:val="20"/>
        </w:rPr>
        <w:t>The Agent reads from authorized Gmail or Outlook accounts, filters by course before a model call, extracts a structured task and exact evidence sentence, matches related messages, applies later corrections, and plans backwards from the verified deadline. GPT-5 Mini through OpenRouter handles varied language. Application code controls ISO date validation, Singapore time, urgency thresholds, deduplication, merge history and approval. Google Calendar writes are available only after review.</w:t>
      </w:r>
    </w:p>
    <w:tbl>
      <w:tblPr>
        <w:tblW w:type="auto" w:w="0"/>
        <w:jc w:val="center"/>
        <w:tblLayout w:type="fixed"/>
        <w:tblLook w:firstColumn="1" w:firstRow="1" w:lastColumn="0" w:lastRow="0" w:noHBand="0" w:noVBand="1" w:val="04A0"/>
      </w:tblPr>
      <w:tblGrid>
        <w:gridCol w:w="1728"/>
        <w:gridCol w:w="2232"/>
        <w:gridCol w:w="3240"/>
        <w:gridCol w:w="2952"/>
      </w:tblGrid>
      <w:tr>
        <w:tc>
          <w:tcPr>
            <w:tcW w:type="dxa" w:w="2541"/>
            <w:shd w:fill="0B2D49"/>
            <w:tcMar>
              <w:top w:w="110" w:type="dxa"/>
              <w:start w:w="140" w:type="dxa"/>
              <w:bottom w:w="110" w:type="dxa"/>
              <w:end w:w="140" w:type="dxa"/>
            </w:tcMar>
          </w:tcPr>
          <w:p>
            <w:pPr>
              <w:jc w:val="left"/>
            </w:pPr>
            <w:r>
              <w:rPr>
                <w:rFonts w:ascii="Arial" w:hAnsi="Arial" w:eastAsia="Microsoft YaHei"/>
                <w:b/>
                <w:color w:val="FFFFFF"/>
                <w:sz w:val="17"/>
              </w:rPr>
              <w:t>Decision</w:t>
            </w:r>
          </w:p>
        </w:tc>
        <w:tc>
          <w:tcPr>
            <w:tcW w:type="dxa" w:w="2541"/>
            <w:shd w:fill="0B2D49"/>
            <w:tcMar>
              <w:top w:w="110" w:type="dxa"/>
              <w:start w:w="140" w:type="dxa"/>
              <w:bottom w:w="110" w:type="dxa"/>
              <w:end w:w="140" w:type="dxa"/>
            </w:tcMar>
          </w:tcPr>
          <w:p>
            <w:pPr>
              <w:jc w:val="center"/>
            </w:pPr>
            <w:r>
              <w:rPr>
                <w:rFonts w:ascii="Arial" w:hAnsi="Arial" w:eastAsia="Microsoft YaHei"/>
                <w:b/>
                <w:color w:val="FFFFFF"/>
                <w:sz w:val="17"/>
              </w:rPr>
              <w:t>Selected approach</w:t>
            </w:r>
          </w:p>
        </w:tc>
        <w:tc>
          <w:tcPr>
            <w:tcW w:type="dxa" w:w="2541"/>
            <w:shd w:fill="0B2D49"/>
            <w:tcMar>
              <w:top w:w="110" w:type="dxa"/>
              <w:start w:w="140" w:type="dxa"/>
              <w:bottom w:w="110" w:type="dxa"/>
              <w:end w:w="140" w:type="dxa"/>
            </w:tcMar>
          </w:tcPr>
          <w:p>
            <w:pPr>
              <w:jc w:val="center"/>
            </w:pPr>
            <w:r>
              <w:rPr>
                <w:rFonts w:ascii="Arial" w:hAnsi="Arial" w:eastAsia="Microsoft YaHei"/>
                <w:b/>
                <w:color w:val="FFFFFF"/>
                <w:sz w:val="17"/>
              </w:rPr>
              <w:t>Benefit</w:t>
            </w:r>
          </w:p>
        </w:tc>
        <w:tc>
          <w:tcPr>
            <w:tcW w:type="dxa" w:w="2541"/>
            <w:shd w:fill="0B2D49"/>
            <w:tcMar>
              <w:top w:w="110" w:type="dxa"/>
              <w:start w:w="140" w:type="dxa"/>
              <w:bottom w:w="110" w:type="dxa"/>
              <w:end w:w="140" w:type="dxa"/>
            </w:tcMar>
          </w:tcPr>
          <w:p>
            <w:pPr>
              <w:jc w:val="center"/>
            </w:pPr>
            <w:r>
              <w:rPr>
                <w:rFonts w:ascii="Arial" w:hAnsi="Arial" w:eastAsia="Microsoft YaHei"/>
                <w:b/>
                <w:color w:val="FFFFFF"/>
                <w:sz w:val="17"/>
              </w:rPr>
              <w:t>Cost or constraint</w:t>
            </w:r>
          </w:p>
        </w:tc>
      </w:tr>
      <w:tr>
        <w:tc>
          <w:tcPr>
            <w:tcW w:type="dxa" w:w="1728"/>
            <w:vAlign w:val="center"/>
            <w:shd w:fill="FFFFFF"/>
            <w:tcMar>
              <w:top w:w="90" w:type="dxa"/>
              <w:start w:w="115" w:type="dxa"/>
              <w:bottom w:w="90" w:type="dxa"/>
              <w:end w:w="115" w:type="dxa"/>
            </w:tcMar>
          </w:tcPr>
          <w:p>
            <w:pPr>
              <w:jc w:val="left"/>
            </w:pPr>
            <w:r>
              <w:rPr>
                <w:rFonts w:ascii="Arial" w:hAnsi="Arial" w:eastAsia="Microsoft YaHei"/>
                <w:b/>
                <w:color w:val="0B2D49"/>
                <w:sz w:val="17"/>
              </w:rPr>
              <w:t>Language vs rules</w:t>
            </w:r>
          </w:p>
        </w:tc>
        <w:tc>
          <w:tcPr>
            <w:tcW w:type="dxa" w:w="2232"/>
            <w:vAlign w:val="center"/>
            <w:shd w:fill="FFFFFF"/>
            <w:tcMar>
              <w:top w:w="90" w:type="dxa"/>
              <w:start w:w="115" w:type="dxa"/>
              <w:bottom w:w="90" w:type="dxa"/>
              <w:end w:w="115" w:type="dxa"/>
            </w:tcMar>
          </w:tcPr>
          <w:p>
            <w:pPr>
              <w:jc w:val="center"/>
            </w:pPr>
            <w:r>
              <w:rPr>
                <w:rFonts w:ascii="Arial" w:hAnsi="Arial" w:eastAsia="Microsoft YaHei"/>
                <w:b w:val="0"/>
                <w:color w:val="0B2D49"/>
                <w:sz w:val="17"/>
              </w:rPr>
              <w:t>Hybrid Agent</w:t>
            </w:r>
          </w:p>
        </w:tc>
        <w:tc>
          <w:tcPr>
            <w:tcW w:type="dxa" w:w="3240"/>
            <w:vAlign w:val="center"/>
            <w:shd w:fill="FFFFFF"/>
            <w:tcMar>
              <w:top w:w="90" w:type="dxa"/>
              <w:start w:w="115" w:type="dxa"/>
              <w:bottom w:w="90" w:type="dxa"/>
              <w:end w:w="115" w:type="dxa"/>
            </w:tcMar>
          </w:tcPr>
          <w:p>
            <w:pPr>
              <w:jc w:val="center"/>
            </w:pPr>
            <w:r>
              <w:rPr>
                <w:rFonts w:ascii="Arial" w:hAnsi="Arial" w:eastAsia="Microsoft YaHei"/>
                <w:b w:val="0"/>
                <w:color w:val="0B2D49"/>
                <w:sz w:val="17"/>
              </w:rPr>
              <w:t>Flexible interpretation with inspectable controls</w:t>
            </w:r>
          </w:p>
        </w:tc>
        <w:tc>
          <w:tcPr>
            <w:tcW w:type="dxa" w:w="2952"/>
            <w:vAlign w:val="center"/>
            <w:shd w:fill="FFFFFF"/>
            <w:tcMar>
              <w:top w:w="90" w:type="dxa"/>
              <w:start w:w="115" w:type="dxa"/>
              <w:bottom w:w="90" w:type="dxa"/>
              <w:end w:w="115" w:type="dxa"/>
            </w:tcMar>
          </w:tcPr>
          <w:p>
            <w:pPr>
              <w:jc w:val="center"/>
            </w:pPr>
            <w:r>
              <w:rPr>
                <w:rFonts w:ascii="Arial" w:hAnsi="Arial" w:eastAsia="Microsoft YaHei"/>
                <w:b w:val="0"/>
                <w:color w:val="0B2D49"/>
                <w:sz w:val="17"/>
              </w:rPr>
              <w:t>More integration and validation code</w:t>
            </w:r>
          </w:p>
        </w:tc>
      </w:tr>
      <w:tr>
        <w:tc>
          <w:tcPr>
            <w:tcW w:type="dxa" w:w="1728"/>
            <w:vAlign w:val="center"/>
            <w:shd w:fill="F3F7FA"/>
            <w:tcMar>
              <w:top w:w="90" w:type="dxa"/>
              <w:start w:w="115" w:type="dxa"/>
              <w:bottom w:w="90" w:type="dxa"/>
              <w:end w:w="115" w:type="dxa"/>
            </w:tcMar>
          </w:tcPr>
          <w:p>
            <w:pPr>
              <w:jc w:val="left"/>
            </w:pPr>
            <w:r>
              <w:rPr>
                <w:rFonts w:ascii="Arial" w:hAnsi="Arial" w:eastAsia="Microsoft YaHei"/>
                <w:b/>
                <w:color w:val="0B2D49"/>
                <w:sz w:val="17"/>
              </w:rPr>
              <w:t>Build vs buy</w:t>
            </w:r>
          </w:p>
        </w:tc>
        <w:tc>
          <w:tcPr>
            <w:tcW w:type="dxa" w:w="2232"/>
            <w:vAlign w:val="center"/>
            <w:shd w:fill="F3F7FA"/>
            <w:tcMar>
              <w:top w:w="90" w:type="dxa"/>
              <w:start w:w="115" w:type="dxa"/>
              <w:bottom w:w="90" w:type="dxa"/>
              <w:end w:w="115" w:type="dxa"/>
            </w:tcMar>
          </w:tcPr>
          <w:p>
            <w:pPr>
              <w:jc w:val="center"/>
            </w:pPr>
            <w:r>
              <w:rPr>
                <w:rFonts w:ascii="Arial" w:hAnsi="Arial" w:eastAsia="Microsoft YaHei"/>
                <w:b w:val="0"/>
                <w:color w:val="0B2D49"/>
                <w:sz w:val="17"/>
              </w:rPr>
              <w:t>Build workflow; rent model and APIs</w:t>
            </w:r>
          </w:p>
        </w:tc>
        <w:tc>
          <w:tcPr>
            <w:tcW w:type="dxa" w:w="3240"/>
            <w:vAlign w:val="center"/>
            <w:shd w:fill="F3F7FA"/>
            <w:tcMar>
              <w:top w:w="90" w:type="dxa"/>
              <w:start w:w="115" w:type="dxa"/>
              <w:bottom w:w="90" w:type="dxa"/>
              <w:end w:w="115" w:type="dxa"/>
            </w:tcMar>
          </w:tcPr>
          <w:p>
            <w:pPr>
              <w:jc w:val="center"/>
            </w:pPr>
            <w:r>
              <w:rPr>
                <w:rFonts w:ascii="Arial" w:hAnsi="Arial" w:eastAsia="Microsoft YaHei"/>
                <w:b w:val="0"/>
                <w:color w:val="0B2D49"/>
                <w:sz w:val="17"/>
              </w:rPr>
              <w:t>Fast development; replaceable model</w:t>
            </w:r>
          </w:p>
        </w:tc>
        <w:tc>
          <w:tcPr>
            <w:tcW w:type="dxa" w:w="2952"/>
            <w:vAlign w:val="center"/>
            <w:shd w:fill="F3F7FA"/>
            <w:tcMar>
              <w:top w:w="90" w:type="dxa"/>
              <w:start w:w="115" w:type="dxa"/>
              <w:bottom w:w="90" w:type="dxa"/>
              <w:end w:w="115" w:type="dxa"/>
            </w:tcMar>
          </w:tcPr>
          <w:p>
            <w:pPr>
              <w:jc w:val="center"/>
            </w:pPr>
            <w:r>
              <w:rPr>
                <w:rFonts w:ascii="Arial" w:hAnsi="Arial" w:eastAsia="Microsoft YaHei"/>
                <w:b w:val="0"/>
                <w:color w:val="0B2D49"/>
                <w:sz w:val="17"/>
              </w:rPr>
              <w:t>Provider cost, latency and privacy exposure</w:t>
            </w:r>
          </w:p>
        </w:tc>
      </w:tr>
      <w:tr>
        <w:tc>
          <w:tcPr>
            <w:tcW w:type="dxa" w:w="1728"/>
            <w:vAlign w:val="center"/>
            <w:shd w:fill="FFFFFF"/>
            <w:tcMar>
              <w:top w:w="90" w:type="dxa"/>
              <w:start w:w="115" w:type="dxa"/>
              <w:bottom w:w="90" w:type="dxa"/>
              <w:end w:w="115" w:type="dxa"/>
            </w:tcMar>
          </w:tcPr>
          <w:p>
            <w:pPr>
              <w:jc w:val="left"/>
            </w:pPr>
            <w:r>
              <w:rPr>
                <w:rFonts w:ascii="Arial" w:hAnsi="Arial" w:eastAsia="Microsoft YaHei"/>
                <w:b/>
                <w:color w:val="0B2D49"/>
                <w:sz w:val="17"/>
              </w:rPr>
              <w:t>Mailbox access</w:t>
            </w:r>
          </w:p>
        </w:tc>
        <w:tc>
          <w:tcPr>
            <w:tcW w:type="dxa" w:w="2232"/>
            <w:vAlign w:val="center"/>
            <w:shd w:fill="FFFFFF"/>
            <w:tcMar>
              <w:top w:w="90" w:type="dxa"/>
              <w:start w:w="115" w:type="dxa"/>
              <w:bottom w:w="90" w:type="dxa"/>
              <w:end w:w="115" w:type="dxa"/>
            </w:tcMar>
          </w:tcPr>
          <w:p>
            <w:pPr>
              <w:jc w:val="center"/>
            </w:pPr>
            <w:r>
              <w:rPr>
                <w:rFonts w:ascii="Arial" w:hAnsi="Arial" w:eastAsia="Microsoft YaHei"/>
                <w:b w:val="0"/>
                <w:color w:val="0B2D49"/>
                <w:sz w:val="17"/>
              </w:rPr>
              <w:t>Narrow OAuth connectors</w:t>
            </w:r>
          </w:p>
        </w:tc>
        <w:tc>
          <w:tcPr>
            <w:tcW w:type="dxa" w:w="3240"/>
            <w:vAlign w:val="center"/>
            <w:shd w:fill="FFFFFF"/>
            <w:tcMar>
              <w:top w:w="90" w:type="dxa"/>
              <w:start w:w="115" w:type="dxa"/>
              <w:bottom w:w="90" w:type="dxa"/>
              <w:end w:w="115" w:type="dxa"/>
            </w:tcMar>
          </w:tcPr>
          <w:p>
            <w:pPr>
              <w:jc w:val="center"/>
            </w:pPr>
            <w:r>
              <w:rPr>
                <w:rFonts w:ascii="Arial" w:hAnsi="Arial" w:eastAsia="Microsoft YaHei"/>
                <w:b w:val="0"/>
                <w:color w:val="0B2D49"/>
                <w:sz w:val="17"/>
              </w:rPr>
              <w:t>No manual email copy-paste</w:t>
            </w:r>
          </w:p>
        </w:tc>
        <w:tc>
          <w:tcPr>
            <w:tcW w:type="dxa" w:w="2952"/>
            <w:vAlign w:val="center"/>
            <w:shd w:fill="FFFFFF"/>
            <w:tcMar>
              <w:top w:w="90" w:type="dxa"/>
              <w:start w:w="115" w:type="dxa"/>
              <w:bottom w:w="90" w:type="dxa"/>
              <w:end w:w="115" w:type="dxa"/>
            </w:tcMar>
          </w:tcPr>
          <w:p>
            <w:pPr>
              <w:jc w:val="center"/>
            </w:pPr>
            <w:r>
              <w:rPr>
                <w:rFonts w:ascii="Arial" w:hAnsi="Arial" w:eastAsia="Microsoft YaHei"/>
                <w:b w:val="0"/>
                <w:color w:val="0B2D49"/>
                <w:sz w:val="17"/>
              </w:rPr>
              <w:t>Authorization and tenant-policy dependency</w:t>
            </w:r>
          </w:p>
        </w:tc>
      </w:tr>
      <w:tr>
        <w:tc>
          <w:tcPr>
            <w:tcW w:type="dxa" w:w="1728"/>
            <w:vAlign w:val="center"/>
            <w:shd w:fill="F3F7FA"/>
            <w:tcMar>
              <w:top w:w="90" w:type="dxa"/>
              <w:start w:w="115" w:type="dxa"/>
              <w:bottom w:w="90" w:type="dxa"/>
              <w:end w:w="115" w:type="dxa"/>
            </w:tcMar>
          </w:tcPr>
          <w:p>
            <w:pPr>
              <w:jc w:val="left"/>
            </w:pPr>
            <w:r>
              <w:rPr>
                <w:rFonts w:ascii="Arial" w:hAnsi="Arial" w:eastAsia="Microsoft YaHei"/>
                <w:b/>
                <w:color w:val="0B2D49"/>
                <w:sz w:val="17"/>
              </w:rPr>
              <w:t>Calendar action</w:t>
            </w:r>
          </w:p>
        </w:tc>
        <w:tc>
          <w:tcPr>
            <w:tcW w:type="dxa" w:w="2232"/>
            <w:vAlign w:val="center"/>
            <w:shd w:fill="F3F7FA"/>
            <w:tcMar>
              <w:top w:w="90" w:type="dxa"/>
              <w:start w:w="115" w:type="dxa"/>
              <w:bottom w:w="90" w:type="dxa"/>
              <w:end w:w="115" w:type="dxa"/>
            </w:tcMar>
          </w:tcPr>
          <w:p>
            <w:pPr>
              <w:jc w:val="center"/>
            </w:pPr>
            <w:r>
              <w:rPr>
                <w:rFonts w:ascii="Arial" w:hAnsi="Arial" w:eastAsia="Microsoft YaHei"/>
                <w:b w:val="0"/>
                <w:color w:val="0B2D49"/>
                <w:sz w:val="17"/>
              </w:rPr>
              <w:t>Preview then approve</w:t>
            </w:r>
          </w:p>
        </w:tc>
        <w:tc>
          <w:tcPr>
            <w:tcW w:type="dxa" w:w="3240"/>
            <w:vAlign w:val="center"/>
            <w:shd w:fill="F3F7FA"/>
            <w:tcMar>
              <w:top w:w="90" w:type="dxa"/>
              <w:start w:w="115" w:type="dxa"/>
              <w:bottom w:w="90" w:type="dxa"/>
              <w:end w:w="115" w:type="dxa"/>
            </w:tcMar>
          </w:tcPr>
          <w:p>
            <w:pPr>
              <w:jc w:val="center"/>
            </w:pPr>
            <w:r>
              <w:rPr>
                <w:rFonts w:ascii="Arial" w:hAnsi="Arial" w:eastAsia="Microsoft YaHei"/>
                <w:b w:val="0"/>
                <w:color w:val="0B2D49"/>
                <w:sz w:val="17"/>
              </w:rPr>
              <w:t>Blocks silent or unsafe writes</w:t>
            </w:r>
          </w:p>
        </w:tc>
        <w:tc>
          <w:tcPr>
            <w:tcW w:type="dxa" w:w="2952"/>
            <w:vAlign w:val="center"/>
            <w:shd w:fill="F3F7FA"/>
            <w:tcMar>
              <w:top w:w="90" w:type="dxa"/>
              <w:start w:w="115" w:type="dxa"/>
              <w:bottom w:w="90" w:type="dxa"/>
              <w:end w:w="115" w:type="dxa"/>
            </w:tcMar>
          </w:tcPr>
          <w:p>
            <w:pPr>
              <w:jc w:val="center"/>
            </w:pPr>
            <w:r>
              <w:rPr>
                <w:rFonts w:ascii="Arial" w:hAnsi="Arial" w:eastAsia="Microsoft YaHei"/>
                <w:b w:val="0"/>
                <w:color w:val="0B2D49"/>
                <w:sz w:val="17"/>
              </w:rPr>
              <w:t>One extra user step</w:t>
            </w:r>
          </w:p>
        </w:tc>
      </w:tr>
      <w:tr>
        <w:tc>
          <w:tcPr>
            <w:tcW w:type="dxa" w:w="1728"/>
            <w:vAlign w:val="center"/>
            <w:shd w:fill="FFFFFF"/>
            <w:tcMar>
              <w:top w:w="90" w:type="dxa"/>
              <w:start w:w="115" w:type="dxa"/>
              <w:bottom w:w="90" w:type="dxa"/>
              <w:end w:w="115" w:type="dxa"/>
            </w:tcMar>
          </w:tcPr>
          <w:p>
            <w:pPr>
              <w:jc w:val="left"/>
            </w:pPr>
            <w:r>
              <w:rPr>
                <w:rFonts w:ascii="Arial" w:hAnsi="Arial" w:eastAsia="Microsoft YaHei"/>
                <w:b/>
                <w:color w:val="0B2D49"/>
                <w:sz w:val="17"/>
              </w:rPr>
              <w:t>Polling</w:t>
            </w:r>
          </w:p>
        </w:tc>
        <w:tc>
          <w:tcPr>
            <w:tcW w:type="dxa" w:w="2232"/>
            <w:vAlign w:val="center"/>
            <w:shd w:fill="FFFFFF"/>
            <w:tcMar>
              <w:top w:w="90" w:type="dxa"/>
              <w:start w:w="115" w:type="dxa"/>
              <w:bottom w:w="90" w:type="dxa"/>
              <w:end w:w="115" w:type="dxa"/>
            </w:tcMar>
          </w:tcPr>
          <w:p>
            <w:pPr>
              <w:jc w:val="center"/>
            </w:pPr>
            <w:r>
              <w:rPr>
                <w:rFonts w:ascii="Arial" w:hAnsi="Arial" w:eastAsia="Microsoft YaHei"/>
                <w:b w:val="0"/>
                <w:color w:val="0B2D49"/>
                <w:sz w:val="17"/>
              </w:rPr>
              <w:t>Metadata first; model only for changes</w:t>
            </w:r>
          </w:p>
        </w:tc>
        <w:tc>
          <w:tcPr>
            <w:tcW w:type="dxa" w:w="3240"/>
            <w:vAlign w:val="center"/>
            <w:shd w:fill="FFFFFF"/>
            <w:tcMar>
              <w:top w:w="90" w:type="dxa"/>
              <w:start w:w="115" w:type="dxa"/>
              <w:bottom w:w="90" w:type="dxa"/>
              <w:end w:w="115" w:type="dxa"/>
            </w:tcMar>
          </w:tcPr>
          <w:p>
            <w:pPr>
              <w:jc w:val="center"/>
            </w:pPr>
            <w:r>
              <w:rPr>
                <w:rFonts w:ascii="Arial" w:hAnsi="Arial" w:eastAsia="Microsoft YaHei"/>
                <w:b w:val="0"/>
                <w:color w:val="0B2D49"/>
                <w:sz w:val="17"/>
              </w:rPr>
              <w:t>Lower cost at high freshness</w:t>
            </w:r>
          </w:p>
        </w:tc>
        <w:tc>
          <w:tcPr>
            <w:tcW w:type="dxa" w:w="2952"/>
            <w:vAlign w:val="center"/>
            <w:shd w:fill="FFFFFF"/>
            <w:tcMar>
              <w:top w:w="90" w:type="dxa"/>
              <w:start w:w="115" w:type="dxa"/>
              <w:bottom w:w="90" w:type="dxa"/>
              <w:end w:w="115" w:type="dxa"/>
            </w:tcMar>
          </w:tcPr>
          <w:p>
            <w:pPr>
              <w:jc w:val="center"/>
            </w:pPr>
            <w:r>
              <w:rPr>
                <w:rFonts w:ascii="Arial" w:hAnsi="Arial" w:eastAsia="Microsoft YaHei"/>
                <w:b w:val="0"/>
                <w:color w:val="0B2D49"/>
                <w:sz w:val="17"/>
              </w:rPr>
              <w:t>Requires message-state tracking</w:t>
            </w:r>
          </w:p>
        </w:tc>
      </w:tr>
    </w:tbl>
    <w:p>
      <w:pPr>
        <w:keepNext/>
        <w:spacing w:before="200" w:after="80"/>
      </w:pPr>
      <w:r>
        <w:rPr>
          <w:rFonts w:ascii="Arial" w:hAnsi="Arial" w:eastAsia="Microsoft YaHei"/>
          <w:b/>
          <w:color w:val="0B2D49"/>
          <w:sz w:val="30"/>
        </w:rPr>
        <w:t>Business and operating trade-offs</w:t>
      </w:r>
    </w:p>
    <w:p>
      <w:pPr>
        <w:spacing w:after="120" w:line="269" w:lineRule="auto"/>
      </w:pPr>
      <w:r>
        <w:rPr>
          <w:rFonts w:ascii="Arial" w:hAnsi="Arial" w:eastAsia="Microsoft YaHei"/>
          <w:b w:val="0"/>
          <w:color w:val="0B2D49"/>
          <w:sz w:val="20"/>
        </w:rPr>
        <w:t>I build the workflow, schemas, thread matcher, merge engine, urgency policy, evaluation harness and approval gate. I rent the language model and use existing mailbox and calendar infrastructure. This avoids hosting model weights and shortens development time, while configuration keeps the model endpoint replaceable. The trade-off is dependency on provider availability, dated prices and OAuth policy.</w:t>
      </w:r>
    </w:p>
    <w:p>
      <w:pPr>
        <w:spacing w:after="120" w:line="269" w:lineRule="auto"/>
      </w:pPr>
      <w:r>
        <w:rPr>
          <w:rFonts w:ascii="Arial" w:hAnsi="Arial" w:eastAsia="Microsoft YaHei"/>
          <w:b w:val="0"/>
          <w:color w:val="0B2D49"/>
          <w:sz w:val="20"/>
        </w:rPr>
        <w:t>Freshness does not require paying for a model call every time the inbox is checked. A naive 15-minute model job creates 2,880 monthly calls even when nothing changes; hourly polling creates 720. AI Scroll checks identifiers and course scope first, then calls the model only for new or changed messages. At 20 relevant emails per day, both schedules require about 600 model calls per 30-day month.</w:t>
      </w:r>
    </w:p>
    <w:tbl>
      <w:tblPr>
        <w:tblW w:type="auto" w:w="0"/>
        <w:jc w:val="center"/>
        <w:tblLook w:firstColumn="1" w:firstRow="1" w:lastColumn="0" w:lastRow="0" w:noHBand="0" w:noVBand="1" w:val="04A0"/>
      </w:tblPr>
      <w:tblGrid>
        <w:gridCol w:w="10166"/>
      </w:tblGrid>
      <w:tr>
        <w:tc>
          <w:tcPr>
            <w:tcW w:type="dxa" w:w="10166"/>
            <w:shd w:fill="F3F7FA"/>
            <w:tcMar>
              <w:top w:w="180" w:type="dxa"/>
              <w:start w:w="190" w:type="dxa"/>
              <w:bottom w:w="180" w:type="dxa"/>
              <w:end w:w="190" w:type="dxa"/>
            </w:tcMar>
          </w:tcPr>
          <w:p>
            <w:r>
              <w:rPr>
                <w:rFonts w:ascii="Arial" w:hAnsi="Arial" w:eastAsia="Microsoft YaHei"/>
                <w:b/>
                <w:color w:val="119E96"/>
                <w:sz w:val="18"/>
              </w:rPr>
              <w:t>MEASURED LIVE COST</w:t>
              <w:br/>
            </w:r>
            <w:r>
              <w:rPr>
                <w:rFonts w:ascii="Arial" w:hAnsi="Arial" w:eastAsia="Microsoft YaHei"/>
                <w:b/>
                <w:color w:val="0B2D49"/>
                <w:sz w:val="22"/>
              </w:rPr>
              <w:t>Six web-derived cases cost US$0.01074 in total, or about US$0.00179 per processed case.</w:t>
            </w:r>
          </w:p>
        </w:tc>
      </w:tr>
    </w:tbl>
    <w:p>
      <w:r>
        <w:br w:type="page"/>
      </w:r>
    </w:p>
    <w:p>
      <w:pPr>
        <w:keepNext/>
        <w:spacing w:before="200" w:after="80"/>
      </w:pPr>
      <w:r>
        <w:rPr>
          <w:rFonts w:ascii="Arial" w:hAnsi="Arial" w:eastAsia="Microsoft YaHei"/>
          <w:b/>
          <w:color w:val="0B2D49"/>
          <w:sz w:val="30"/>
        </w:rPr>
        <w:t>Data and evaluation design</w:t>
      </w:r>
    </w:p>
    <w:p>
      <w:pPr>
        <w:spacing w:after="120" w:line="269" w:lineRule="auto"/>
      </w:pPr>
      <w:r>
        <w:rPr>
          <w:rFonts w:ascii="Arial" w:hAnsi="Arial" w:eastAsia="Microsoft YaHei"/>
          <w:b w:val="0"/>
          <w:color w:val="0B2D49"/>
          <w:sz w:val="20"/>
        </w:rPr>
        <w:t>The development set contains 50 synthetic academic emails across 38 threads: 30 independent emails and eight multi-email threads containing 20 messages. It includes 11 updates, three clarification cases and one cancellation. Each row contains draft labels for course, task type, title, deadline, urgency, evidence, relation and calendar action. Metrics are reported separately because task classification, deadline extraction, urgency and merging are different problems.</w:t>
      </w:r>
    </w:p>
    <w:p>
      <w:r>
        <w:drawing>
          <wp:inline xmlns:a="http://schemas.openxmlformats.org/drawingml/2006/main" xmlns:pic="http://schemas.openxmlformats.org/drawingml/2006/picture">
            <wp:extent cx="6400800" cy="2632587"/>
            <wp:docPr id="2" name="Picture 2"/>
            <wp:cNvGraphicFramePr>
              <a:graphicFrameLocks noChangeAspect="1"/>
            </wp:cNvGraphicFramePr>
            <a:graphic>
              <a:graphicData uri="http://schemas.openxmlformats.org/drawingml/2006/picture">
                <pic:pic>
                  <pic:nvPicPr>
                    <pic:cNvPr id="0" name="evaluation_comparison.png"/>
                    <pic:cNvPicPr/>
                  </pic:nvPicPr>
                  <pic:blipFill>
                    <a:blip r:embed="rId10"/>
                    <a:stretch>
                      <a:fillRect/>
                    </a:stretch>
                  </pic:blipFill>
                  <pic:spPr>
                    <a:xfrm>
                      <a:off x="0" y="0"/>
                      <a:ext cx="6400800" cy="2632587"/>
                    </a:xfrm>
                    <a:prstGeom prst="rect"/>
                  </pic:spPr>
                </pic:pic>
              </a:graphicData>
            </a:graphic>
          </wp:inline>
        </w:drawing>
      </w:r>
    </w:p>
    <w:p>
      <w:pPr>
        <w:jc w:val="center"/>
      </w:pPr>
      <w:r>
        <w:rPr>
          <w:rFonts w:ascii="Arial" w:hAnsi="Arial" w:eastAsia="Microsoft YaHei"/>
          <w:b w:val="0"/>
          <w:color w:val="60748A"/>
          <w:sz w:val="16"/>
        </w:rPr>
        <w:t>Figure 2. Development comparison using draft labels; percentages use the eligible cases for each capability.</w:t>
      </w:r>
    </w:p>
    <w:tbl>
      <w:tblPr>
        <w:tblW w:type="auto" w:w="0"/>
        <w:jc w:val="center"/>
        <w:tblLayout w:type="fixed"/>
        <w:tblLook w:firstColumn="1" w:firstRow="1" w:lastColumn="0" w:lastRow="0" w:noHBand="0" w:noVBand="1" w:val="04A0"/>
      </w:tblPr>
      <w:tblGrid>
        <w:gridCol w:w="3024"/>
        <w:gridCol w:w="1872"/>
        <w:gridCol w:w="5112"/>
      </w:tblGrid>
      <w:tr>
        <w:tc>
          <w:tcPr>
            <w:tcW w:type="dxa" w:w="3389"/>
            <w:shd w:fill="0B2D49"/>
            <w:tcMar>
              <w:top w:w="110" w:type="dxa"/>
              <w:start w:w="140" w:type="dxa"/>
              <w:bottom w:w="110" w:type="dxa"/>
              <w:end w:w="140" w:type="dxa"/>
            </w:tcMar>
          </w:tcPr>
          <w:p>
            <w:pPr>
              <w:jc w:val="left"/>
            </w:pPr>
            <w:r>
              <w:rPr>
                <w:rFonts w:ascii="Arial" w:hAnsi="Arial" w:eastAsia="Microsoft YaHei"/>
                <w:b/>
                <w:color w:val="FFFFFF"/>
                <w:sz w:val="17"/>
              </w:rPr>
              <w:t>Evidence item</w:t>
            </w:r>
          </w:p>
        </w:tc>
        <w:tc>
          <w:tcPr>
            <w:tcW w:type="dxa" w:w="3389"/>
            <w:shd w:fill="0B2D49"/>
            <w:tcMar>
              <w:top w:w="110" w:type="dxa"/>
              <w:start w:w="140" w:type="dxa"/>
              <w:bottom w:w="110" w:type="dxa"/>
              <w:end w:w="140" w:type="dxa"/>
            </w:tcMar>
          </w:tcPr>
          <w:p>
            <w:pPr>
              <w:jc w:val="center"/>
            </w:pPr>
            <w:r>
              <w:rPr>
                <w:rFonts w:ascii="Arial" w:hAnsi="Arial" w:eastAsia="Microsoft YaHei"/>
                <w:b/>
                <w:color w:val="FFFFFF"/>
                <w:sz w:val="17"/>
              </w:rPr>
              <w:t>Result</w:t>
            </w:r>
          </w:p>
        </w:tc>
        <w:tc>
          <w:tcPr>
            <w:tcW w:type="dxa" w:w="3389"/>
            <w:shd w:fill="0B2D49"/>
            <w:tcMar>
              <w:top w:w="110" w:type="dxa"/>
              <w:start w:w="140" w:type="dxa"/>
              <w:bottom w:w="110" w:type="dxa"/>
              <w:end w:w="140" w:type="dxa"/>
            </w:tcMar>
          </w:tcPr>
          <w:p>
            <w:pPr>
              <w:jc w:val="center"/>
            </w:pPr>
            <w:r>
              <w:rPr>
                <w:rFonts w:ascii="Arial" w:hAnsi="Arial" w:eastAsia="Microsoft YaHei"/>
                <w:b/>
                <w:color w:val="FFFFFF"/>
                <w:sz w:val="17"/>
              </w:rPr>
              <w:t>Interpretation</w:t>
            </w:r>
          </w:p>
        </w:tc>
      </w:tr>
      <w:tr>
        <w:tc>
          <w:tcPr>
            <w:tcW w:type="dxa" w:w="3024"/>
            <w:vAlign w:val="center"/>
            <w:shd w:fill="FFFFFF"/>
            <w:tcMar>
              <w:top w:w="90" w:type="dxa"/>
              <w:start w:w="115" w:type="dxa"/>
              <w:bottom w:w="90" w:type="dxa"/>
              <w:end w:w="115" w:type="dxa"/>
            </w:tcMar>
          </w:tcPr>
          <w:p>
            <w:pPr>
              <w:jc w:val="left"/>
            </w:pPr>
            <w:r>
              <w:rPr>
                <w:rFonts w:ascii="Arial" w:hAnsi="Arial" w:eastAsia="Microsoft YaHei"/>
                <w:b/>
                <w:color w:val="0B2D49"/>
                <w:sz w:val="17"/>
              </w:rPr>
              <w:t>Automated tests</w:t>
            </w:r>
          </w:p>
        </w:tc>
        <w:tc>
          <w:tcPr>
            <w:tcW w:type="dxa" w:w="1872"/>
            <w:vAlign w:val="center"/>
            <w:shd w:fill="FFFFFF"/>
            <w:tcMar>
              <w:top w:w="90" w:type="dxa"/>
              <w:start w:w="115" w:type="dxa"/>
              <w:bottom w:w="90" w:type="dxa"/>
              <w:end w:w="115" w:type="dxa"/>
            </w:tcMar>
          </w:tcPr>
          <w:p>
            <w:pPr>
              <w:jc w:val="center"/>
            </w:pPr>
            <w:r>
              <w:rPr>
                <w:rFonts w:ascii="Arial" w:hAnsi="Arial" w:eastAsia="Microsoft YaHei"/>
                <w:b w:val="0"/>
                <w:color w:val="0B2D49"/>
                <w:sz w:val="17"/>
              </w:rPr>
              <w:t>47 passed</w:t>
            </w:r>
          </w:p>
        </w:tc>
        <w:tc>
          <w:tcPr>
            <w:tcW w:type="dxa" w:w="5112"/>
            <w:vAlign w:val="center"/>
            <w:shd w:fill="FFFFFF"/>
            <w:tcMar>
              <w:top w:w="90" w:type="dxa"/>
              <w:start w:w="115" w:type="dxa"/>
              <w:bottom w:w="90" w:type="dxa"/>
              <w:end w:w="115" w:type="dxa"/>
            </w:tcMar>
          </w:tcPr>
          <w:p>
            <w:pPr>
              <w:jc w:val="center"/>
            </w:pPr>
            <w:r>
              <w:rPr>
                <w:rFonts w:ascii="Arial" w:hAnsi="Arial" w:eastAsia="Microsoft YaHei"/>
                <w:b w:val="0"/>
                <w:color w:val="0B2D49"/>
                <w:sz w:val="17"/>
              </w:rPr>
              <w:t>Core extraction, merge, planning and safety paths</w:t>
            </w:r>
          </w:p>
        </w:tc>
      </w:tr>
      <w:tr>
        <w:tc>
          <w:tcPr>
            <w:tcW w:type="dxa" w:w="3024"/>
            <w:vAlign w:val="center"/>
            <w:shd w:fill="F3F7FA"/>
            <w:tcMar>
              <w:top w:w="90" w:type="dxa"/>
              <w:start w:w="115" w:type="dxa"/>
              <w:bottom w:w="90" w:type="dxa"/>
              <w:end w:w="115" w:type="dxa"/>
            </w:tcMar>
          </w:tcPr>
          <w:p>
            <w:pPr>
              <w:jc w:val="left"/>
            </w:pPr>
            <w:r>
              <w:rPr>
                <w:rFonts w:ascii="Arial" w:hAnsi="Arial" w:eastAsia="Microsoft YaHei"/>
                <w:b/>
                <w:color w:val="0B2D49"/>
                <w:sz w:val="17"/>
              </w:rPr>
              <w:t>Live web-derived cases</w:t>
            </w:r>
          </w:p>
        </w:tc>
        <w:tc>
          <w:tcPr>
            <w:tcW w:type="dxa" w:w="1872"/>
            <w:vAlign w:val="center"/>
            <w:shd w:fill="F3F7FA"/>
            <w:tcMar>
              <w:top w:w="90" w:type="dxa"/>
              <w:start w:w="115" w:type="dxa"/>
              <w:bottom w:w="90" w:type="dxa"/>
              <w:end w:w="115" w:type="dxa"/>
            </w:tcMar>
          </w:tcPr>
          <w:p>
            <w:pPr>
              <w:jc w:val="center"/>
            </w:pPr>
            <w:r>
              <w:rPr>
                <w:rFonts w:ascii="Arial" w:hAnsi="Arial" w:eastAsia="Microsoft YaHei"/>
                <w:b w:val="0"/>
                <w:color w:val="0B2D49"/>
                <w:sz w:val="17"/>
              </w:rPr>
              <w:t>6 / 6 passed</w:t>
            </w:r>
          </w:p>
        </w:tc>
        <w:tc>
          <w:tcPr>
            <w:tcW w:type="dxa" w:w="5112"/>
            <w:vAlign w:val="center"/>
            <w:shd w:fill="F3F7FA"/>
            <w:tcMar>
              <w:top w:w="90" w:type="dxa"/>
              <w:start w:w="115" w:type="dxa"/>
              <w:bottom w:w="90" w:type="dxa"/>
              <w:end w:w="115" w:type="dxa"/>
            </w:tcMar>
          </w:tcPr>
          <w:p>
            <w:pPr>
              <w:jc w:val="center"/>
            </w:pPr>
            <w:r>
              <w:rPr>
                <w:rFonts w:ascii="Arial" w:hAnsi="Arial" w:eastAsia="Microsoft YaHei"/>
                <w:b w:val="0"/>
                <w:color w:val="0B2D49"/>
                <w:sz w:val="17"/>
              </w:rPr>
              <w:t>Current model handled the selected edge cases</w:t>
            </w:r>
          </w:p>
        </w:tc>
      </w:tr>
      <w:tr>
        <w:tc>
          <w:tcPr>
            <w:tcW w:type="dxa" w:w="3024"/>
            <w:vAlign w:val="center"/>
            <w:shd w:fill="FFFFFF"/>
            <w:tcMar>
              <w:top w:w="90" w:type="dxa"/>
              <w:start w:w="115" w:type="dxa"/>
              <w:bottom w:w="90" w:type="dxa"/>
              <w:end w:w="115" w:type="dxa"/>
            </w:tcMar>
          </w:tcPr>
          <w:p>
            <w:pPr>
              <w:jc w:val="left"/>
            </w:pPr>
            <w:r>
              <w:rPr>
                <w:rFonts w:ascii="Arial" w:hAnsi="Arial" w:eastAsia="Microsoft YaHei"/>
                <w:b/>
                <w:color w:val="0B2D49"/>
                <w:sz w:val="17"/>
              </w:rPr>
              <w:t>Cross-email final state</w:t>
            </w:r>
          </w:p>
        </w:tc>
        <w:tc>
          <w:tcPr>
            <w:tcW w:type="dxa" w:w="1872"/>
            <w:vAlign w:val="center"/>
            <w:shd w:fill="FFFFFF"/>
            <w:tcMar>
              <w:top w:w="90" w:type="dxa"/>
              <w:start w:w="115" w:type="dxa"/>
              <w:bottom w:w="90" w:type="dxa"/>
              <w:end w:w="115" w:type="dxa"/>
            </w:tcMar>
          </w:tcPr>
          <w:p>
            <w:pPr>
              <w:jc w:val="center"/>
            </w:pPr>
            <w:r>
              <w:rPr>
                <w:rFonts w:ascii="Arial" w:hAnsi="Arial" w:eastAsia="Microsoft YaHei"/>
                <w:b w:val="0"/>
                <w:color w:val="0B2D49"/>
                <w:sz w:val="17"/>
              </w:rPr>
              <w:t>8 / 8</w:t>
            </w:r>
          </w:p>
        </w:tc>
        <w:tc>
          <w:tcPr>
            <w:tcW w:type="dxa" w:w="5112"/>
            <w:vAlign w:val="center"/>
            <w:shd w:fill="FFFFFF"/>
            <w:tcMar>
              <w:top w:w="90" w:type="dxa"/>
              <w:start w:w="115" w:type="dxa"/>
              <w:bottom w:w="90" w:type="dxa"/>
              <w:end w:w="115" w:type="dxa"/>
            </w:tcMar>
          </w:tcPr>
          <w:p>
            <w:pPr>
              <w:jc w:val="center"/>
            </w:pPr>
            <w:r>
              <w:rPr>
                <w:rFonts w:ascii="Arial" w:hAnsi="Arial" w:eastAsia="Microsoft YaHei"/>
                <w:b w:val="0"/>
                <w:color w:val="0B2D49"/>
                <w:sz w:val="17"/>
              </w:rPr>
              <w:t>All development chains reached the expected latest state</w:t>
            </w:r>
          </w:p>
        </w:tc>
      </w:tr>
      <w:tr>
        <w:tc>
          <w:tcPr>
            <w:tcW w:type="dxa" w:w="3024"/>
            <w:vAlign w:val="center"/>
            <w:shd w:fill="F3F7FA"/>
            <w:tcMar>
              <w:top w:w="90" w:type="dxa"/>
              <w:start w:w="115" w:type="dxa"/>
              <w:bottom w:w="90" w:type="dxa"/>
              <w:end w:w="115" w:type="dxa"/>
            </w:tcMar>
          </w:tcPr>
          <w:p>
            <w:pPr>
              <w:jc w:val="left"/>
            </w:pPr>
            <w:r>
              <w:rPr>
                <w:rFonts w:ascii="Arial" w:hAnsi="Arial" w:eastAsia="Microsoft YaHei"/>
                <w:b/>
                <w:color w:val="0B2D49"/>
                <w:sz w:val="17"/>
              </w:rPr>
              <w:t>Unauthorized calendar writes</w:t>
            </w:r>
          </w:p>
        </w:tc>
        <w:tc>
          <w:tcPr>
            <w:tcW w:type="dxa" w:w="1872"/>
            <w:vAlign w:val="center"/>
            <w:shd w:fill="F3F7FA"/>
            <w:tcMar>
              <w:top w:w="90" w:type="dxa"/>
              <w:start w:w="115" w:type="dxa"/>
              <w:bottom w:w="90" w:type="dxa"/>
              <w:end w:w="115" w:type="dxa"/>
            </w:tcMar>
          </w:tcPr>
          <w:p>
            <w:pPr>
              <w:jc w:val="center"/>
            </w:pPr>
            <w:r>
              <w:rPr>
                <w:rFonts w:ascii="Arial" w:hAnsi="Arial" w:eastAsia="Microsoft YaHei"/>
                <w:b w:val="0"/>
                <w:color w:val="0B2D49"/>
                <w:sz w:val="17"/>
              </w:rPr>
              <w:t>0</w:t>
            </w:r>
          </w:p>
        </w:tc>
        <w:tc>
          <w:tcPr>
            <w:tcW w:type="dxa" w:w="5112"/>
            <w:vAlign w:val="center"/>
            <w:shd w:fill="F3F7FA"/>
            <w:tcMar>
              <w:top w:w="90" w:type="dxa"/>
              <w:start w:w="115" w:type="dxa"/>
              <w:bottom w:w="90" w:type="dxa"/>
              <w:end w:w="115" w:type="dxa"/>
            </w:tcMar>
          </w:tcPr>
          <w:p>
            <w:pPr>
              <w:jc w:val="center"/>
            </w:pPr>
            <w:r>
              <w:rPr>
                <w:rFonts w:ascii="Arial" w:hAnsi="Arial" w:eastAsia="Microsoft YaHei"/>
                <w:b w:val="0"/>
                <w:color w:val="0B2D49"/>
                <w:sz w:val="17"/>
              </w:rPr>
              <w:t>Approval gate blocked unconfirmed external action</w:t>
            </w:r>
          </w:p>
        </w:tc>
      </w:tr>
    </w:tbl>
    <w:p>
      <w:pPr>
        <w:spacing w:after="120" w:line="269" w:lineRule="auto"/>
      </w:pPr>
      <w:r>
        <w:rPr>
          <w:rFonts w:ascii="Arial" w:hAnsi="Arial" w:eastAsia="Microsoft YaHei"/>
          <w:b w:val="0"/>
          <w:color w:val="0B2D49"/>
          <w:sz w:val="20"/>
        </w:rPr>
        <w:t>The pipeline improves strongly on the keyword-and-date baseline for task type, calendar action and cross-email merging. These figures support the design direction, but they remain development evidence because the labels are not yet frozen and the data is synthetic. The evaluation preserves the denominator for each capability and avoids presenting one blended accuracy score.</w:t>
      </w:r>
    </w:p>
    <w:p>
      <w:r>
        <w:br w:type="page"/>
      </w:r>
    </w:p>
    <w:p>
      <w:pPr>
        <w:keepNext/>
        <w:spacing w:before="200" w:after="80"/>
      </w:pPr>
      <w:r>
        <w:rPr>
          <w:rFonts w:ascii="Arial" w:hAnsi="Arial" w:eastAsia="Microsoft YaHei"/>
          <w:b/>
          <w:color w:val="0B2D49"/>
          <w:sz w:val="30"/>
        </w:rPr>
        <w:t>Risks and implemented controls</w:t>
      </w:r>
    </w:p>
    <w:tbl>
      <w:tblPr>
        <w:tblW w:type="auto" w:w="0"/>
        <w:jc w:val="center"/>
        <w:tblLayout w:type="fixed"/>
        <w:tblLook w:firstColumn="1" w:firstRow="1" w:lastColumn="0" w:lastRow="0" w:noHBand="0" w:noVBand="1" w:val="04A0"/>
      </w:tblPr>
      <w:tblGrid>
        <w:gridCol w:w="2376"/>
        <w:gridCol w:w="4464"/>
        <w:gridCol w:w="3168"/>
      </w:tblGrid>
      <w:tr>
        <w:tc>
          <w:tcPr>
            <w:tcW w:type="dxa" w:w="3389"/>
            <w:shd w:fill="0B2D49"/>
            <w:tcMar>
              <w:top w:w="110" w:type="dxa"/>
              <w:start w:w="140" w:type="dxa"/>
              <w:bottom w:w="110" w:type="dxa"/>
              <w:end w:w="140" w:type="dxa"/>
            </w:tcMar>
          </w:tcPr>
          <w:p>
            <w:pPr>
              <w:jc w:val="left"/>
            </w:pPr>
            <w:r>
              <w:rPr>
                <w:rFonts w:ascii="Arial" w:hAnsi="Arial" w:eastAsia="Microsoft YaHei"/>
                <w:b/>
                <w:color w:val="FFFFFF"/>
                <w:sz w:val="17"/>
              </w:rPr>
              <w:t>Risk</w:t>
            </w:r>
          </w:p>
        </w:tc>
        <w:tc>
          <w:tcPr>
            <w:tcW w:type="dxa" w:w="3389"/>
            <w:shd w:fill="0B2D49"/>
            <w:tcMar>
              <w:top w:w="110" w:type="dxa"/>
              <w:start w:w="140" w:type="dxa"/>
              <w:bottom w:w="110" w:type="dxa"/>
              <w:end w:w="140" w:type="dxa"/>
            </w:tcMar>
          </w:tcPr>
          <w:p>
            <w:pPr>
              <w:jc w:val="center"/>
            </w:pPr>
            <w:r>
              <w:rPr>
                <w:rFonts w:ascii="Arial" w:hAnsi="Arial" w:eastAsia="Microsoft YaHei"/>
                <w:b/>
                <w:color w:val="FFFFFF"/>
                <w:sz w:val="17"/>
              </w:rPr>
              <w:t>Implemented control</w:t>
            </w:r>
          </w:p>
        </w:tc>
        <w:tc>
          <w:tcPr>
            <w:tcW w:type="dxa" w:w="3389"/>
            <w:shd w:fill="0B2D49"/>
            <w:tcMar>
              <w:top w:w="110" w:type="dxa"/>
              <w:start w:w="140" w:type="dxa"/>
              <w:bottom w:w="110" w:type="dxa"/>
              <w:end w:w="140" w:type="dxa"/>
            </w:tcMar>
          </w:tcPr>
          <w:p>
            <w:pPr>
              <w:jc w:val="center"/>
            </w:pPr>
            <w:r>
              <w:rPr>
                <w:rFonts w:ascii="Arial" w:hAnsi="Arial" w:eastAsia="Microsoft YaHei"/>
                <w:b/>
                <w:color w:val="FFFFFF"/>
                <w:sz w:val="17"/>
              </w:rPr>
              <w:t>Remaining limitation</w:t>
            </w:r>
          </w:p>
        </w:tc>
      </w:tr>
      <w:tr>
        <w:tc>
          <w:tcPr>
            <w:tcW w:type="dxa" w:w="2376"/>
            <w:vAlign w:val="center"/>
            <w:shd w:fill="FFFFFF"/>
            <w:tcMar>
              <w:top w:w="90" w:type="dxa"/>
              <w:start w:w="115" w:type="dxa"/>
              <w:bottom w:w="90" w:type="dxa"/>
              <w:end w:w="115" w:type="dxa"/>
            </w:tcMar>
          </w:tcPr>
          <w:p>
            <w:pPr>
              <w:jc w:val="left"/>
            </w:pPr>
            <w:r>
              <w:rPr>
                <w:rFonts w:ascii="Arial" w:hAnsi="Arial" w:eastAsia="Microsoft YaHei"/>
                <w:b/>
                <w:color w:val="0B2D49"/>
                <w:sz w:val="17"/>
              </w:rPr>
              <w:t>Wrong or obsolete deadline</w:t>
            </w:r>
          </w:p>
        </w:tc>
        <w:tc>
          <w:tcPr>
            <w:tcW w:type="dxa" w:w="4464"/>
            <w:vAlign w:val="center"/>
            <w:shd w:fill="FFFFFF"/>
            <w:tcMar>
              <w:top w:w="90" w:type="dxa"/>
              <w:start w:w="115" w:type="dxa"/>
              <w:bottom w:w="90" w:type="dxa"/>
              <w:end w:w="115" w:type="dxa"/>
            </w:tcMar>
          </w:tcPr>
          <w:p>
            <w:pPr>
              <w:jc w:val="center"/>
            </w:pPr>
            <w:r>
              <w:rPr>
                <w:rFonts w:ascii="Arial" w:hAnsi="Arial" w:eastAsia="Microsoft YaHei"/>
                <w:b w:val="0"/>
                <w:color w:val="0B2D49"/>
                <w:sz w:val="17"/>
              </w:rPr>
              <w:t>Exact evidence, thread history and later-update merge</w:t>
            </w:r>
          </w:p>
        </w:tc>
        <w:tc>
          <w:tcPr>
            <w:tcW w:type="dxa" w:w="3168"/>
            <w:vAlign w:val="center"/>
            <w:shd w:fill="FFFFFF"/>
            <w:tcMar>
              <w:top w:w="90" w:type="dxa"/>
              <w:start w:w="115" w:type="dxa"/>
              <w:bottom w:w="90" w:type="dxa"/>
              <w:end w:w="115" w:type="dxa"/>
            </w:tcMar>
          </w:tcPr>
          <w:p>
            <w:pPr>
              <w:jc w:val="center"/>
            </w:pPr>
            <w:r>
              <w:rPr>
                <w:rFonts w:ascii="Arial" w:hAnsi="Arial" w:eastAsia="Microsoft YaHei"/>
                <w:b w:val="0"/>
                <w:color w:val="0B2D49"/>
                <w:sz w:val="17"/>
              </w:rPr>
              <w:t>Ambiguous language can still require clarification</w:t>
            </w:r>
          </w:p>
        </w:tc>
      </w:tr>
      <w:tr>
        <w:tc>
          <w:tcPr>
            <w:tcW w:type="dxa" w:w="2376"/>
            <w:vAlign w:val="center"/>
            <w:shd w:fill="F3F7FA"/>
            <w:tcMar>
              <w:top w:w="90" w:type="dxa"/>
              <w:start w:w="115" w:type="dxa"/>
              <w:bottom w:w="90" w:type="dxa"/>
              <w:end w:w="115" w:type="dxa"/>
            </w:tcMar>
          </w:tcPr>
          <w:p>
            <w:pPr>
              <w:jc w:val="left"/>
            </w:pPr>
            <w:r>
              <w:rPr>
                <w:rFonts w:ascii="Arial" w:hAnsi="Arial" w:eastAsia="Microsoft YaHei"/>
                <w:b/>
                <w:color w:val="0B2D49"/>
                <w:sz w:val="17"/>
              </w:rPr>
              <w:t>Unsafe calendar action</w:t>
            </w:r>
          </w:p>
        </w:tc>
        <w:tc>
          <w:tcPr>
            <w:tcW w:type="dxa" w:w="4464"/>
            <w:vAlign w:val="center"/>
            <w:shd w:fill="F3F7FA"/>
            <w:tcMar>
              <w:top w:w="90" w:type="dxa"/>
              <w:start w:w="115" w:type="dxa"/>
              <w:bottom w:w="90" w:type="dxa"/>
              <w:end w:w="115" w:type="dxa"/>
            </w:tcMar>
          </w:tcPr>
          <w:p>
            <w:pPr>
              <w:jc w:val="center"/>
            </w:pPr>
            <w:r>
              <w:rPr>
                <w:rFonts w:ascii="Arial" w:hAnsi="Arial" w:eastAsia="Microsoft YaHei"/>
                <w:b w:val="0"/>
                <w:color w:val="0B2D49"/>
                <w:sz w:val="17"/>
              </w:rPr>
              <w:t>Preview, expiry check, deduplication and human approval</w:t>
            </w:r>
          </w:p>
        </w:tc>
        <w:tc>
          <w:tcPr>
            <w:tcW w:type="dxa" w:w="3168"/>
            <w:vAlign w:val="center"/>
            <w:shd w:fill="F3F7FA"/>
            <w:tcMar>
              <w:top w:w="90" w:type="dxa"/>
              <w:start w:w="115" w:type="dxa"/>
              <w:bottom w:w="90" w:type="dxa"/>
              <w:end w:w="115" w:type="dxa"/>
            </w:tcMar>
          </w:tcPr>
          <w:p>
            <w:pPr>
              <w:jc w:val="center"/>
            </w:pPr>
            <w:r>
              <w:rPr>
                <w:rFonts w:ascii="Arial" w:hAnsi="Arial" w:eastAsia="Microsoft YaHei"/>
                <w:b w:val="0"/>
                <w:color w:val="0B2D49"/>
                <w:sz w:val="17"/>
              </w:rPr>
              <w:t>User may approve an incorrect proposal</w:t>
            </w:r>
          </w:p>
        </w:tc>
      </w:tr>
      <w:tr>
        <w:tc>
          <w:tcPr>
            <w:tcW w:type="dxa" w:w="2376"/>
            <w:vAlign w:val="center"/>
            <w:shd w:fill="FFFFFF"/>
            <w:tcMar>
              <w:top w:w="90" w:type="dxa"/>
              <w:start w:w="115" w:type="dxa"/>
              <w:bottom w:w="90" w:type="dxa"/>
              <w:end w:w="115" w:type="dxa"/>
            </w:tcMar>
          </w:tcPr>
          <w:p>
            <w:pPr>
              <w:jc w:val="left"/>
            </w:pPr>
            <w:r>
              <w:rPr>
                <w:rFonts w:ascii="Arial" w:hAnsi="Arial" w:eastAsia="Microsoft YaHei"/>
                <w:b/>
                <w:color w:val="0B2D49"/>
                <w:sz w:val="17"/>
              </w:rPr>
              <w:t>Privacy exposure</w:t>
            </w:r>
          </w:p>
        </w:tc>
        <w:tc>
          <w:tcPr>
            <w:tcW w:type="dxa" w:w="4464"/>
            <w:vAlign w:val="center"/>
            <w:shd w:fill="FFFFFF"/>
            <w:tcMar>
              <w:top w:w="90" w:type="dxa"/>
              <w:start w:w="115" w:type="dxa"/>
              <w:bottom w:w="90" w:type="dxa"/>
              <w:end w:w="115" w:type="dxa"/>
            </w:tcMar>
          </w:tcPr>
          <w:p>
            <w:pPr>
              <w:jc w:val="center"/>
            </w:pPr>
            <w:r>
              <w:rPr>
                <w:rFonts w:ascii="Arial" w:hAnsi="Arial" w:eastAsia="Microsoft YaHei"/>
                <w:b w:val="0"/>
                <w:color w:val="0B2D49"/>
                <w:sz w:val="17"/>
              </w:rPr>
              <w:t>Course filtering, narrow OAuth and minimal structured storage</w:t>
            </w:r>
          </w:p>
        </w:tc>
        <w:tc>
          <w:tcPr>
            <w:tcW w:type="dxa" w:w="3168"/>
            <w:vAlign w:val="center"/>
            <w:shd w:fill="FFFFFF"/>
            <w:tcMar>
              <w:top w:w="90" w:type="dxa"/>
              <w:start w:w="115" w:type="dxa"/>
              <w:bottom w:w="90" w:type="dxa"/>
              <w:end w:w="115" w:type="dxa"/>
            </w:tcMar>
          </w:tcPr>
          <w:p>
            <w:pPr>
              <w:jc w:val="center"/>
            </w:pPr>
            <w:r>
              <w:rPr>
                <w:rFonts w:ascii="Arial" w:hAnsi="Arial" w:eastAsia="Microsoft YaHei"/>
                <w:b w:val="0"/>
                <w:color w:val="0B2D49"/>
                <w:sz w:val="17"/>
              </w:rPr>
              <w:t>External providers still process selected content</w:t>
            </w:r>
          </w:p>
        </w:tc>
      </w:tr>
      <w:tr>
        <w:tc>
          <w:tcPr>
            <w:tcW w:type="dxa" w:w="2376"/>
            <w:vAlign w:val="center"/>
            <w:shd w:fill="F3F7FA"/>
            <w:tcMar>
              <w:top w:w="90" w:type="dxa"/>
              <w:start w:w="115" w:type="dxa"/>
              <w:bottom w:w="90" w:type="dxa"/>
              <w:end w:w="115" w:type="dxa"/>
            </w:tcMar>
          </w:tcPr>
          <w:p>
            <w:pPr>
              <w:jc w:val="left"/>
            </w:pPr>
            <w:r>
              <w:rPr>
                <w:rFonts w:ascii="Arial" w:hAnsi="Arial" w:eastAsia="Microsoft YaHei"/>
                <w:b/>
                <w:color w:val="0B2D49"/>
                <w:sz w:val="17"/>
              </w:rPr>
              <w:t>Provider failure</w:t>
            </w:r>
          </w:p>
        </w:tc>
        <w:tc>
          <w:tcPr>
            <w:tcW w:type="dxa" w:w="4464"/>
            <w:vAlign w:val="center"/>
            <w:shd w:fill="F3F7FA"/>
            <w:tcMar>
              <w:top w:w="90" w:type="dxa"/>
              <w:start w:w="115" w:type="dxa"/>
              <w:bottom w:w="90" w:type="dxa"/>
              <w:end w:w="115" w:type="dxa"/>
            </w:tcMar>
          </w:tcPr>
          <w:p>
            <w:pPr>
              <w:jc w:val="center"/>
            </w:pPr>
            <w:r>
              <w:rPr>
                <w:rFonts w:ascii="Arial" w:hAnsi="Arial" w:eastAsia="Microsoft YaHei"/>
                <w:b w:val="0"/>
                <w:color w:val="0B2D49"/>
                <w:sz w:val="17"/>
              </w:rPr>
              <w:t>Replaceable model configuration and deterministic fallback paths</w:t>
            </w:r>
          </w:p>
        </w:tc>
        <w:tc>
          <w:tcPr>
            <w:tcW w:type="dxa" w:w="3168"/>
            <w:vAlign w:val="center"/>
            <w:shd w:fill="F3F7FA"/>
            <w:tcMar>
              <w:top w:w="90" w:type="dxa"/>
              <w:start w:w="115" w:type="dxa"/>
              <w:bottom w:w="90" w:type="dxa"/>
              <w:end w:w="115" w:type="dxa"/>
            </w:tcMar>
          </w:tcPr>
          <w:p>
            <w:pPr>
              <w:jc w:val="center"/>
            </w:pPr>
            <w:r>
              <w:rPr>
                <w:rFonts w:ascii="Arial" w:hAnsi="Arial" w:eastAsia="Microsoft YaHei"/>
                <w:b w:val="0"/>
                <w:color w:val="0B2D49"/>
                <w:sz w:val="17"/>
              </w:rPr>
              <w:t>Quality may change across providers</w:t>
            </w:r>
          </w:p>
        </w:tc>
      </w:tr>
      <w:tr>
        <w:tc>
          <w:tcPr>
            <w:tcW w:type="dxa" w:w="2376"/>
            <w:vAlign w:val="center"/>
            <w:shd w:fill="FFFFFF"/>
            <w:tcMar>
              <w:top w:w="90" w:type="dxa"/>
              <w:start w:w="115" w:type="dxa"/>
              <w:bottom w:w="90" w:type="dxa"/>
              <w:end w:w="115" w:type="dxa"/>
            </w:tcMar>
          </w:tcPr>
          <w:p>
            <w:pPr>
              <w:jc w:val="left"/>
            </w:pPr>
            <w:r>
              <w:rPr>
                <w:rFonts w:ascii="Arial" w:hAnsi="Arial" w:eastAsia="Microsoft YaHei"/>
                <w:b/>
                <w:color w:val="0B2D49"/>
                <w:sz w:val="17"/>
              </w:rPr>
              <w:t>Overstated evaluation</w:t>
            </w:r>
          </w:p>
        </w:tc>
        <w:tc>
          <w:tcPr>
            <w:tcW w:type="dxa" w:w="4464"/>
            <w:vAlign w:val="center"/>
            <w:shd w:fill="FFFFFF"/>
            <w:tcMar>
              <w:top w:w="90" w:type="dxa"/>
              <w:start w:w="115" w:type="dxa"/>
              <w:bottom w:w="90" w:type="dxa"/>
              <w:end w:w="115" w:type="dxa"/>
            </w:tcMar>
          </w:tcPr>
          <w:p>
            <w:pPr>
              <w:jc w:val="center"/>
            </w:pPr>
            <w:r>
              <w:rPr>
                <w:rFonts w:ascii="Arial" w:hAnsi="Arial" w:eastAsia="Microsoft YaHei"/>
                <w:b w:val="0"/>
                <w:color w:val="0B2D49"/>
                <w:sz w:val="17"/>
              </w:rPr>
              <w:t>Capability counts, fixed denominators and draft-label disclosure</w:t>
            </w:r>
          </w:p>
        </w:tc>
        <w:tc>
          <w:tcPr>
            <w:tcW w:type="dxa" w:w="3168"/>
            <w:vAlign w:val="center"/>
            <w:shd w:fill="FFFFFF"/>
            <w:tcMar>
              <w:top w:w="90" w:type="dxa"/>
              <w:start w:w="115" w:type="dxa"/>
              <w:bottom w:w="90" w:type="dxa"/>
              <w:end w:w="115" w:type="dxa"/>
            </w:tcMar>
          </w:tcPr>
          <w:p>
            <w:pPr>
              <w:jc w:val="center"/>
            </w:pPr>
            <w:r>
              <w:rPr>
                <w:rFonts w:ascii="Arial" w:hAnsi="Arial" w:eastAsia="Microsoft YaHei"/>
                <w:b w:val="0"/>
                <w:color w:val="0B2D49"/>
                <w:sz w:val="17"/>
              </w:rPr>
              <w:t>Synthetic data cannot prove generalization</w:t>
            </w:r>
          </w:p>
        </w:tc>
      </w:tr>
    </w:tbl>
    <w:p>
      <w:pPr>
        <w:keepNext/>
        <w:spacing w:before="200" w:after="80"/>
      </w:pPr>
      <w:r>
        <w:rPr>
          <w:rFonts w:ascii="Arial" w:hAnsi="Arial" w:eastAsia="Microsoft YaHei"/>
          <w:b/>
          <w:color w:val="0B2D49"/>
          <w:sz w:val="30"/>
        </w:rPr>
        <w:t>Limitations and next evidence</w:t>
      </w:r>
    </w:p>
    <w:p>
      <w:pPr>
        <w:spacing w:after="120" w:line="269" w:lineRule="auto"/>
      </w:pPr>
      <w:r>
        <w:rPr>
          <w:rFonts w:ascii="Arial" w:hAnsi="Arial" w:eastAsia="Microsoft YaHei"/>
          <w:b w:val="0"/>
          <w:color w:val="0B2D49"/>
          <w:sz w:val="20"/>
        </w:rPr>
        <w:t>The dataset is synthetic, its holdout was generated by the same process, and only eight threads test cross-email reasoning. Six live cases are useful for integration testing but too small for a performance claim. A final evaluation should freeze human-reviewed labels, run one fixed model and prompt over all cases, preserve raw outputs and token logs, calculate dated cost per email and thread, and report residual errors without tuning on the test split.</w:t>
      </w:r>
    </w:p>
    <w:p>
      <w:pPr>
        <w:keepNext/>
        <w:spacing w:before="200" w:after="80"/>
      </w:pPr>
      <w:r>
        <w:rPr>
          <w:rFonts w:ascii="Arial" w:hAnsi="Arial" w:eastAsia="Microsoft YaHei"/>
          <w:b/>
          <w:color w:val="0B2D49"/>
          <w:sz w:val="30"/>
        </w:rPr>
        <w:t>Conclusion</w:t>
      </w:r>
    </w:p>
    <w:p>
      <w:pPr>
        <w:spacing w:after="120" w:line="269" w:lineRule="auto"/>
      </w:pPr>
      <w:r>
        <w:rPr>
          <w:rFonts w:ascii="Arial" w:hAnsi="Arial" w:eastAsia="Microsoft YaHei"/>
          <w:b w:val="0"/>
          <w:color w:val="0B2D49"/>
          <w:sz w:val="20"/>
        </w:rPr>
        <w:t>AI Scroll demonstrates a practical boundary for an academic email Agent. The model handles language, while deterministic code protects dates, history, duplication and approval. The product reduces manual consolidation without removing student control. The current prototype is strong enough to demonstrate the end-to-end workflow; broader real-email evaluation and privacy review are required before deployment.</w:t>
      </w:r>
    </w:p>
    <w:tbl>
      <w:tblPr>
        <w:tblW w:type="auto" w:w="0"/>
        <w:jc w:val="center"/>
        <w:tblLook w:firstColumn="1" w:firstRow="1" w:lastColumn="0" w:lastRow="0" w:noHBand="0" w:noVBand="1" w:val="04A0"/>
      </w:tblPr>
      <w:tblGrid>
        <w:gridCol w:w="10166"/>
      </w:tblGrid>
      <w:tr>
        <w:tc>
          <w:tcPr>
            <w:tcW w:type="dxa" w:w="10166"/>
            <w:shd w:fill="E6F6F3"/>
            <w:tcMar>
              <w:top w:w="180" w:type="dxa"/>
              <w:start w:w="190" w:type="dxa"/>
              <w:bottom w:w="180" w:type="dxa"/>
              <w:end w:w="190" w:type="dxa"/>
            </w:tcMar>
          </w:tcPr>
          <w:p>
            <w:r>
              <w:rPr>
                <w:rFonts w:ascii="Arial" w:hAnsi="Arial" w:eastAsia="Microsoft YaHei"/>
                <w:b/>
                <w:color w:val="119E96"/>
                <w:sz w:val="18"/>
              </w:rPr>
              <w:t>RECOMMENDATION</w:t>
              <w:br/>
            </w:r>
            <w:r>
              <w:rPr>
                <w:rFonts w:ascii="Arial" w:hAnsi="Arial" w:eastAsia="Microsoft YaHei"/>
                <w:b/>
                <w:color w:val="0B2D49"/>
                <w:sz w:val="22"/>
              </w:rPr>
              <w:t>Submit the current prototype as an evidence-backed course project and position real-world deployment as the next validated stage.</w:t>
            </w:r>
          </w:p>
        </w:tc>
      </w:tr>
    </w:tbl>
    <w:sectPr w:rsidR="00FC693F" w:rsidRPr="0006063C" w:rsidSect="00034616">
      <w:footerReference w:type="default" r:id="rId11"/>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color w:val="60748A"/>
        <w:sz w:val="16"/>
      </w:rPr>
      <w:t xml:space="preserve">AI Scroll  ·  PE6201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B2D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Scroll Business and Technical Trade-off Analysis</dc:title>
  <dc:subject>PE6201 End-of-Course Project</dc:subject>
  <dc:creator>Wang Chen Yu Jason</dc:creator>
  <cp:keywords/>
  <dc:description>generated by python-docx</dc:description>
  <cp:lastModifiedBy/>
  <cp:revision>1</cp:revision>
  <dcterms:created xsi:type="dcterms:W3CDTF">2013-12-23T23:15:00Z</dcterms:created>
  <dcterms:modified xsi:type="dcterms:W3CDTF">2013-12-23T23:15:00Z</dcterms:modified>
  <cp:category/>
</cp:coreProperties>
</file>