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AI Scroll Project Feedback Revision Plan</w:t>
      </w:r>
    </w:p>
    <w:p>
      <w:pPr>
        <w:spacing w:after="240"/>
      </w:pPr>
      <w:r>
        <w:rPr>
          <w:b/>
          <w:color w:val="1F4E78"/>
          <w:sz w:val="22"/>
        </w:rPr>
        <w:t>PE6201 End of Course Project  |  Wang Chen Yu  |  Jason</w:t>
      </w:r>
    </w:p>
    <w:p>
      <w:r>
        <w:rPr>
          <w:b/>
        </w:rPr>
        <w:t xml:space="preserve">Main decision  </w:t>
      </w:r>
      <w:r>
        <w:t>Keep the AI Scroll topic and the confirmation-first calendar workflow. The instructor's feedback does not require a new topic. The final submission must strengthen the evidence: count the multi-email chains, evaluate each task separately, define independent priority labels, and report operating cost per email.</w:t>
      </w:r>
    </w:p>
    <w:p>
      <w:pPr>
        <w:pStyle w:val="Heading1"/>
        <w:keepNext/>
      </w:pPr>
      <w:r>
        <w:t>1  What the instructor feedback changes</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3"/>
        <w:gridCol w:w="2493"/>
        <w:gridCol w:w="2493"/>
        <w:gridCol w:w="2493"/>
      </w:tblGrid>
      <w:tr>
        <w:trPr>
          <w:tblHeader w:val="true"/>
          <w:cantSplit/>
        </w:trPr>
        <w:tc>
          <w:tcPr>
            <w:tcW w:type="dxa" w:w="1361"/>
            <w:shd w:fill="1F4E78"/>
            <w:tcMar>
              <w:top w:w="110" w:type="dxa"/>
              <w:start w:w="120" w:type="dxa"/>
              <w:bottom w:w="110" w:type="dxa"/>
              <w:end w:w="120" w:type="dxa"/>
            </w:tcMar>
            <w:vAlign w:val="center"/>
          </w:tcPr>
          <w:p>
            <w:pPr>
              <w:jc w:val="center"/>
            </w:pPr>
            <w:r>
              <w:rPr>
                <w:b/>
                <w:color w:val="FFFFFF"/>
                <w:sz w:val="18"/>
              </w:rPr>
              <w:t>Area</w:t>
            </w:r>
          </w:p>
        </w:tc>
        <w:tc>
          <w:tcPr>
            <w:tcW w:type="dxa" w:w="2268"/>
            <w:shd w:fill="1F4E78"/>
            <w:tcMar>
              <w:top w:w="110" w:type="dxa"/>
              <w:start w:w="120" w:type="dxa"/>
              <w:bottom w:w="110" w:type="dxa"/>
              <w:end w:w="120" w:type="dxa"/>
            </w:tcMar>
            <w:vAlign w:val="center"/>
          </w:tcPr>
          <w:p>
            <w:pPr>
              <w:jc w:val="center"/>
            </w:pPr>
            <w:r>
              <w:rPr>
                <w:b/>
                <w:color w:val="FFFFFF"/>
                <w:sz w:val="18"/>
              </w:rPr>
              <w:t>Current issue</w:t>
            </w:r>
          </w:p>
        </w:tc>
        <w:tc>
          <w:tcPr>
            <w:tcW w:type="dxa" w:w="2948"/>
            <w:shd w:fill="1F4E78"/>
            <w:tcMar>
              <w:top w:w="110" w:type="dxa"/>
              <w:start w:w="120" w:type="dxa"/>
              <w:bottom w:w="110" w:type="dxa"/>
              <w:end w:w="120" w:type="dxa"/>
            </w:tcMar>
            <w:vAlign w:val="center"/>
          </w:tcPr>
          <w:p>
            <w:pPr>
              <w:jc w:val="center"/>
            </w:pPr>
            <w:r>
              <w:rPr>
                <w:b/>
                <w:color w:val="FFFFFF"/>
                <w:sz w:val="18"/>
              </w:rPr>
              <w:t>Required revision</w:t>
            </w:r>
          </w:p>
        </w:tc>
        <w:tc>
          <w:tcPr>
            <w:tcW w:type="dxa" w:w="2665"/>
            <w:shd w:fill="1F4E78"/>
            <w:tcMar>
              <w:top w:w="110" w:type="dxa"/>
              <w:start w:w="120" w:type="dxa"/>
              <w:bottom w:w="110" w:type="dxa"/>
              <w:end w:w="120" w:type="dxa"/>
            </w:tcMar>
            <w:vAlign w:val="center"/>
          </w:tcPr>
          <w:p>
            <w:pPr>
              <w:jc w:val="center"/>
            </w:pPr>
            <w:r>
              <w:rPr>
                <w:b/>
                <w:color w:val="FFFFFF"/>
                <w:sz w:val="18"/>
              </w:rPr>
              <w:t>Evidence to show</w:t>
            </w:r>
          </w:p>
        </w:tc>
      </w:tr>
      <w:tr>
        <w:trPr>
          <w:cantSplit/>
        </w:trPr>
        <w:tc>
          <w:tcPr>
            <w:tcW w:type="dxa" w:w="1361"/>
            <w:tcMar>
              <w:top w:w="110" w:type="dxa"/>
              <w:start w:w="120" w:type="dxa"/>
              <w:bottom w:w="110" w:type="dxa"/>
              <w:end w:w="120" w:type="dxa"/>
            </w:tcMar>
            <w:vAlign w:val="center"/>
          </w:tcPr>
          <w:p>
            <w:pPr>
              <w:jc w:val="left"/>
            </w:pPr>
            <w:r>
              <w:rPr>
                <w:sz w:val="17"/>
              </w:rPr>
              <w:t>Core design</w:t>
            </w:r>
          </w:p>
        </w:tc>
        <w:tc>
          <w:tcPr>
            <w:tcW w:type="dxa" w:w="2268"/>
            <w:tcMar>
              <w:top w:w="110" w:type="dxa"/>
              <w:start w:w="120" w:type="dxa"/>
              <w:bottom w:w="110" w:type="dxa"/>
              <w:end w:w="120" w:type="dxa"/>
            </w:tcMar>
            <w:vAlign w:val="center"/>
          </w:tcPr>
          <w:p>
            <w:pPr>
              <w:jc w:val="left"/>
            </w:pPr>
            <w:r>
              <w:rPr>
                <w:sz w:val="17"/>
              </w:rPr>
              <w:t>The scope is broad, but the safety decision is sound.</w:t>
            </w:r>
          </w:p>
        </w:tc>
        <w:tc>
          <w:tcPr>
            <w:tcW w:type="dxa" w:w="2948"/>
            <w:tcMar>
              <w:top w:w="110" w:type="dxa"/>
              <w:start w:w="120" w:type="dxa"/>
              <w:bottom w:w="110" w:type="dxa"/>
              <w:end w:w="120" w:type="dxa"/>
            </w:tcMar>
            <w:vAlign w:val="center"/>
          </w:tcPr>
          <w:p>
            <w:pPr>
              <w:jc w:val="left"/>
            </w:pPr>
            <w:r>
              <w:rPr>
                <w:sz w:val="17"/>
              </w:rPr>
              <w:t>Keep evidence display and explicit confirmation before calendar writes.</w:t>
            </w:r>
          </w:p>
        </w:tc>
        <w:tc>
          <w:tcPr>
            <w:tcW w:type="dxa" w:w="2665"/>
            <w:tcMar>
              <w:top w:w="110" w:type="dxa"/>
              <w:start w:w="120" w:type="dxa"/>
              <w:bottom w:w="110" w:type="dxa"/>
              <w:end w:w="120" w:type="dxa"/>
            </w:tcMar>
            <w:vAlign w:val="center"/>
          </w:tcPr>
          <w:p>
            <w:pPr>
              <w:jc w:val="left"/>
            </w:pPr>
            <w:r>
              <w:rPr>
                <w:sz w:val="17"/>
              </w:rPr>
              <w:t>A demo showing the proposed event, evidence, confirmation, and final write.</w:t>
            </w:r>
          </w:p>
        </w:tc>
      </w:tr>
      <w:tr>
        <w:trPr>
          <w:cantSplit/>
        </w:trPr>
        <w:tc>
          <w:tcPr>
            <w:tcW w:type="dxa" w:w="1361"/>
            <w:tcMar>
              <w:top w:w="110" w:type="dxa"/>
              <w:start w:w="120" w:type="dxa"/>
              <w:bottom w:w="110" w:type="dxa"/>
              <w:end w:w="120" w:type="dxa"/>
            </w:tcMar>
            <w:vAlign w:val="center"/>
            <w:shd w:fill="F3F7FA"/>
          </w:tcPr>
          <w:p>
            <w:pPr>
              <w:jc w:val="left"/>
            </w:pPr>
            <w:r>
              <w:rPr>
                <w:sz w:val="17"/>
              </w:rPr>
              <w:t>Dataset</w:t>
            </w:r>
          </w:p>
        </w:tc>
        <w:tc>
          <w:tcPr>
            <w:tcW w:type="dxa" w:w="2268"/>
            <w:tcMar>
              <w:top w:w="110" w:type="dxa"/>
              <w:start w:w="120" w:type="dxa"/>
              <w:bottom w:w="110" w:type="dxa"/>
              <w:end w:w="120" w:type="dxa"/>
            </w:tcMar>
            <w:vAlign w:val="center"/>
            <w:shd w:fill="F3F7FA"/>
          </w:tcPr>
          <w:p>
            <w:pPr>
              <w:jc w:val="left"/>
            </w:pPr>
            <w:r>
              <w:rPr>
                <w:sz w:val="17"/>
              </w:rPr>
              <w:t>Only some of the 50 emails are real cross-email chains.</w:t>
            </w:r>
          </w:p>
        </w:tc>
        <w:tc>
          <w:tcPr>
            <w:tcW w:type="dxa" w:w="2948"/>
            <w:tcMar>
              <w:top w:w="110" w:type="dxa"/>
              <w:start w:w="120" w:type="dxa"/>
              <w:bottom w:w="110" w:type="dxa"/>
              <w:end w:w="120" w:type="dxa"/>
            </w:tcMar>
            <w:vAlign w:val="center"/>
            <w:shd w:fill="F3F7FA"/>
          </w:tcPr>
          <w:p>
            <w:pPr>
              <w:jc w:val="left"/>
            </w:pPr>
            <w:r>
              <w:rPr>
                <w:sz w:val="17"/>
              </w:rPr>
              <w:t>Count single emails, multi-email threads, updates, and conflicts. Do not describe all 50 as merge cases.</w:t>
            </w:r>
          </w:p>
        </w:tc>
        <w:tc>
          <w:tcPr>
            <w:tcW w:type="dxa" w:w="2665"/>
            <w:tcMar>
              <w:top w:w="110" w:type="dxa"/>
              <w:start w:w="120" w:type="dxa"/>
              <w:bottom w:w="110" w:type="dxa"/>
              <w:end w:w="120" w:type="dxa"/>
            </w:tcMar>
            <w:vAlign w:val="center"/>
            <w:shd w:fill="F3F7FA"/>
          </w:tcPr>
          <w:p>
            <w:pPr>
              <w:jc w:val="left"/>
            </w:pPr>
            <w:r>
              <w:rPr>
                <w:sz w:val="17"/>
              </w:rPr>
              <w:t>A dataset inventory with exact counts and thread IDs.</w:t>
            </w:r>
          </w:p>
        </w:tc>
      </w:tr>
      <w:tr>
        <w:trPr>
          <w:cantSplit/>
        </w:trPr>
        <w:tc>
          <w:tcPr>
            <w:tcW w:type="dxa" w:w="1361"/>
            <w:tcMar>
              <w:top w:w="110" w:type="dxa"/>
              <w:start w:w="120" w:type="dxa"/>
              <w:bottom w:w="110" w:type="dxa"/>
              <w:end w:w="120" w:type="dxa"/>
            </w:tcMar>
            <w:vAlign w:val="center"/>
          </w:tcPr>
          <w:p>
            <w:pPr>
              <w:jc w:val="left"/>
            </w:pPr>
            <w:r>
              <w:rPr>
                <w:sz w:val="17"/>
              </w:rPr>
              <w:t>Evaluation</w:t>
            </w:r>
          </w:p>
        </w:tc>
        <w:tc>
          <w:tcPr>
            <w:tcW w:type="dxa" w:w="2268"/>
            <w:tcMar>
              <w:top w:w="110" w:type="dxa"/>
              <w:start w:w="120" w:type="dxa"/>
              <w:bottom w:w="110" w:type="dxa"/>
              <w:end w:w="120" w:type="dxa"/>
            </w:tcMar>
            <w:vAlign w:val="center"/>
          </w:tcPr>
          <w:p>
            <w:pPr>
              <w:jc w:val="left"/>
            </w:pPr>
            <w:r>
              <w:rPr>
                <w:sz w:val="17"/>
              </w:rPr>
              <w:t>Six tasks are combined into one accuracy number.</w:t>
            </w:r>
          </w:p>
        </w:tc>
        <w:tc>
          <w:tcPr>
            <w:tcW w:type="dxa" w:w="2948"/>
            <w:tcMar>
              <w:top w:w="110" w:type="dxa"/>
              <w:start w:w="120" w:type="dxa"/>
              <w:bottom w:w="110" w:type="dxa"/>
              <w:end w:w="120" w:type="dxa"/>
            </w:tcMar>
            <w:vAlign w:val="center"/>
          </w:tcPr>
          <w:p>
            <w:pPr>
              <w:jc w:val="left"/>
            </w:pPr>
            <w:r>
              <w:rPr>
                <w:sz w:val="17"/>
              </w:rPr>
              <w:t>Report a separate numerator and denominator for every task.</w:t>
            </w:r>
          </w:p>
        </w:tc>
        <w:tc>
          <w:tcPr>
            <w:tcW w:type="dxa" w:w="2665"/>
            <w:tcMar>
              <w:top w:w="110" w:type="dxa"/>
              <w:start w:w="120" w:type="dxa"/>
              <w:bottom w:w="110" w:type="dxa"/>
              <w:end w:w="120" w:type="dxa"/>
            </w:tcMar>
            <w:vAlign w:val="center"/>
          </w:tcPr>
          <w:p>
            <w:pPr>
              <w:jc w:val="left"/>
            </w:pPr>
            <w:r>
              <w:rPr>
                <w:sz w:val="17"/>
              </w:rPr>
              <w:t>A results table such as 42/47, with error counts and examples.</w:t>
            </w:r>
          </w:p>
        </w:tc>
      </w:tr>
      <w:tr>
        <w:trPr>
          <w:cantSplit/>
        </w:trPr>
        <w:tc>
          <w:tcPr>
            <w:tcW w:type="dxa" w:w="1361"/>
            <w:tcMar>
              <w:top w:w="110" w:type="dxa"/>
              <w:start w:w="120" w:type="dxa"/>
              <w:bottom w:w="110" w:type="dxa"/>
              <w:end w:w="120" w:type="dxa"/>
            </w:tcMar>
            <w:vAlign w:val="center"/>
            <w:shd w:fill="F3F7FA"/>
          </w:tcPr>
          <w:p>
            <w:pPr>
              <w:jc w:val="left"/>
            </w:pPr>
            <w:r>
              <w:rPr>
                <w:sz w:val="17"/>
              </w:rPr>
              <w:t>Priority</w:t>
            </w:r>
          </w:p>
        </w:tc>
        <w:tc>
          <w:tcPr>
            <w:tcW w:type="dxa" w:w="2268"/>
            <w:tcMar>
              <w:top w:w="110" w:type="dxa"/>
              <w:start w:w="120" w:type="dxa"/>
              <w:bottom w:w="110" w:type="dxa"/>
              <w:end w:w="120" w:type="dxa"/>
            </w:tcMar>
            <w:vAlign w:val="center"/>
            <w:shd w:fill="F3F7FA"/>
          </w:tcPr>
          <w:p>
            <w:pPr>
              <w:jc w:val="left"/>
            </w:pPr>
            <w:r>
              <w:rPr>
                <w:sz w:val="17"/>
              </w:rPr>
              <w:t>The model appears to grade a priority label that it created itself.</w:t>
            </w:r>
          </w:p>
        </w:tc>
        <w:tc>
          <w:tcPr>
            <w:tcW w:type="dxa" w:w="2948"/>
            <w:tcMar>
              <w:top w:w="110" w:type="dxa"/>
              <w:start w:w="120" w:type="dxa"/>
              <w:bottom w:w="110" w:type="dxa"/>
              <w:end w:w="120" w:type="dxa"/>
            </w:tcMar>
            <w:vAlign w:val="center"/>
            <w:shd w:fill="F3F7FA"/>
          </w:tcPr>
          <w:p>
            <w:pPr>
              <w:jc w:val="left"/>
            </w:pPr>
            <w:r>
              <w:rPr>
                <w:sz w:val="17"/>
              </w:rPr>
              <w:t>Create human gold labels from a fixed urgency policy before running the model.</w:t>
            </w:r>
          </w:p>
        </w:tc>
        <w:tc>
          <w:tcPr>
            <w:tcW w:type="dxa" w:w="2665"/>
            <w:tcMar>
              <w:top w:w="110" w:type="dxa"/>
              <w:start w:w="120" w:type="dxa"/>
              <w:bottom w:w="110" w:type="dxa"/>
              <w:end w:w="120" w:type="dxa"/>
            </w:tcMar>
            <w:vAlign w:val="center"/>
            <w:shd w:fill="F3F7FA"/>
          </w:tcPr>
          <w:p>
            <w:pPr>
              <w:jc w:val="left"/>
            </w:pPr>
            <w:r>
              <w:rPr>
                <w:sz w:val="17"/>
              </w:rPr>
              <w:t>Gold labels, label rationale, and high-priority misses as x/N.</w:t>
            </w:r>
          </w:p>
        </w:tc>
      </w:tr>
      <w:tr>
        <w:trPr>
          <w:cantSplit/>
        </w:trPr>
        <w:tc>
          <w:tcPr>
            <w:tcW w:type="dxa" w:w="1361"/>
            <w:tcMar>
              <w:top w:w="110" w:type="dxa"/>
              <w:start w:w="120" w:type="dxa"/>
              <w:bottom w:w="110" w:type="dxa"/>
              <w:end w:w="120" w:type="dxa"/>
            </w:tcMar>
            <w:vAlign w:val="center"/>
          </w:tcPr>
          <w:p>
            <w:pPr>
              <w:jc w:val="left"/>
            </w:pPr>
            <w:r>
              <w:rPr>
                <w:sz w:val="17"/>
              </w:rPr>
              <w:t>Course coverage</w:t>
            </w:r>
          </w:p>
        </w:tc>
        <w:tc>
          <w:tcPr>
            <w:tcW w:type="dxa" w:w="2268"/>
            <w:tcMar>
              <w:top w:w="110" w:type="dxa"/>
              <w:start w:w="120" w:type="dxa"/>
              <w:bottom w:w="110" w:type="dxa"/>
              <w:end w:w="120" w:type="dxa"/>
            </w:tcMar>
            <w:vAlign w:val="center"/>
          </w:tcPr>
          <w:p>
            <w:pPr>
              <w:jc w:val="left"/>
            </w:pPr>
            <w:r>
              <w:rPr>
                <w:sz w:val="17"/>
              </w:rPr>
              <w:t>The scheduled-job cost trade-off is missing.</w:t>
            </w:r>
          </w:p>
        </w:tc>
        <w:tc>
          <w:tcPr>
            <w:tcW w:type="dxa" w:w="2948"/>
            <w:tcMar>
              <w:top w:w="110" w:type="dxa"/>
              <w:start w:w="120" w:type="dxa"/>
              <w:bottom w:w="110" w:type="dxa"/>
              <w:end w:w="120" w:type="dxa"/>
            </w:tcMar>
            <w:vAlign w:val="center"/>
          </w:tcPr>
          <w:p>
            <w:pPr>
              <w:jc w:val="left"/>
            </w:pPr>
            <w:r>
              <w:rPr>
                <w:sz w:val="17"/>
              </w:rPr>
              <w:t>Log tokens and calculate cost per email, per scan, and per month.</w:t>
            </w:r>
          </w:p>
        </w:tc>
        <w:tc>
          <w:tcPr>
            <w:tcW w:type="dxa" w:w="2665"/>
            <w:tcMar>
              <w:top w:w="110" w:type="dxa"/>
              <w:start w:w="120" w:type="dxa"/>
              <w:bottom w:w="110" w:type="dxa"/>
              <w:end w:w="120" w:type="dxa"/>
            </w:tcMar>
            <w:vAlign w:val="center"/>
          </w:tcPr>
          <w:p>
            <w:pPr>
              <w:jc w:val="left"/>
            </w:pPr>
            <w:r>
              <w:rPr>
                <w:sz w:val="17"/>
              </w:rPr>
              <w:t>Measured tokens plus the model price used on the run date.</w:t>
            </w:r>
          </w:p>
        </w:tc>
      </w:tr>
    </w:tbl>
    <w:p>
      <w:pPr>
        <w:spacing w:after="0"/>
      </w:pPr>
    </w:p>
    <w:p>
      <w:pPr>
        <w:pStyle w:val="Heading1"/>
        <w:keepNext/>
      </w:pPr>
      <w:r>
        <w:t>2  Revised system scope</w:t>
      </w:r>
    </w:p>
    <w:p>
      <w:r>
        <w:rPr>
          <w:b/>
        </w:rPr>
        <w:t xml:space="preserve">Recommended end-to-end flow. </w:t>
      </w:r>
      <w:r>
        <w:t>The workflow stays narrow enough to finish before submission while still showing retrieval, reasoning, tool use, and a safety gate.</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cantSplit/>
        </w:trPr>
        <w:tc>
          <w:tcPr>
            <w:tcW w:type="dxa" w:w="680"/>
            <w:shd w:fill="1F4E78"/>
            <w:tcMar>
              <w:top w:w="110" w:type="dxa"/>
              <w:start w:w="120" w:type="dxa"/>
              <w:bottom w:w="110" w:type="dxa"/>
              <w:end w:w="120" w:type="dxa"/>
            </w:tcMar>
            <w:vAlign w:val="center"/>
          </w:tcPr>
          <w:p>
            <w:pPr>
              <w:jc w:val="center"/>
            </w:pPr>
            <w:r>
              <w:rPr>
                <w:b/>
                <w:color w:val="FFFFFF"/>
                <w:sz w:val="18"/>
              </w:rPr>
              <w:t>Step</w:t>
            </w:r>
          </w:p>
        </w:tc>
        <w:tc>
          <w:tcPr>
            <w:tcW w:type="dxa" w:w="1814"/>
            <w:shd w:fill="1F4E78"/>
            <w:tcMar>
              <w:top w:w="110" w:type="dxa"/>
              <w:start w:w="120" w:type="dxa"/>
              <w:bottom w:w="110" w:type="dxa"/>
              <w:end w:w="120" w:type="dxa"/>
            </w:tcMar>
            <w:vAlign w:val="center"/>
          </w:tcPr>
          <w:p>
            <w:pPr>
              <w:jc w:val="center"/>
            </w:pPr>
            <w:r>
              <w:rPr>
                <w:b/>
                <w:color w:val="FFFFFF"/>
                <w:sz w:val="18"/>
              </w:rPr>
              <w:t>Stage</w:t>
            </w:r>
          </w:p>
        </w:tc>
        <w:tc>
          <w:tcPr>
            <w:tcW w:type="dxa" w:w="6746"/>
            <w:shd w:fill="1F4E78"/>
            <w:tcMar>
              <w:top w:w="110" w:type="dxa"/>
              <w:start w:w="120" w:type="dxa"/>
              <w:bottom w:w="110" w:type="dxa"/>
              <w:end w:w="120" w:type="dxa"/>
            </w:tcMar>
            <w:vAlign w:val="center"/>
          </w:tcPr>
          <w:p>
            <w:pPr>
              <w:jc w:val="center"/>
            </w:pPr>
            <w:r>
              <w:rPr>
                <w:b/>
                <w:color w:val="FFFFFF"/>
                <w:sz w:val="18"/>
              </w:rPr>
              <w:t>Required behaviour</w:t>
            </w:r>
          </w:p>
        </w:tc>
      </w:tr>
      <w:tr>
        <w:trPr>
          <w:cantSplit/>
        </w:trPr>
        <w:tc>
          <w:tcPr>
            <w:tcW w:type="dxa" w:w="680"/>
            <w:tcMar>
              <w:top w:w="110" w:type="dxa"/>
              <w:start w:w="120" w:type="dxa"/>
              <w:bottom w:w="110" w:type="dxa"/>
              <w:end w:w="120" w:type="dxa"/>
            </w:tcMar>
            <w:vAlign w:val="center"/>
          </w:tcPr>
          <w:p>
            <w:pPr>
              <w:jc w:val="left"/>
            </w:pPr>
            <w:r>
              <w:rPr>
                <w:sz w:val="17"/>
              </w:rPr>
              <w:t>1</w:t>
            </w:r>
          </w:p>
        </w:tc>
        <w:tc>
          <w:tcPr>
            <w:tcW w:type="dxa" w:w="1814"/>
            <w:tcMar>
              <w:top w:w="110" w:type="dxa"/>
              <w:start w:w="120" w:type="dxa"/>
              <w:bottom w:w="110" w:type="dxa"/>
              <w:end w:w="120" w:type="dxa"/>
            </w:tcMar>
            <w:vAlign w:val="center"/>
          </w:tcPr>
          <w:p>
            <w:pPr>
              <w:jc w:val="left"/>
            </w:pPr>
            <w:r>
              <w:rPr>
                <w:sz w:val="17"/>
              </w:rPr>
              <w:t>Collect</w:t>
            </w:r>
          </w:p>
        </w:tc>
        <w:tc>
          <w:tcPr>
            <w:tcW w:type="dxa" w:w="6746"/>
            <w:tcMar>
              <w:top w:w="110" w:type="dxa"/>
              <w:start w:w="120" w:type="dxa"/>
              <w:bottom w:w="110" w:type="dxa"/>
              <w:end w:w="120" w:type="dxa"/>
            </w:tcMar>
            <w:vAlign w:val="center"/>
          </w:tcPr>
          <w:p>
            <w:pPr>
              <w:jc w:val="left"/>
            </w:pPr>
            <w:r>
              <w:rPr>
                <w:sz w:val="17"/>
              </w:rPr>
              <w:t>Import selected academic emails or read a dedicated Gmail label.</w:t>
            </w:r>
          </w:p>
        </w:tc>
      </w:tr>
      <w:tr>
        <w:trPr>
          <w:cantSplit/>
        </w:trPr>
        <w:tc>
          <w:tcPr>
            <w:tcW w:type="dxa" w:w="680"/>
            <w:tcMar>
              <w:top w:w="110" w:type="dxa"/>
              <w:start w:w="120" w:type="dxa"/>
              <w:bottom w:w="110" w:type="dxa"/>
              <w:end w:w="120" w:type="dxa"/>
            </w:tcMar>
            <w:vAlign w:val="center"/>
            <w:shd w:fill="F3F7FA"/>
          </w:tcPr>
          <w:p>
            <w:pPr>
              <w:jc w:val="left"/>
            </w:pPr>
            <w:r>
              <w:rPr>
                <w:sz w:val="17"/>
              </w:rPr>
              <w:t>2</w:t>
            </w:r>
          </w:p>
        </w:tc>
        <w:tc>
          <w:tcPr>
            <w:tcW w:type="dxa" w:w="1814"/>
            <w:tcMar>
              <w:top w:w="110" w:type="dxa"/>
              <w:start w:w="120" w:type="dxa"/>
              <w:bottom w:w="110" w:type="dxa"/>
              <w:end w:w="120" w:type="dxa"/>
            </w:tcMar>
            <w:vAlign w:val="center"/>
            <w:shd w:fill="F3F7FA"/>
          </w:tcPr>
          <w:p>
            <w:pPr>
              <w:jc w:val="left"/>
            </w:pPr>
            <w:r>
              <w:rPr>
                <w:sz w:val="17"/>
              </w:rPr>
              <w:t>Filter</w:t>
            </w:r>
          </w:p>
        </w:tc>
        <w:tc>
          <w:tcPr>
            <w:tcW w:type="dxa" w:w="6746"/>
            <w:tcMar>
              <w:top w:w="110" w:type="dxa"/>
              <w:start w:w="120" w:type="dxa"/>
              <w:bottom w:w="110" w:type="dxa"/>
              <w:end w:w="120" w:type="dxa"/>
            </w:tcMar>
            <w:vAlign w:val="center"/>
            <w:shd w:fill="F3F7FA"/>
          </w:tcPr>
          <w:p>
            <w:pPr>
              <w:jc w:val="left"/>
            </w:pPr>
            <w:r>
              <w:rPr>
                <w:sz w:val="17"/>
              </w:rPr>
              <w:t>Remove non-academic mail before sending content to the language model.</w:t>
            </w:r>
          </w:p>
        </w:tc>
      </w:tr>
      <w:tr>
        <w:trPr>
          <w:cantSplit/>
        </w:trPr>
        <w:tc>
          <w:tcPr>
            <w:tcW w:type="dxa" w:w="680"/>
            <w:tcMar>
              <w:top w:w="110" w:type="dxa"/>
              <w:start w:w="120" w:type="dxa"/>
              <w:bottom w:w="110" w:type="dxa"/>
              <w:end w:w="120" w:type="dxa"/>
            </w:tcMar>
            <w:vAlign w:val="center"/>
          </w:tcPr>
          <w:p>
            <w:pPr>
              <w:jc w:val="left"/>
            </w:pPr>
            <w:r>
              <w:rPr>
                <w:sz w:val="17"/>
              </w:rPr>
              <w:t>3</w:t>
            </w:r>
          </w:p>
        </w:tc>
        <w:tc>
          <w:tcPr>
            <w:tcW w:type="dxa" w:w="1814"/>
            <w:tcMar>
              <w:top w:w="110" w:type="dxa"/>
              <w:start w:w="120" w:type="dxa"/>
              <w:bottom w:w="110" w:type="dxa"/>
              <w:end w:w="120" w:type="dxa"/>
            </w:tcMar>
            <w:vAlign w:val="center"/>
          </w:tcPr>
          <w:p>
            <w:pPr>
              <w:jc w:val="left"/>
            </w:pPr>
            <w:r>
              <w:rPr>
                <w:sz w:val="17"/>
              </w:rPr>
              <w:t>Retrieve and merge</w:t>
            </w:r>
          </w:p>
        </w:tc>
        <w:tc>
          <w:tcPr>
            <w:tcW w:type="dxa" w:w="6746"/>
            <w:tcMar>
              <w:top w:w="110" w:type="dxa"/>
              <w:start w:w="120" w:type="dxa"/>
              <w:bottom w:w="110" w:type="dxa"/>
              <w:end w:w="120" w:type="dxa"/>
            </w:tcMar>
            <w:vAlign w:val="center"/>
          </w:tcPr>
          <w:p>
            <w:pPr>
              <w:jc w:val="left"/>
            </w:pPr>
            <w:r>
              <w:rPr>
                <w:sz w:val="17"/>
              </w:rPr>
              <w:t>Find related messages by course, task, thread, dates, and semantic similarity; retain updates and conflicts.</w:t>
            </w:r>
          </w:p>
        </w:tc>
      </w:tr>
      <w:tr>
        <w:trPr>
          <w:cantSplit/>
        </w:trPr>
        <w:tc>
          <w:tcPr>
            <w:tcW w:type="dxa" w:w="680"/>
            <w:tcMar>
              <w:top w:w="110" w:type="dxa"/>
              <w:start w:w="120" w:type="dxa"/>
              <w:bottom w:w="110" w:type="dxa"/>
              <w:end w:w="120" w:type="dxa"/>
            </w:tcMar>
            <w:vAlign w:val="center"/>
            <w:shd w:fill="F3F7FA"/>
          </w:tcPr>
          <w:p>
            <w:pPr>
              <w:jc w:val="left"/>
            </w:pPr>
            <w:r>
              <w:rPr>
                <w:sz w:val="17"/>
              </w:rPr>
              <w:t>4</w:t>
            </w:r>
          </w:p>
        </w:tc>
        <w:tc>
          <w:tcPr>
            <w:tcW w:type="dxa" w:w="1814"/>
            <w:tcMar>
              <w:top w:w="110" w:type="dxa"/>
              <w:start w:w="120" w:type="dxa"/>
              <w:bottom w:w="110" w:type="dxa"/>
              <w:end w:w="120" w:type="dxa"/>
            </w:tcMar>
            <w:vAlign w:val="center"/>
            <w:shd w:fill="F3F7FA"/>
          </w:tcPr>
          <w:p>
            <w:pPr>
              <w:jc w:val="left"/>
            </w:pPr>
            <w:r>
              <w:rPr>
                <w:sz w:val="17"/>
              </w:rPr>
              <w:t>Extract</w:t>
            </w:r>
          </w:p>
        </w:tc>
        <w:tc>
          <w:tcPr>
            <w:tcW w:type="dxa" w:w="6746"/>
            <w:tcMar>
              <w:top w:w="110" w:type="dxa"/>
              <w:start w:w="120" w:type="dxa"/>
              <w:bottom w:w="110" w:type="dxa"/>
              <w:end w:w="120" w:type="dxa"/>
            </w:tcMar>
            <w:vAlign w:val="center"/>
            <w:shd w:fill="F3F7FA"/>
          </w:tcPr>
          <w:p>
            <w:pPr>
              <w:jc w:val="left"/>
            </w:pPr>
            <w:r>
              <w:rPr>
                <w:sz w:val="17"/>
              </w:rPr>
              <w:t>Produce course, task, deadline, urgency, evidence span, and confidence.</w:t>
            </w:r>
          </w:p>
        </w:tc>
      </w:tr>
      <w:tr>
        <w:trPr>
          <w:cantSplit/>
        </w:trPr>
        <w:tc>
          <w:tcPr>
            <w:tcW w:type="dxa" w:w="680"/>
            <w:tcMar>
              <w:top w:w="110" w:type="dxa"/>
              <w:start w:w="120" w:type="dxa"/>
              <w:bottom w:w="110" w:type="dxa"/>
              <w:end w:w="120" w:type="dxa"/>
            </w:tcMar>
            <w:vAlign w:val="center"/>
          </w:tcPr>
          <w:p>
            <w:pPr>
              <w:jc w:val="left"/>
            </w:pPr>
            <w:r>
              <w:rPr>
                <w:sz w:val="17"/>
              </w:rPr>
              <w:t>5</w:t>
            </w:r>
          </w:p>
        </w:tc>
        <w:tc>
          <w:tcPr>
            <w:tcW w:type="dxa" w:w="1814"/>
            <w:tcMar>
              <w:top w:w="110" w:type="dxa"/>
              <w:start w:w="120" w:type="dxa"/>
              <w:bottom w:w="110" w:type="dxa"/>
              <w:end w:w="120" w:type="dxa"/>
            </w:tcMar>
            <w:vAlign w:val="center"/>
          </w:tcPr>
          <w:p>
            <w:pPr>
              <w:jc w:val="left"/>
            </w:pPr>
            <w:r>
              <w:rPr>
                <w:sz w:val="17"/>
              </w:rPr>
              <w:t>Build timeline</w:t>
            </w:r>
          </w:p>
        </w:tc>
        <w:tc>
          <w:tcPr>
            <w:tcW w:type="dxa" w:w="6746"/>
            <w:tcMar>
              <w:top w:w="110" w:type="dxa"/>
              <w:start w:w="120" w:type="dxa"/>
              <w:bottom w:w="110" w:type="dxa"/>
              <w:end w:w="120" w:type="dxa"/>
            </w:tcMar>
            <w:vAlign w:val="center"/>
          </w:tcPr>
          <w:p>
            <w:pPr>
              <w:jc w:val="left"/>
            </w:pPr>
            <w:r>
              <w:rPr>
                <w:sz w:val="17"/>
              </w:rPr>
              <w:t>Merge the latest valid instruction into one course timeline while keeping source traceability.</w:t>
            </w:r>
          </w:p>
        </w:tc>
      </w:tr>
      <w:tr>
        <w:trPr>
          <w:cantSplit/>
        </w:trPr>
        <w:tc>
          <w:tcPr>
            <w:tcW w:type="dxa" w:w="680"/>
            <w:tcMar>
              <w:top w:w="110" w:type="dxa"/>
              <w:start w:w="120" w:type="dxa"/>
              <w:bottom w:w="110" w:type="dxa"/>
              <w:end w:w="120" w:type="dxa"/>
            </w:tcMar>
            <w:vAlign w:val="center"/>
            <w:shd w:fill="F3F7FA"/>
          </w:tcPr>
          <w:p>
            <w:pPr>
              <w:jc w:val="left"/>
            </w:pPr>
            <w:r>
              <w:rPr>
                <w:sz w:val="17"/>
              </w:rPr>
              <w:t>6</w:t>
            </w:r>
          </w:p>
        </w:tc>
        <w:tc>
          <w:tcPr>
            <w:tcW w:type="dxa" w:w="1814"/>
            <w:tcMar>
              <w:top w:w="110" w:type="dxa"/>
              <w:start w:w="120" w:type="dxa"/>
              <w:bottom w:w="110" w:type="dxa"/>
              <w:end w:w="120" w:type="dxa"/>
            </w:tcMar>
            <w:vAlign w:val="center"/>
            <w:shd w:fill="F3F7FA"/>
          </w:tcPr>
          <w:p>
            <w:pPr>
              <w:jc w:val="left"/>
            </w:pPr>
            <w:r>
              <w:rPr>
                <w:sz w:val="17"/>
              </w:rPr>
              <w:t>Propose action</w:t>
            </w:r>
          </w:p>
        </w:tc>
        <w:tc>
          <w:tcPr>
            <w:tcW w:type="dxa" w:w="6746"/>
            <w:tcMar>
              <w:top w:w="110" w:type="dxa"/>
              <w:start w:w="120" w:type="dxa"/>
              <w:bottom w:w="110" w:type="dxa"/>
              <w:end w:w="120" w:type="dxa"/>
            </w:tcMar>
            <w:vAlign w:val="center"/>
            <w:shd w:fill="F3F7FA"/>
          </w:tcPr>
          <w:p>
            <w:pPr>
              <w:jc w:val="left"/>
            </w:pPr>
            <w:r>
              <w:rPr>
                <w:sz w:val="17"/>
              </w:rPr>
              <w:t>Prepare a calendar event and explain why it should be created or updated.</w:t>
            </w:r>
          </w:p>
        </w:tc>
      </w:tr>
      <w:tr>
        <w:trPr>
          <w:cantSplit/>
        </w:trPr>
        <w:tc>
          <w:tcPr>
            <w:tcW w:type="dxa" w:w="680"/>
            <w:tcMar>
              <w:top w:w="110" w:type="dxa"/>
              <w:start w:w="120" w:type="dxa"/>
              <w:bottom w:w="110" w:type="dxa"/>
              <w:end w:w="120" w:type="dxa"/>
            </w:tcMar>
            <w:vAlign w:val="center"/>
          </w:tcPr>
          <w:p>
            <w:pPr>
              <w:jc w:val="left"/>
            </w:pPr>
            <w:r>
              <w:rPr>
                <w:sz w:val="17"/>
              </w:rPr>
              <w:t>7</w:t>
            </w:r>
          </w:p>
        </w:tc>
        <w:tc>
          <w:tcPr>
            <w:tcW w:type="dxa" w:w="1814"/>
            <w:tcMar>
              <w:top w:w="110" w:type="dxa"/>
              <w:start w:w="120" w:type="dxa"/>
              <w:bottom w:w="110" w:type="dxa"/>
              <w:end w:w="120" w:type="dxa"/>
            </w:tcMar>
            <w:vAlign w:val="center"/>
          </w:tcPr>
          <w:p>
            <w:pPr>
              <w:jc w:val="left"/>
            </w:pPr>
            <w:r>
              <w:rPr>
                <w:sz w:val="17"/>
              </w:rPr>
              <w:t>Confirm and write</w:t>
            </w:r>
          </w:p>
        </w:tc>
        <w:tc>
          <w:tcPr>
            <w:tcW w:type="dxa" w:w="6746"/>
            <w:tcMar>
              <w:top w:w="110" w:type="dxa"/>
              <w:start w:w="120" w:type="dxa"/>
              <w:bottom w:w="110" w:type="dxa"/>
              <w:end w:w="120" w:type="dxa"/>
            </w:tcMar>
            <w:vAlign w:val="center"/>
          </w:tcPr>
          <w:p>
            <w:pPr>
              <w:jc w:val="left"/>
            </w:pPr>
            <w:r>
              <w:rPr>
                <w:sz w:val="17"/>
              </w:rPr>
              <w:t>Write to Google Calendar only after the user explicitly approves the proposed event.</w:t>
            </w:r>
          </w:p>
        </w:tc>
      </w:tr>
    </w:tbl>
    <w:p>
      <w:pPr>
        <w:spacing w:after="0"/>
      </w:pPr>
    </w:p>
    <w:p>
      <w:pPr>
        <w:pStyle w:val="Heading1"/>
        <w:keepNext/>
      </w:pPr>
      <w:r>
        <w:t>3  Data audit before evaluation</w:t>
      </w:r>
    </w:p>
    <w:p>
      <w:r>
        <w:rPr>
          <w:b/>
        </w:rPr>
        <w:t xml:space="preserve">Do this before rerunning the model. </w:t>
      </w:r>
      <w:r>
        <w:t>The original proposal says 50 academic emails, but the report must state how many are independent messages and how many belong to genuine chains.</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cantSplit/>
        </w:trPr>
        <w:tc>
          <w:tcPr>
            <w:tcW w:type="dxa" w:w="2268"/>
            <w:shd w:fill="1F4E78"/>
            <w:tcMar>
              <w:top w:w="110" w:type="dxa"/>
              <w:start w:w="120" w:type="dxa"/>
              <w:bottom w:w="110" w:type="dxa"/>
              <w:end w:w="120" w:type="dxa"/>
            </w:tcMar>
            <w:vAlign w:val="center"/>
          </w:tcPr>
          <w:p>
            <w:pPr>
              <w:jc w:val="center"/>
            </w:pPr>
            <w:r>
              <w:rPr>
                <w:b/>
                <w:color w:val="FFFFFF"/>
                <w:sz w:val="18"/>
              </w:rPr>
              <w:t>Dataset item</w:t>
            </w:r>
          </w:p>
        </w:tc>
        <w:tc>
          <w:tcPr>
            <w:tcW w:type="dxa" w:w="2324"/>
            <w:shd w:fill="1F4E78"/>
            <w:tcMar>
              <w:top w:w="110" w:type="dxa"/>
              <w:start w:w="120" w:type="dxa"/>
              <w:bottom w:w="110" w:type="dxa"/>
              <w:end w:w="120" w:type="dxa"/>
            </w:tcMar>
            <w:vAlign w:val="center"/>
          </w:tcPr>
          <w:p>
            <w:pPr>
              <w:jc w:val="center"/>
            </w:pPr>
            <w:r>
              <w:rPr>
                <w:b/>
                <w:color w:val="FFFFFF"/>
                <w:sz w:val="18"/>
              </w:rPr>
              <w:t>Value to record</w:t>
            </w:r>
          </w:p>
        </w:tc>
        <w:tc>
          <w:tcPr>
            <w:tcW w:type="dxa" w:w="4649"/>
            <w:shd w:fill="1F4E78"/>
            <w:tcMar>
              <w:top w:w="110" w:type="dxa"/>
              <w:start w:w="120" w:type="dxa"/>
              <w:bottom w:w="110" w:type="dxa"/>
              <w:end w:w="120" w:type="dxa"/>
            </w:tcMar>
            <w:vAlign w:val="center"/>
          </w:tcPr>
          <w:p>
            <w:pPr>
              <w:jc w:val="center"/>
            </w:pPr>
            <w:r>
              <w:rPr>
                <w:b/>
                <w:color w:val="FFFFFF"/>
                <w:sz w:val="18"/>
              </w:rPr>
              <w:t>Why it matters</w:t>
            </w:r>
          </w:p>
        </w:tc>
      </w:tr>
      <w:tr>
        <w:trPr>
          <w:cantSplit/>
        </w:trPr>
        <w:tc>
          <w:tcPr>
            <w:tcW w:type="dxa" w:w="2268"/>
            <w:tcMar>
              <w:top w:w="110" w:type="dxa"/>
              <w:start w:w="120" w:type="dxa"/>
              <w:bottom w:w="110" w:type="dxa"/>
              <w:end w:w="120" w:type="dxa"/>
            </w:tcMar>
            <w:vAlign w:val="center"/>
          </w:tcPr>
          <w:p>
            <w:pPr>
              <w:jc w:val="left"/>
            </w:pPr>
            <w:r>
              <w:rPr>
                <w:sz w:val="17"/>
              </w:rPr>
              <w:t>Total emails</w:t>
            </w:r>
          </w:p>
        </w:tc>
        <w:tc>
          <w:tcPr>
            <w:tcW w:type="dxa" w:w="2324"/>
            <w:tcMar>
              <w:top w:w="110" w:type="dxa"/>
              <w:start w:w="120" w:type="dxa"/>
              <w:bottom w:w="110" w:type="dxa"/>
              <w:end w:w="120" w:type="dxa"/>
            </w:tcMar>
            <w:vAlign w:val="center"/>
          </w:tcPr>
          <w:p>
            <w:pPr>
              <w:jc w:val="left"/>
            </w:pPr>
            <w:r>
              <w:rPr>
                <w:sz w:val="17"/>
              </w:rPr>
              <w:t>50, if the final dataset still contains 50</w:t>
            </w:r>
          </w:p>
        </w:tc>
        <w:tc>
          <w:tcPr>
            <w:tcW w:type="dxa" w:w="4649"/>
            <w:tcMar>
              <w:top w:w="110" w:type="dxa"/>
              <w:start w:w="120" w:type="dxa"/>
              <w:bottom w:w="110" w:type="dxa"/>
              <w:end w:w="120" w:type="dxa"/>
            </w:tcMar>
            <w:vAlign w:val="center"/>
          </w:tcPr>
          <w:p>
            <w:pPr>
              <w:jc w:val="left"/>
            </w:pPr>
            <w:r>
              <w:rPr>
                <w:sz w:val="17"/>
              </w:rPr>
              <w:t>Defines the extraction test set.</w:t>
            </w:r>
          </w:p>
        </w:tc>
      </w:tr>
      <w:tr>
        <w:trPr>
          <w:cantSplit/>
        </w:trPr>
        <w:tc>
          <w:tcPr>
            <w:tcW w:type="dxa" w:w="2268"/>
            <w:tcMar>
              <w:top w:w="110" w:type="dxa"/>
              <w:start w:w="120" w:type="dxa"/>
              <w:bottom w:w="110" w:type="dxa"/>
              <w:end w:w="120" w:type="dxa"/>
            </w:tcMar>
            <w:vAlign w:val="center"/>
            <w:shd w:fill="F3F7FA"/>
          </w:tcPr>
          <w:p>
            <w:pPr>
              <w:jc w:val="left"/>
            </w:pPr>
            <w:r>
              <w:rPr>
                <w:sz w:val="17"/>
              </w:rPr>
              <w:t>Independent emails</w:t>
            </w:r>
          </w:p>
        </w:tc>
        <w:tc>
          <w:tcPr>
            <w:tcW w:type="dxa" w:w="2324"/>
            <w:tcMar>
              <w:top w:w="110" w:type="dxa"/>
              <w:start w:w="120" w:type="dxa"/>
              <w:bottom w:w="110" w:type="dxa"/>
              <w:end w:w="120" w:type="dxa"/>
            </w:tcMar>
            <w:vAlign w:val="center"/>
            <w:shd w:fill="F3F7FA"/>
          </w:tcPr>
          <w:p>
            <w:pPr>
              <w:jc w:val="left"/>
            </w:pPr>
            <w:r>
              <w:rPr>
                <w:sz w:val="17"/>
              </w:rPr>
              <w:t>[fill after audit]</w:t>
            </w:r>
          </w:p>
        </w:tc>
        <w:tc>
          <w:tcPr>
            <w:tcW w:type="dxa" w:w="4649"/>
            <w:tcMar>
              <w:top w:w="110" w:type="dxa"/>
              <w:start w:w="120" w:type="dxa"/>
              <w:bottom w:w="110" w:type="dxa"/>
              <w:end w:w="120" w:type="dxa"/>
            </w:tcMar>
            <w:vAlign w:val="center"/>
            <w:shd w:fill="F3F7FA"/>
          </w:tcPr>
          <w:p>
            <w:pPr>
              <w:jc w:val="left"/>
            </w:pPr>
            <w:r>
              <w:rPr>
                <w:sz w:val="17"/>
              </w:rPr>
              <w:t>These test single-email understanding.</w:t>
            </w:r>
          </w:p>
        </w:tc>
      </w:tr>
      <w:tr>
        <w:trPr>
          <w:cantSplit/>
        </w:trPr>
        <w:tc>
          <w:tcPr>
            <w:tcW w:type="dxa" w:w="2268"/>
            <w:tcMar>
              <w:top w:w="110" w:type="dxa"/>
              <w:start w:w="120" w:type="dxa"/>
              <w:bottom w:w="110" w:type="dxa"/>
              <w:end w:w="120" w:type="dxa"/>
            </w:tcMar>
            <w:vAlign w:val="center"/>
          </w:tcPr>
          <w:p>
            <w:pPr>
              <w:jc w:val="left"/>
            </w:pPr>
            <w:r>
              <w:rPr>
                <w:sz w:val="17"/>
              </w:rPr>
              <w:t>Multi-email threads</w:t>
            </w:r>
          </w:p>
        </w:tc>
        <w:tc>
          <w:tcPr>
            <w:tcW w:type="dxa" w:w="2324"/>
            <w:tcMar>
              <w:top w:w="110" w:type="dxa"/>
              <w:start w:w="120" w:type="dxa"/>
              <w:bottom w:w="110" w:type="dxa"/>
              <w:end w:w="120" w:type="dxa"/>
            </w:tcMar>
            <w:vAlign w:val="center"/>
          </w:tcPr>
          <w:p>
            <w:pPr>
              <w:jc w:val="left"/>
            </w:pPr>
            <w:r>
              <w:rPr>
                <w:sz w:val="17"/>
              </w:rPr>
              <w:t>[fill after audit]</w:t>
            </w:r>
          </w:p>
        </w:tc>
        <w:tc>
          <w:tcPr>
            <w:tcW w:type="dxa" w:w="4649"/>
            <w:tcMar>
              <w:top w:w="110" w:type="dxa"/>
              <w:start w:w="120" w:type="dxa"/>
              <w:bottom w:w="110" w:type="dxa"/>
              <w:end w:w="120" w:type="dxa"/>
            </w:tcMar>
            <w:vAlign w:val="center"/>
          </w:tcPr>
          <w:p>
            <w:pPr>
              <w:jc w:val="left"/>
            </w:pPr>
            <w:r>
              <w:rPr>
                <w:sz w:val="17"/>
              </w:rPr>
              <w:t>This is the denominator for cross-email merging.</w:t>
            </w:r>
          </w:p>
        </w:tc>
      </w:tr>
      <w:tr>
        <w:trPr>
          <w:cantSplit/>
        </w:trPr>
        <w:tc>
          <w:tcPr>
            <w:tcW w:type="dxa" w:w="2268"/>
            <w:tcMar>
              <w:top w:w="110" w:type="dxa"/>
              <w:start w:w="120" w:type="dxa"/>
              <w:bottom w:w="110" w:type="dxa"/>
              <w:end w:w="120" w:type="dxa"/>
            </w:tcMar>
            <w:vAlign w:val="center"/>
            <w:shd w:fill="F3F7FA"/>
          </w:tcPr>
          <w:p>
            <w:pPr>
              <w:jc w:val="left"/>
            </w:pPr>
            <w:r>
              <w:rPr>
                <w:sz w:val="17"/>
              </w:rPr>
              <w:t>Emails inside those threads</w:t>
            </w:r>
          </w:p>
        </w:tc>
        <w:tc>
          <w:tcPr>
            <w:tcW w:type="dxa" w:w="2324"/>
            <w:tcMar>
              <w:top w:w="110" w:type="dxa"/>
              <w:start w:w="120" w:type="dxa"/>
              <w:bottom w:w="110" w:type="dxa"/>
              <w:end w:w="120" w:type="dxa"/>
            </w:tcMar>
            <w:vAlign w:val="center"/>
            <w:shd w:fill="F3F7FA"/>
          </w:tcPr>
          <w:p>
            <w:pPr>
              <w:jc w:val="left"/>
            </w:pPr>
            <w:r>
              <w:rPr>
                <w:sz w:val="17"/>
              </w:rPr>
              <w:t>[fill after audit]</w:t>
            </w:r>
          </w:p>
        </w:tc>
        <w:tc>
          <w:tcPr>
            <w:tcW w:type="dxa" w:w="4649"/>
            <w:tcMar>
              <w:top w:w="110" w:type="dxa"/>
              <w:start w:w="120" w:type="dxa"/>
              <w:bottom w:w="110" w:type="dxa"/>
              <w:end w:w="120" w:type="dxa"/>
            </w:tcMar>
            <w:vAlign w:val="center"/>
            <w:shd w:fill="F3F7FA"/>
          </w:tcPr>
          <w:p>
            <w:pPr>
              <w:jc w:val="left"/>
            </w:pPr>
            <w:r>
              <w:rPr>
                <w:sz w:val="17"/>
              </w:rPr>
              <w:t>Shows how much evidence the merge task actually uses.</w:t>
            </w:r>
          </w:p>
        </w:tc>
      </w:tr>
      <w:tr>
        <w:trPr>
          <w:cantSplit/>
        </w:trPr>
        <w:tc>
          <w:tcPr>
            <w:tcW w:type="dxa" w:w="2268"/>
            <w:tcMar>
              <w:top w:w="110" w:type="dxa"/>
              <w:start w:w="120" w:type="dxa"/>
              <w:bottom w:w="110" w:type="dxa"/>
              <w:end w:w="120" w:type="dxa"/>
            </w:tcMar>
            <w:vAlign w:val="center"/>
          </w:tcPr>
          <w:p>
            <w:pPr>
              <w:jc w:val="left"/>
            </w:pPr>
            <w:r>
              <w:rPr>
                <w:sz w:val="17"/>
              </w:rPr>
              <w:t>Deadline corrections</w:t>
            </w:r>
          </w:p>
        </w:tc>
        <w:tc>
          <w:tcPr>
            <w:tcW w:type="dxa" w:w="2324"/>
            <w:tcMar>
              <w:top w:w="110" w:type="dxa"/>
              <w:start w:w="120" w:type="dxa"/>
              <w:bottom w:w="110" w:type="dxa"/>
              <w:end w:w="120" w:type="dxa"/>
            </w:tcMar>
            <w:vAlign w:val="center"/>
          </w:tcPr>
          <w:p>
            <w:pPr>
              <w:jc w:val="left"/>
            </w:pPr>
            <w:r>
              <w:rPr>
                <w:sz w:val="17"/>
              </w:rPr>
              <w:t>[fill after audit]</w:t>
            </w:r>
          </w:p>
        </w:tc>
        <w:tc>
          <w:tcPr>
            <w:tcW w:type="dxa" w:w="4649"/>
            <w:tcMar>
              <w:top w:w="110" w:type="dxa"/>
              <w:start w:w="120" w:type="dxa"/>
              <w:bottom w:w="110" w:type="dxa"/>
              <w:end w:w="120" w:type="dxa"/>
            </w:tcMar>
            <w:vAlign w:val="center"/>
          </w:tcPr>
          <w:p>
            <w:pPr>
              <w:jc w:val="left"/>
            </w:pPr>
            <w:r>
              <w:rPr>
                <w:sz w:val="17"/>
              </w:rPr>
              <w:t>Tests whether the newest instruction replaces the old one.</w:t>
            </w:r>
          </w:p>
        </w:tc>
      </w:tr>
      <w:tr>
        <w:trPr>
          <w:cantSplit/>
        </w:trPr>
        <w:tc>
          <w:tcPr>
            <w:tcW w:type="dxa" w:w="2268"/>
            <w:tcMar>
              <w:top w:w="110" w:type="dxa"/>
              <w:start w:w="120" w:type="dxa"/>
              <w:bottom w:w="110" w:type="dxa"/>
              <w:end w:w="120" w:type="dxa"/>
            </w:tcMar>
            <w:vAlign w:val="center"/>
            <w:shd w:fill="F3F7FA"/>
          </w:tcPr>
          <w:p>
            <w:pPr>
              <w:jc w:val="left"/>
            </w:pPr>
            <w:r>
              <w:rPr>
                <w:sz w:val="17"/>
              </w:rPr>
              <w:t>Conflicting or ambiguous cases</w:t>
            </w:r>
          </w:p>
        </w:tc>
        <w:tc>
          <w:tcPr>
            <w:tcW w:type="dxa" w:w="2324"/>
            <w:tcMar>
              <w:top w:w="110" w:type="dxa"/>
              <w:start w:w="120" w:type="dxa"/>
              <w:bottom w:w="110" w:type="dxa"/>
              <w:end w:w="120" w:type="dxa"/>
            </w:tcMar>
            <w:vAlign w:val="center"/>
            <w:shd w:fill="F3F7FA"/>
          </w:tcPr>
          <w:p>
            <w:pPr>
              <w:jc w:val="left"/>
            </w:pPr>
            <w:r>
              <w:rPr>
                <w:sz w:val="17"/>
              </w:rPr>
              <w:t>[fill after audit]</w:t>
            </w:r>
          </w:p>
        </w:tc>
        <w:tc>
          <w:tcPr>
            <w:tcW w:type="dxa" w:w="4649"/>
            <w:tcMar>
              <w:top w:w="110" w:type="dxa"/>
              <w:start w:w="120" w:type="dxa"/>
              <w:bottom w:w="110" w:type="dxa"/>
              <w:end w:w="120" w:type="dxa"/>
            </w:tcMar>
            <w:vAlign w:val="center"/>
            <w:shd w:fill="F3F7FA"/>
          </w:tcPr>
          <w:p>
            <w:pPr>
              <w:jc w:val="left"/>
            </w:pPr>
            <w:r>
              <w:rPr>
                <w:sz w:val="17"/>
              </w:rPr>
              <w:t>Tests escalation and safe refusal.</w:t>
            </w:r>
          </w:p>
        </w:tc>
      </w:tr>
    </w:tbl>
    <w:p>
      <w:pPr>
        <w:spacing w:after="0"/>
      </w:pPr>
    </w:p>
    <w:p>
      <w:pPr>
        <w:pStyle w:val="Heading2"/>
        <w:keepNext/>
      </w:pPr>
      <w:r>
        <w:t>Gold label schema</w:t>
      </w:r>
    </w:p>
    <w:p>
      <w:pPr>
        <w:pStyle w:val="ListBullet"/>
      </w:pPr>
      <w:r>
        <w:t>email_id and thread_id: stable identifiers for each message and chain.</w:t>
      </w:r>
    </w:p>
    <w:p>
      <w:pPr>
        <w:pStyle w:val="ListBullet"/>
      </w:pPr>
      <w:r>
        <w:t>course_gold and task_type_gold: the correct course and action category.</w:t>
      </w:r>
    </w:p>
    <w:p>
      <w:pPr>
        <w:pStyle w:val="ListBullet"/>
      </w:pPr>
      <w:r>
        <w:t>deadline_gold: normalized date, time, and time zone; blank if no deadline exists.</w:t>
      </w:r>
    </w:p>
    <w:p>
      <w:pPr>
        <w:pStyle w:val="ListBullet"/>
      </w:pPr>
      <w:r>
        <w:t>urgency_gold and urgency_reason: assigned by a human using the policy below.</w:t>
      </w:r>
    </w:p>
    <w:p>
      <w:pPr>
        <w:pStyle w:val="ListBullet"/>
      </w:pPr>
      <w:r>
        <w:t>evidence_gold: the exact sentence or message that supports the answer.</w:t>
      </w:r>
    </w:p>
    <w:p>
      <w:pPr>
        <w:pStyle w:val="ListBullet"/>
      </w:pPr>
      <w:r>
        <w:t>calendar_action_gold: create, update, do not create, or ask for clarification.</w:t>
      </w:r>
    </w:p>
    <w:p>
      <w:pPr>
        <w:pStyle w:val="Heading2"/>
        <w:keepNext/>
      </w:pPr>
      <w:r>
        <w:t>Independent urgency policy</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6"/>
        <w:gridCol w:w="4986"/>
      </w:tblGrid>
      <w:tr>
        <w:trPr>
          <w:tblHeader w:val="true"/>
          <w:cantSplit/>
        </w:trPr>
        <w:tc>
          <w:tcPr>
            <w:tcW w:type="dxa" w:w="1814"/>
            <w:shd w:fill="1F4E78"/>
            <w:tcMar>
              <w:top w:w="110" w:type="dxa"/>
              <w:start w:w="120" w:type="dxa"/>
              <w:bottom w:w="110" w:type="dxa"/>
              <w:end w:w="120" w:type="dxa"/>
            </w:tcMar>
            <w:vAlign w:val="center"/>
          </w:tcPr>
          <w:p>
            <w:pPr>
              <w:jc w:val="center"/>
            </w:pPr>
            <w:r>
              <w:rPr>
                <w:b/>
                <w:color w:val="FFFFFF"/>
                <w:sz w:val="18"/>
              </w:rPr>
              <w:t>Gold label</w:t>
            </w:r>
          </w:p>
        </w:tc>
        <w:tc>
          <w:tcPr>
            <w:tcW w:type="dxa" w:w="7427"/>
            <w:shd w:fill="1F4E78"/>
            <w:tcMar>
              <w:top w:w="110" w:type="dxa"/>
              <w:start w:w="120" w:type="dxa"/>
              <w:bottom w:w="110" w:type="dxa"/>
              <w:end w:w="120" w:type="dxa"/>
            </w:tcMar>
            <w:vAlign w:val="center"/>
          </w:tcPr>
          <w:p>
            <w:pPr>
              <w:jc w:val="center"/>
            </w:pPr>
            <w:r>
              <w:rPr>
                <w:b/>
                <w:color w:val="FFFFFF"/>
                <w:sz w:val="18"/>
              </w:rPr>
              <w:t>Rule applied before model evaluation</w:t>
            </w:r>
          </w:p>
        </w:tc>
      </w:tr>
      <w:tr>
        <w:trPr>
          <w:cantSplit/>
        </w:trPr>
        <w:tc>
          <w:tcPr>
            <w:tcW w:type="dxa" w:w="1814"/>
            <w:tcMar>
              <w:top w:w="110" w:type="dxa"/>
              <w:start w:w="120" w:type="dxa"/>
              <w:bottom w:w="110" w:type="dxa"/>
              <w:end w:w="120" w:type="dxa"/>
            </w:tcMar>
            <w:vAlign w:val="center"/>
          </w:tcPr>
          <w:p>
            <w:pPr>
              <w:jc w:val="left"/>
            </w:pPr>
            <w:r>
              <w:rPr>
                <w:sz w:val="17"/>
              </w:rPr>
              <w:t>Urgent</w:t>
            </w:r>
          </w:p>
        </w:tc>
        <w:tc>
          <w:tcPr>
            <w:tcW w:type="dxa" w:w="7427"/>
            <w:tcMar>
              <w:top w:w="110" w:type="dxa"/>
              <w:start w:w="120" w:type="dxa"/>
              <w:bottom w:w="110" w:type="dxa"/>
              <w:end w:w="120" w:type="dxa"/>
            </w:tcMar>
            <w:vAlign w:val="center"/>
          </w:tcPr>
          <w:p>
            <w:pPr>
              <w:jc w:val="left"/>
            </w:pPr>
            <w:r>
              <w:rPr>
                <w:sz w:val="17"/>
              </w:rPr>
              <w:t>Explicit urgent language, or a required action due within 48 hours.</w:t>
            </w:r>
          </w:p>
        </w:tc>
      </w:tr>
      <w:tr>
        <w:trPr>
          <w:cantSplit/>
        </w:trPr>
        <w:tc>
          <w:tcPr>
            <w:tcW w:type="dxa" w:w="1814"/>
            <w:tcMar>
              <w:top w:w="110" w:type="dxa"/>
              <w:start w:w="120" w:type="dxa"/>
              <w:bottom w:w="110" w:type="dxa"/>
              <w:end w:w="120" w:type="dxa"/>
            </w:tcMar>
            <w:vAlign w:val="center"/>
            <w:shd w:fill="F3F7FA"/>
          </w:tcPr>
          <w:p>
            <w:pPr>
              <w:jc w:val="left"/>
            </w:pPr>
            <w:r>
              <w:rPr>
                <w:sz w:val="17"/>
              </w:rPr>
              <w:t>High</w:t>
            </w:r>
          </w:p>
        </w:tc>
        <w:tc>
          <w:tcPr>
            <w:tcW w:type="dxa" w:w="7427"/>
            <w:tcMar>
              <w:top w:w="110" w:type="dxa"/>
              <w:start w:w="120" w:type="dxa"/>
              <w:bottom w:w="110" w:type="dxa"/>
              <w:end w:w="120" w:type="dxa"/>
            </w:tcMar>
            <w:vAlign w:val="center"/>
            <w:shd w:fill="F3F7FA"/>
          </w:tcPr>
          <w:p>
            <w:pPr>
              <w:jc w:val="left"/>
            </w:pPr>
            <w:r>
              <w:rPr>
                <w:sz w:val="17"/>
              </w:rPr>
              <w:t>A required action due within 7 days, or a near-term class or submission change that affects the student's next action.</w:t>
            </w:r>
          </w:p>
        </w:tc>
      </w:tr>
      <w:tr>
        <w:trPr>
          <w:cantSplit/>
        </w:trPr>
        <w:tc>
          <w:tcPr>
            <w:tcW w:type="dxa" w:w="1814"/>
            <w:tcMar>
              <w:top w:w="110" w:type="dxa"/>
              <w:start w:w="120" w:type="dxa"/>
              <w:bottom w:w="110" w:type="dxa"/>
              <w:end w:w="120" w:type="dxa"/>
            </w:tcMar>
            <w:vAlign w:val="center"/>
          </w:tcPr>
          <w:p>
            <w:pPr>
              <w:jc w:val="left"/>
            </w:pPr>
            <w:r>
              <w:rPr>
                <w:sz w:val="17"/>
              </w:rPr>
              <w:t>Medium</w:t>
            </w:r>
          </w:p>
        </w:tc>
        <w:tc>
          <w:tcPr>
            <w:tcW w:type="dxa" w:w="7427"/>
            <w:tcMar>
              <w:top w:w="110" w:type="dxa"/>
              <w:start w:w="120" w:type="dxa"/>
              <w:bottom w:w="110" w:type="dxa"/>
              <w:end w:w="120" w:type="dxa"/>
            </w:tcMar>
            <w:vAlign w:val="center"/>
          </w:tcPr>
          <w:p>
            <w:pPr>
              <w:jc w:val="left"/>
            </w:pPr>
            <w:r>
              <w:rPr>
                <w:sz w:val="17"/>
              </w:rPr>
              <w:t>A required action due later than 7 days, with enough time to plan.</w:t>
            </w:r>
          </w:p>
        </w:tc>
      </w:tr>
      <w:tr>
        <w:trPr>
          <w:cantSplit/>
        </w:trPr>
        <w:tc>
          <w:tcPr>
            <w:tcW w:type="dxa" w:w="1814"/>
            <w:tcMar>
              <w:top w:w="110" w:type="dxa"/>
              <w:start w:w="120" w:type="dxa"/>
              <w:bottom w:w="110" w:type="dxa"/>
              <w:end w:w="120" w:type="dxa"/>
            </w:tcMar>
            <w:vAlign w:val="center"/>
            <w:shd w:fill="F3F7FA"/>
          </w:tcPr>
          <w:p>
            <w:pPr>
              <w:jc w:val="left"/>
            </w:pPr>
            <w:r>
              <w:rPr>
                <w:sz w:val="17"/>
              </w:rPr>
              <w:t>Low</w:t>
            </w:r>
          </w:p>
        </w:tc>
        <w:tc>
          <w:tcPr>
            <w:tcW w:type="dxa" w:w="7427"/>
            <w:tcMar>
              <w:top w:w="110" w:type="dxa"/>
              <w:start w:w="120" w:type="dxa"/>
              <w:bottom w:w="110" w:type="dxa"/>
              <w:end w:w="120" w:type="dxa"/>
            </w:tcMar>
            <w:vAlign w:val="center"/>
            <w:shd w:fill="F3F7FA"/>
          </w:tcPr>
          <w:p>
            <w:pPr>
              <w:jc w:val="left"/>
            </w:pPr>
            <w:r>
              <w:rPr>
                <w:sz w:val="17"/>
              </w:rPr>
              <w:t>Information only, optional activity, or no action required.</w:t>
            </w:r>
          </w:p>
        </w:tc>
      </w:tr>
      <w:tr>
        <w:trPr>
          <w:cantSplit/>
        </w:trPr>
        <w:tc>
          <w:tcPr>
            <w:tcW w:type="dxa" w:w="1814"/>
            <w:tcMar>
              <w:top w:w="110" w:type="dxa"/>
              <w:start w:w="120" w:type="dxa"/>
              <w:bottom w:w="110" w:type="dxa"/>
              <w:end w:w="120" w:type="dxa"/>
            </w:tcMar>
            <w:vAlign w:val="center"/>
          </w:tcPr>
          <w:p>
            <w:pPr>
              <w:jc w:val="left"/>
            </w:pPr>
            <w:r>
              <w:rPr>
                <w:sz w:val="17"/>
              </w:rPr>
              <w:t>Unclear</w:t>
            </w:r>
          </w:p>
        </w:tc>
        <w:tc>
          <w:tcPr>
            <w:tcW w:type="dxa" w:w="7427"/>
            <w:tcMar>
              <w:top w:w="110" w:type="dxa"/>
              <w:start w:w="120" w:type="dxa"/>
              <w:bottom w:w="110" w:type="dxa"/>
              <w:end w:w="120" w:type="dxa"/>
            </w:tcMar>
            <w:vAlign w:val="center"/>
          </w:tcPr>
          <w:p>
            <w:pPr>
              <w:jc w:val="left"/>
            </w:pPr>
            <w:r>
              <w:rPr>
                <w:sz w:val="17"/>
              </w:rPr>
              <w:t>The email lacks enough evidence; the system should ask the user instead of guessing.</w:t>
            </w:r>
          </w:p>
        </w:tc>
      </w:tr>
    </w:tbl>
    <w:p>
      <w:pPr>
        <w:spacing w:after="0"/>
      </w:pPr>
    </w:p>
    <w:p>
      <w:r>
        <w:rPr>
          <w:b/>
        </w:rPr>
        <w:t xml:space="preserve">Evaluation rule. </w:t>
      </w:r>
      <w:r>
        <w:t>A high-priority miss is counted against the human gold label, not against the priority produced by AI Scroll.</w:t>
      </w:r>
    </w:p>
    <w:p>
      <w:pPr>
        <w:pStyle w:val="Heading1"/>
        <w:keepNext/>
      </w:pPr>
      <w:r>
        <w:t>4  Evaluation metrics to report separately</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cantSplit/>
        </w:trPr>
        <w:tc>
          <w:tcPr>
            <w:tcW w:type="dxa" w:w="1984"/>
            <w:shd w:fill="1F4E78"/>
            <w:tcMar>
              <w:top w:w="110" w:type="dxa"/>
              <w:start w:w="120" w:type="dxa"/>
              <w:bottom w:w="110" w:type="dxa"/>
              <w:end w:w="120" w:type="dxa"/>
            </w:tcMar>
            <w:vAlign w:val="center"/>
          </w:tcPr>
          <w:p>
            <w:pPr>
              <w:jc w:val="center"/>
            </w:pPr>
            <w:r>
              <w:rPr>
                <w:b/>
                <w:color w:val="FFFFFF"/>
                <w:sz w:val="18"/>
              </w:rPr>
              <w:t>Task</w:t>
            </w:r>
          </w:p>
        </w:tc>
        <w:tc>
          <w:tcPr>
            <w:tcW w:type="dxa" w:w="4932"/>
            <w:shd w:fill="1F4E78"/>
            <w:tcMar>
              <w:top w:w="110" w:type="dxa"/>
              <w:start w:w="120" w:type="dxa"/>
              <w:bottom w:w="110" w:type="dxa"/>
              <w:end w:w="120" w:type="dxa"/>
            </w:tcMar>
            <w:vAlign w:val="center"/>
          </w:tcPr>
          <w:p>
            <w:pPr>
              <w:jc w:val="center"/>
            </w:pPr>
            <w:r>
              <w:rPr>
                <w:b/>
                <w:color w:val="FFFFFF"/>
                <w:sz w:val="18"/>
              </w:rPr>
              <w:t>Unit and scoring rule</w:t>
            </w:r>
          </w:p>
        </w:tc>
        <w:tc>
          <w:tcPr>
            <w:tcW w:type="dxa" w:w="2324"/>
            <w:shd w:fill="1F4E78"/>
            <w:tcMar>
              <w:top w:w="110" w:type="dxa"/>
              <w:start w:w="120" w:type="dxa"/>
              <w:bottom w:w="110" w:type="dxa"/>
              <w:end w:w="120" w:type="dxa"/>
            </w:tcMar>
            <w:vAlign w:val="center"/>
          </w:tcPr>
          <w:p>
            <w:pPr>
              <w:jc w:val="center"/>
            </w:pPr>
            <w:r>
              <w:rPr>
                <w:b/>
                <w:color w:val="FFFFFF"/>
                <w:sz w:val="18"/>
              </w:rPr>
              <w:t>Report format</w:t>
            </w:r>
          </w:p>
        </w:tc>
      </w:tr>
      <w:tr>
        <w:trPr>
          <w:cantSplit/>
        </w:trPr>
        <w:tc>
          <w:tcPr>
            <w:tcW w:type="dxa" w:w="1984"/>
            <w:tcMar>
              <w:top w:w="110" w:type="dxa"/>
              <w:start w:w="120" w:type="dxa"/>
              <w:bottom w:w="110" w:type="dxa"/>
              <w:end w:w="120" w:type="dxa"/>
            </w:tcMar>
            <w:vAlign w:val="center"/>
          </w:tcPr>
          <w:p>
            <w:pPr>
              <w:jc w:val="left"/>
            </w:pPr>
            <w:r>
              <w:rPr>
                <w:sz w:val="17"/>
              </w:rPr>
              <w:t>Course identification</w:t>
            </w:r>
          </w:p>
        </w:tc>
        <w:tc>
          <w:tcPr>
            <w:tcW w:type="dxa" w:w="4932"/>
            <w:tcMar>
              <w:top w:w="110" w:type="dxa"/>
              <w:start w:w="120" w:type="dxa"/>
              <w:bottom w:w="110" w:type="dxa"/>
              <w:end w:w="120" w:type="dxa"/>
            </w:tcMar>
            <w:vAlign w:val="center"/>
          </w:tcPr>
          <w:p>
            <w:pPr>
              <w:jc w:val="left"/>
            </w:pPr>
            <w:r>
              <w:rPr>
                <w:sz w:val="17"/>
              </w:rPr>
              <w:t>One prediction per email; exact label match.</w:t>
            </w:r>
          </w:p>
        </w:tc>
        <w:tc>
          <w:tcPr>
            <w:tcW w:type="dxa" w:w="2324"/>
            <w:tcMar>
              <w:top w:w="110" w:type="dxa"/>
              <w:start w:w="120" w:type="dxa"/>
              <w:bottom w:w="110" w:type="dxa"/>
              <w:end w:w="120" w:type="dxa"/>
            </w:tcMar>
            <w:vAlign w:val="center"/>
          </w:tcPr>
          <w:p>
            <w:pPr>
              <w:jc w:val="left"/>
            </w:pPr>
            <w:r>
              <w:rPr>
                <w:sz w:val="17"/>
              </w:rPr>
              <w:t>Correct / total labelled emails</w:t>
            </w:r>
          </w:p>
        </w:tc>
      </w:tr>
      <w:tr>
        <w:trPr>
          <w:cantSplit/>
        </w:trPr>
        <w:tc>
          <w:tcPr>
            <w:tcW w:type="dxa" w:w="1984"/>
            <w:tcMar>
              <w:top w:w="110" w:type="dxa"/>
              <w:start w:w="120" w:type="dxa"/>
              <w:bottom w:w="110" w:type="dxa"/>
              <w:end w:w="120" w:type="dxa"/>
            </w:tcMar>
            <w:vAlign w:val="center"/>
            <w:shd w:fill="F3F7FA"/>
          </w:tcPr>
          <w:p>
            <w:pPr>
              <w:jc w:val="left"/>
            </w:pPr>
            <w:r>
              <w:rPr>
                <w:sz w:val="17"/>
              </w:rPr>
              <w:t>Task extraction</w:t>
            </w:r>
          </w:p>
        </w:tc>
        <w:tc>
          <w:tcPr>
            <w:tcW w:type="dxa" w:w="4932"/>
            <w:tcMar>
              <w:top w:w="110" w:type="dxa"/>
              <w:start w:w="120" w:type="dxa"/>
              <w:bottom w:w="110" w:type="dxa"/>
              <w:end w:w="120" w:type="dxa"/>
            </w:tcMar>
            <w:vAlign w:val="center"/>
            <w:shd w:fill="F3F7FA"/>
          </w:tcPr>
          <w:p>
            <w:pPr>
              <w:jc w:val="left"/>
            </w:pPr>
            <w:r>
              <w:rPr>
                <w:sz w:val="17"/>
              </w:rPr>
              <w:t>One gold task list per case; count correct, missed, and extra tasks.</w:t>
            </w:r>
          </w:p>
        </w:tc>
        <w:tc>
          <w:tcPr>
            <w:tcW w:type="dxa" w:w="2324"/>
            <w:tcMar>
              <w:top w:w="110" w:type="dxa"/>
              <w:start w:w="120" w:type="dxa"/>
              <w:bottom w:w="110" w:type="dxa"/>
              <w:end w:w="120" w:type="dxa"/>
            </w:tcMar>
            <w:vAlign w:val="center"/>
            <w:shd w:fill="F3F7FA"/>
          </w:tcPr>
          <w:p>
            <w:pPr>
              <w:jc w:val="left"/>
            </w:pPr>
            <w:r>
              <w:rPr>
                <w:sz w:val="17"/>
              </w:rPr>
              <w:t>Correct tasks / total gold tasks; missed; false positives</w:t>
            </w:r>
          </w:p>
        </w:tc>
      </w:tr>
      <w:tr>
        <w:trPr>
          <w:cantSplit/>
        </w:trPr>
        <w:tc>
          <w:tcPr>
            <w:tcW w:type="dxa" w:w="1984"/>
            <w:tcMar>
              <w:top w:w="110" w:type="dxa"/>
              <w:start w:w="120" w:type="dxa"/>
              <w:bottom w:w="110" w:type="dxa"/>
              <w:end w:w="120" w:type="dxa"/>
            </w:tcMar>
            <w:vAlign w:val="center"/>
          </w:tcPr>
          <w:p>
            <w:pPr>
              <w:jc w:val="left"/>
            </w:pPr>
            <w:r>
              <w:rPr>
                <w:sz w:val="17"/>
              </w:rPr>
              <w:t>Deadline extraction</w:t>
            </w:r>
          </w:p>
        </w:tc>
        <w:tc>
          <w:tcPr>
            <w:tcW w:type="dxa" w:w="4932"/>
            <w:tcMar>
              <w:top w:w="110" w:type="dxa"/>
              <w:start w:w="120" w:type="dxa"/>
              <w:bottom w:w="110" w:type="dxa"/>
              <w:end w:w="120" w:type="dxa"/>
            </w:tcMar>
            <w:vAlign w:val="center"/>
          </w:tcPr>
          <w:p>
            <w:pPr>
              <w:jc w:val="left"/>
            </w:pPr>
            <w:r>
              <w:rPr>
                <w:sz w:val="17"/>
              </w:rPr>
              <w:t>Exact normalized date, time, and time zone; no-date cases scored separately.</w:t>
            </w:r>
          </w:p>
        </w:tc>
        <w:tc>
          <w:tcPr>
            <w:tcW w:type="dxa" w:w="2324"/>
            <w:tcMar>
              <w:top w:w="110" w:type="dxa"/>
              <w:start w:w="120" w:type="dxa"/>
              <w:bottom w:w="110" w:type="dxa"/>
              <w:end w:w="120" w:type="dxa"/>
            </w:tcMar>
            <w:vAlign w:val="center"/>
          </w:tcPr>
          <w:p>
            <w:pPr>
              <w:jc w:val="left"/>
            </w:pPr>
            <w:r>
              <w:rPr>
                <w:sz w:val="17"/>
              </w:rPr>
              <w:t>Exact deadlines / deadline-bearing cases; false deadlines</w:t>
            </w:r>
          </w:p>
        </w:tc>
      </w:tr>
      <w:tr>
        <w:trPr>
          <w:cantSplit/>
        </w:trPr>
        <w:tc>
          <w:tcPr>
            <w:tcW w:type="dxa" w:w="1984"/>
            <w:tcMar>
              <w:top w:w="110" w:type="dxa"/>
              <w:start w:w="120" w:type="dxa"/>
              <w:bottom w:w="110" w:type="dxa"/>
              <w:end w:w="120" w:type="dxa"/>
            </w:tcMar>
            <w:vAlign w:val="center"/>
            <w:shd w:fill="F3F7FA"/>
          </w:tcPr>
          <w:p>
            <w:pPr>
              <w:jc w:val="left"/>
            </w:pPr>
            <w:r>
              <w:rPr>
                <w:sz w:val="17"/>
              </w:rPr>
              <w:t>Urgency ranking</w:t>
            </w:r>
          </w:p>
        </w:tc>
        <w:tc>
          <w:tcPr>
            <w:tcW w:type="dxa" w:w="4932"/>
            <w:tcMar>
              <w:top w:w="110" w:type="dxa"/>
              <w:start w:w="120" w:type="dxa"/>
              <w:bottom w:w="110" w:type="dxa"/>
              <w:end w:w="120" w:type="dxa"/>
            </w:tcMar>
            <w:vAlign w:val="center"/>
            <w:shd w:fill="F3F7FA"/>
          </w:tcPr>
          <w:p>
            <w:pPr>
              <w:jc w:val="left"/>
            </w:pPr>
            <w:r>
              <w:rPr>
                <w:sz w:val="17"/>
              </w:rPr>
              <w:t>Compare model label with the independent human label.</w:t>
            </w:r>
          </w:p>
        </w:tc>
        <w:tc>
          <w:tcPr>
            <w:tcW w:type="dxa" w:w="2324"/>
            <w:tcMar>
              <w:top w:w="110" w:type="dxa"/>
              <w:start w:w="120" w:type="dxa"/>
              <w:bottom w:w="110" w:type="dxa"/>
              <w:end w:w="120" w:type="dxa"/>
            </w:tcMar>
            <w:vAlign w:val="center"/>
            <w:shd w:fill="F3F7FA"/>
          </w:tcPr>
          <w:p>
            <w:pPr>
              <w:jc w:val="left"/>
            </w:pPr>
            <w:r>
              <w:rPr>
                <w:sz w:val="17"/>
              </w:rPr>
              <w:t>Correct / total labelled cases; confusion counts</w:t>
            </w:r>
          </w:p>
        </w:tc>
      </w:tr>
      <w:tr>
        <w:trPr>
          <w:cantSplit/>
        </w:trPr>
        <w:tc>
          <w:tcPr>
            <w:tcW w:type="dxa" w:w="1984"/>
            <w:tcMar>
              <w:top w:w="110" w:type="dxa"/>
              <w:start w:w="120" w:type="dxa"/>
              <w:bottom w:w="110" w:type="dxa"/>
              <w:end w:w="120" w:type="dxa"/>
            </w:tcMar>
            <w:vAlign w:val="center"/>
          </w:tcPr>
          <w:p>
            <w:pPr>
              <w:jc w:val="left"/>
            </w:pPr>
            <w:r>
              <w:rPr>
                <w:sz w:val="17"/>
              </w:rPr>
              <w:t>Cross-email merging</w:t>
            </w:r>
          </w:p>
        </w:tc>
        <w:tc>
          <w:tcPr>
            <w:tcW w:type="dxa" w:w="4932"/>
            <w:tcMar>
              <w:top w:w="110" w:type="dxa"/>
              <w:start w:w="120" w:type="dxa"/>
              <w:bottom w:w="110" w:type="dxa"/>
              <w:end w:w="120" w:type="dxa"/>
            </w:tcMar>
            <w:vAlign w:val="center"/>
          </w:tcPr>
          <w:p>
            <w:pPr>
              <w:jc w:val="left"/>
            </w:pPr>
            <w:r>
              <w:rPr>
                <w:sz w:val="17"/>
              </w:rPr>
              <w:t>Score only genuine multi-email threads; latest valid instruction must win.</w:t>
            </w:r>
          </w:p>
        </w:tc>
        <w:tc>
          <w:tcPr>
            <w:tcW w:type="dxa" w:w="2324"/>
            <w:tcMar>
              <w:top w:w="110" w:type="dxa"/>
              <w:start w:w="120" w:type="dxa"/>
              <w:bottom w:w="110" w:type="dxa"/>
              <w:end w:w="120" w:type="dxa"/>
            </w:tcMar>
            <w:vAlign w:val="center"/>
          </w:tcPr>
          <w:p>
            <w:pPr>
              <w:jc w:val="left"/>
            </w:pPr>
            <w:r>
              <w:rPr>
                <w:sz w:val="17"/>
              </w:rPr>
              <w:t>Correctly merged threads / total merge threads</w:t>
            </w:r>
          </w:p>
        </w:tc>
      </w:tr>
      <w:tr>
        <w:trPr>
          <w:cantSplit/>
        </w:trPr>
        <w:tc>
          <w:tcPr>
            <w:tcW w:type="dxa" w:w="1984"/>
            <w:tcMar>
              <w:top w:w="110" w:type="dxa"/>
              <w:start w:w="120" w:type="dxa"/>
              <w:bottom w:w="110" w:type="dxa"/>
              <w:end w:w="120" w:type="dxa"/>
            </w:tcMar>
            <w:vAlign w:val="center"/>
            <w:shd w:fill="F3F7FA"/>
          </w:tcPr>
          <w:p>
            <w:pPr>
              <w:jc w:val="left"/>
            </w:pPr>
            <w:r>
              <w:rPr>
                <w:sz w:val="17"/>
              </w:rPr>
              <w:t>Calendar action</w:t>
            </w:r>
          </w:p>
        </w:tc>
        <w:tc>
          <w:tcPr>
            <w:tcW w:type="dxa" w:w="4932"/>
            <w:tcMar>
              <w:top w:w="110" w:type="dxa"/>
              <w:start w:w="120" w:type="dxa"/>
              <w:bottom w:w="110" w:type="dxa"/>
              <w:end w:w="120" w:type="dxa"/>
            </w:tcMar>
            <w:vAlign w:val="center"/>
            <w:shd w:fill="F3F7FA"/>
          </w:tcPr>
          <w:p>
            <w:pPr>
              <w:jc w:val="left"/>
            </w:pPr>
            <w:r>
              <w:rPr>
                <w:sz w:val="17"/>
              </w:rPr>
              <w:t>Event fields must match the gold answer; no write may occur before approval.</w:t>
            </w:r>
          </w:p>
        </w:tc>
        <w:tc>
          <w:tcPr>
            <w:tcW w:type="dxa" w:w="2324"/>
            <w:tcMar>
              <w:top w:w="110" w:type="dxa"/>
              <w:start w:w="120" w:type="dxa"/>
              <w:bottom w:w="110" w:type="dxa"/>
              <w:end w:w="120" w:type="dxa"/>
            </w:tcMar>
            <w:vAlign w:val="center"/>
            <w:shd w:fill="F3F7FA"/>
          </w:tcPr>
          <w:p>
            <w:pPr>
              <w:jc w:val="left"/>
            </w:pPr>
            <w:r>
              <w:rPr>
                <w:sz w:val="17"/>
              </w:rPr>
              <w:t>Correct proposals / eligible cases; unauthorized writes = 0</w:t>
            </w:r>
          </w:p>
        </w:tc>
      </w:tr>
    </w:tbl>
    <w:p>
      <w:pPr>
        <w:spacing w:after="0"/>
      </w:pPr>
    </w:p>
    <w:p>
      <w:r>
        <w:rPr>
          <w:b/>
        </w:rPr>
        <w:t xml:space="preserve">How to retain the original target. </w:t>
      </w:r>
      <w:r>
        <w:t>Use 85-90% only as a target for critical task and deadline extraction, and always show the underlying count as x/N. For example, if 40 cases contain a real deadline, report 35/40 rather than 87.5% alone. Do not enter final numerators until the frozen test run is complete.</w:t>
      </w:r>
    </w:p>
    <w:p>
      <w:pPr>
        <w:pStyle w:val="Heading1"/>
        <w:keepNext/>
      </w:pPr>
      <w:r>
        <w:t>5  Cost analysis for the missing Class 5 coverage</w:t>
      </w:r>
    </w:p>
    <w:p>
      <w:pPr>
        <w:keepNext/>
      </w:pPr>
      <w:r>
        <w:rPr>
          <w:b/>
        </w:rPr>
        <w:t xml:space="preserve">Measure cost from logs. </w:t>
      </w:r>
      <w:r>
        <w:t>Record input and output tokens for every evaluated email or thread and use the provider's price on the test date.</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cantSplit/>
        </w:trPr>
        <w:tc>
          <w:tcPr>
            <w:tcW w:type="dxa" w:w="2041"/>
            <w:shd w:fill="1F4E78"/>
            <w:tcMar>
              <w:top w:w="110" w:type="dxa"/>
              <w:start w:w="120" w:type="dxa"/>
              <w:bottom w:w="110" w:type="dxa"/>
              <w:end w:w="120" w:type="dxa"/>
            </w:tcMar>
            <w:vAlign w:val="center"/>
          </w:tcPr>
          <w:p>
            <w:pPr>
              <w:jc w:val="center"/>
            </w:pPr>
            <w:r>
              <w:rPr>
                <w:b/>
                <w:color w:val="FFFFFF"/>
                <w:sz w:val="18"/>
              </w:rPr>
              <w:t>Measure</w:t>
            </w:r>
          </w:p>
        </w:tc>
        <w:tc>
          <w:tcPr>
            <w:tcW w:type="dxa" w:w="4932"/>
            <w:shd w:fill="1F4E78"/>
            <w:tcMar>
              <w:top w:w="110" w:type="dxa"/>
              <w:start w:w="120" w:type="dxa"/>
              <w:bottom w:w="110" w:type="dxa"/>
              <w:end w:w="120" w:type="dxa"/>
            </w:tcMar>
            <w:vAlign w:val="center"/>
          </w:tcPr>
          <w:p>
            <w:pPr>
              <w:jc w:val="center"/>
            </w:pPr>
            <w:r>
              <w:rPr>
                <w:b/>
                <w:color w:val="FFFFFF"/>
                <w:sz w:val="18"/>
              </w:rPr>
              <w:t>Formula</w:t>
            </w:r>
          </w:p>
        </w:tc>
        <w:tc>
          <w:tcPr>
            <w:tcW w:type="dxa" w:w="2268"/>
            <w:shd w:fill="1F4E78"/>
            <w:tcMar>
              <w:top w:w="110" w:type="dxa"/>
              <w:start w:w="120" w:type="dxa"/>
              <w:bottom w:w="110" w:type="dxa"/>
              <w:end w:w="120" w:type="dxa"/>
            </w:tcMar>
            <w:vAlign w:val="center"/>
          </w:tcPr>
          <w:p>
            <w:pPr>
              <w:jc w:val="center"/>
            </w:pPr>
            <w:r>
              <w:rPr>
                <w:b/>
                <w:color w:val="FFFFFF"/>
                <w:sz w:val="18"/>
              </w:rPr>
              <w:t>Value to report</w:t>
            </w:r>
          </w:p>
        </w:tc>
      </w:tr>
      <w:tr>
        <w:trPr>
          <w:cantSplit/>
        </w:trPr>
        <w:tc>
          <w:tcPr>
            <w:tcW w:type="dxa" w:w="2041"/>
            <w:tcMar>
              <w:top w:w="110" w:type="dxa"/>
              <w:start w:w="120" w:type="dxa"/>
              <w:bottom w:w="110" w:type="dxa"/>
              <w:end w:w="120" w:type="dxa"/>
            </w:tcMar>
            <w:vAlign w:val="center"/>
          </w:tcPr>
          <w:p>
            <w:pPr>
              <w:jc w:val="left"/>
            </w:pPr>
            <w:r>
              <w:rPr>
                <w:sz w:val="17"/>
              </w:rPr>
              <w:t>Cost per processed email</w:t>
            </w:r>
          </w:p>
        </w:tc>
        <w:tc>
          <w:tcPr>
            <w:tcW w:type="dxa" w:w="4932"/>
            <w:tcMar>
              <w:top w:w="110" w:type="dxa"/>
              <w:start w:w="120" w:type="dxa"/>
              <w:bottom w:w="110" w:type="dxa"/>
              <w:end w:w="120" w:type="dxa"/>
            </w:tcMar>
            <w:vAlign w:val="center"/>
          </w:tcPr>
          <w:p>
            <w:pPr>
              <w:jc w:val="left"/>
            </w:pPr>
            <w:r>
              <w:rPr>
                <w:sz w:val="17"/>
              </w:rPr>
              <w:t>(average input tokens x input price + average output tokens x output price) / 1,000,000</w:t>
            </w:r>
          </w:p>
        </w:tc>
        <w:tc>
          <w:tcPr>
            <w:tcW w:type="dxa" w:w="2268"/>
            <w:tcMar>
              <w:top w:w="110" w:type="dxa"/>
              <w:start w:w="120" w:type="dxa"/>
              <w:bottom w:w="110" w:type="dxa"/>
              <w:end w:w="120" w:type="dxa"/>
            </w:tcMar>
            <w:vAlign w:val="center"/>
          </w:tcPr>
          <w:p>
            <w:pPr>
              <w:jc w:val="left"/>
            </w:pPr>
            <w:r>
              <w:rPr>
                <w:sz w:val="17"/>
              </w:rPr>
              <w:t>Currency and model name</w:t>
            </w:r>
          </w:p>
        </w:tc>
      </w:tr>
      <w:tr>
        <w:trPr>
          <w:cantSplit/>
        </w:trPr>
        <w:tc>
          <w:tcPr>
            <w:tcW w:type="dxa" w:w="2041"/>
            <w:tcMar>
              <w:top w:w="110" w:type="dxa"/>
              <w:start w:w="120" w:type="dxa"/>
              <w:bottom w:w="110" w:type="dxa"/>
              <w:end w:w="120" w:type="dxa"/>
            </w:tcMar>
            <w:vAlign w:val="center"/>
            <w:shd w:fill="F3F7FA"/>
          </w:tcPr>
          <w:p>
            <w:pPr>
              <w:jc w:val="left"/>
            </w:pPr>
            <w:r>
              <w:rPr>
                <w:sz w:val="17"/>
              </w:rPr>
              <w:t>Cost per thread</w:t>
            </w:r>
          </w:p>
        </w:tc>
        <w:tc>
          <w:tcPr>
            <w:tcW w:type="dxa" w:w="4932"/>
            <w:tcMar>
              <w:top w:w="110" w:type="dxa"/>
              <w:start w:w="120" w:type="dxa"/>
              <w:bottom w:w="110" w:type="dxa"/>
              <w:end w:w="120" w:type="dxa"/>
            </w:tcMar>
            <w:vAlign w:val="center"/>
            <w:shd w:fill="F3F7FA"/>
          </w:tcPr>
          <w:p>
            <w:pPr>
              <w:jc w:val="left"/>
            </w:pPr>
            <w:r>
              <w:rPr>
                <w:sz w:val="17"/>
              </w:rPr>
              <w:t>sum of all model calls used to retrieve, merge, extract, and answer for that thread</w:t>
            </w:r>
          </w:p>
        </w:tc>
        <w:tc>
          <w:tcPr>
            <w:tcW w:type="dxa" w:w="2268"/>
            <w:tcMar>
              <w:top w:w="110" w:type="dxa"/>
              <w:start w:w="120" w:type="dxa"/>
              <w:bottom w:w="110" w:type="dxa"/>
              <w:end w:w="120" w:type="dxa"/>
            </w:tcMar>
            <w:vAlign w:val="center"/>
            <w:shd w:fill="F3F7FA"/>
          </w:tcPr>
          <w:p>
            <w:pPr>
              <w:jc w:val="left"/>
            </w:pPr>
            <w:r>
              <w:rPr>
                <w:sz w:val="17"/>
              </w:rPr>
              <w:t>Mean and maximum</w:t>
            </w:r>
          </w:p>
        </w:tc>
      </w:tr>
      <w:tr>
        <w:trPr>
          <w:cantSplit/>
        </w:trPr>
        <w:tc>
          <w:tcPr>
            <w:tcW w:type="dxa" w:w="2041"/>
            <w:tcMar>
              <w:top w:w="110" w:type="dxa"/>
              <w:start w:w="120" w:type="dxa"/>
              <w:bottom w:w="110" w:type="dxa"/>
              <w:end w:w="120" w:type="dxa"/>
            </w:tcMar>
            <w:vAlign w:val="center"/>
          </w:tcPr>
          <w:p>
            <w:pPr>
              <w:jc w:val="left"/>
            </w:pPr>
            <w:r>
              <w:rPr>
                <w:sz w:val="17"/>
              </w:rPr>
              <w:t>Scheduled cost per day</w:t>
            </w:r>
          </w:p>
        </w:tc>
        <w:tc>
          <w:tcPr>
            <w:tcW w:type="dxa" w:w="4932"/>
            <w:tcMar>
              <w:top w:w="110" w:type="dxa"/>
              <w:start w:w="120" w:type="dxa"/>
              <w:bottom w:w="110" w:type="dxa"/>
              <w:end w:w="120" w:type="dxa"/>
            </w:tcMar>
            <w:vAlign w:val="center"/>
          </w:tcPr>
          <w:p>
            <w:pPr>
              <w:jc w:val="left"/>
            </w:pPr>
            <w:r>
              <w:rPr>
                <w:sz w:val="17"/>
              </w:rPr>
              <w:t>scans per day x average model-processed items per scan x cost per item</w:t>
            </w:r>
          </w:p>
        </w:tc>
        <w:tc>
          <w:tcPr>
            <w:tcW w:type="dxa" w:w="2268"/>
            <w:tcMar>
              <w:top w:w="110" w:type="dxa"/>
              <w:start w:w="120" w:type="dxa"/>
              <w:bottom w:w="110" w:type="dxa"/>
              <w:end w:w="120" w:type="dxa"/>
            </w:tcMar>
            <w:vAlign w:val="center"/>
          </w:tcPr>
          <w:p>
            <w:pPr>
              <w:jc w:val="left"/>
            </w:pPr>
            <w:r>
              <w:rPr>
                <w:sz w:val="17"/>
              </w:rPr>
              <w:t>On-demand, hourly, and 15-minute scenarios</w:t>
            </w:r>
          </w:p>
        </w:tc>
      </w:tr>
      <w:tr>
        <w:trPr>
          <w:cantSplit/>
        </w:trPr>
        <w:tc>
          <w:tcPr>
            <w:tcW w:type="dxa" w:w="2041"/>
            <w:tcMar>
              <w:top w:w="110" w:type="dxa"/>
              <w:start w:w="120" w:type="dxa"/>
              <w:bottom w:w="110" w:type="dxa"/>
              <w:end w:w="120" w:type="dxa"/>
            </w:tcMar>
            <w:vAlign w:val="center"/>
            <w:shd w:fill="F3F7FA"/>
          </w:tcPr>
          <w:p>
            <w:pPr>
              <w:jc w:val="left"/>
            </w:pPr>
            <w:r>
              <w:rPr>
                <w:sz w:val="17"/>
              </w:rPr>
              <w:t>Estimated monthly cost</w:t>
            </w:r>
          </w:p>
        </w:tc>
        <w:tc>
          <w:tcPr>
            <w:tcW w:type="dxa" w:w="4932"/>
            <w:tcMar>
              <w:top w:w="110" w:type="dxa"/>
              <w:start w:w="120" w:type="dxa"/>
              <w:bottom w:w="110" w:type="dxa"/>
              <w:end w:w="120" w:type="dxa"/>
            </w:tcMar>
            <w:vAlign w:val="center"/>
            <w:shd w:fill="F3F7FA"/>
          </w:tcPr>
          <w:p>
            <w:pPr>
              <w:jc w:val="left"/>
            </w:pPr>
            <w:r>
              <w:rPr>
                <w:sz w:val="17"/>
              </w:rPr>
              <w:t>daily cost x 30</w:t>
            </w:r>
          </w:p>
        </w:tc>
        <w:tc>
          <w:tcPr>
            <w:tcW w:type="dxa" w:w="2268"/>
            <w:tcMar>
              <w:top w:w="110" w:type="dxa"/>
              <w:start w:w="120" w:type="dxa"/>
              <w:bottom w:w="110" w:type="dxa"/>
              <w:end w:w="120" w:type="dxa"/>
            </w:tcMar>
            <w:vAlign w:val="center"/>
            <w:shd w:fill="F3F7FA"/>
          </w:tcPr>
          <w:p>
            <w:pPr>
              <w:jc w:val="left"/>
            </w:pPr>
            <w:r>
              <w:rPr>
                <w:sz w:val="17"/>
              </w:rPr>
              <w:t>A range based on low and high email volume</w:t>
            </w:r>
          </w:p>
        </w:tc>
      </w:tr>
    </w:tbl>
    <w:p>
      <w:pPr>
        <w:spacing w:after="0"/>
      </w:pPr>
    </w:p>
    <w:p>
      <w:r>
        <w:rPr>
          <w:b/>
        </w:rPr>
        <w:t xml:space="preserve">Recommended trade-off. </w:t>
      </w:r>
      <w:r>
        <w:t>Use Gmail metadata, sender rules, labels, and message IDs before calling the language model. Process only new or changed academic messages. This reduces repeated token use and gives the final report a clear build-versus-buy and cost-versus-freshness discussion.</w:t>
      </w:r>
    </w:p>
    <w:p>
      <w:pPr>
        <w:pStyle w:val="Heading1"/>
        <w:keepNext/>
      </w:pPr>
      <w:r>
        <w:t>6  Minimum test run</w:t>
      </w:r>
    </w:p>
    <w:p>
      <w:pPr>
        <w:pStyle w:val="ListNumber"/>
      </w:pPr>
      <w:r>
        <w:t>Freeze the 50-email dataset and the human gold labels before changing prompts.</w:t>
      </w:r>
    </w:p>
    <w:p>
      <w:pPr>
        <w:pStyle w:val="ListNumber"/>
      </w:pPr>
      <w:r>
        <w:t>Run one baseline configuration and save every structured output, token count, latency, and error.</w:t>
      </w:r>
    </w:p>
    <w:p>
      <w:pPr>
        <w:pStyle w:val="ListNumber"/>
      </w:pPr>
      <w:r>
        <w:t>Run the improved configuration on the same cases with the same scoring code.</w:t>
      </w:r>
    </w:p>
    <w:p>
      <w:pPr>
        <w:pStyle w:val="ListNumber"/>
      </w:pPr>
      <w:r>
        <w:t>Report each task as counts, then add percentages only as a secondary view.</w:t>
      </w:r>
    </w:p>
    <w:p>
      <w:pPr>
        <w:pStyle w:val="ListNumber"/>
      </w:pPr>
      <w:r>
        <w:t>Show at least one single-email success, one correct cross-email update, one error, and one clarification or safe-refusal case.</w:t>
      </w:r>
    </w:p>
    <w:p>
      <w:pPr>
        <w:pStyle w:val="ListNumber"/>
      </w:pPr>
      <w:r>
        <w:t>Verify that calendar writes remain blocked until explicit approval in every tested path.</w:t>
      </w:r>
    </w:p>
    <w:p>
      <w:pPr>
        <w:pStyle w:val="Heading1"/>
        <w:keepNext/>
      </w:pPr>
      <w:r>
        <w:t>7  Demo plan for the recorded video</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cantSplit/>
        </w:trPr>
        <w:tc>
          <w:tcPr>
            <w:tcW w:type="dxa" w:w="1247"/>
            <w:shd w:fill="1F4E78"/>
            <w:tcMar>
              <w:top w:w="110" w:type="dxa"/>
              <w:start w:w="120" w:type="dxa"/>
              <w:bottom w:w="110" w:type="dxa"/>
              <w:end w:w="120" w:type="dxa"/>
            </w:tcMar>
            <w:vAlign w:val="center"/>
          </w:tcPr>
          <w:p>
            <w:pPr>
              <w:jc w:val="center"/>
            </w:pPr>
            <w:r>
              <w:rPr>
                <w:b/>
                <w:color w:val="FFFFFF"/>
                <w:sz w:val="18"/>
              </w:rPr>
              <w:t>Scene</w:t>
            </w:r>
          </w:p>
        </w:tc>
        <w:tc>
          <w:tcPr>
            <w:tcW w:type="dxa" w:w="4535"/>
            <w:shd w:fill="1F4E78"/>
            <w:tcMar>
              <w:top w:w="110" w:type="dxa"/>
              <w:start w:w="120" w:type="dxa"/>
              <w:bottom w:w="110" w:type="dxa"/>
              <w:end w:w="120" w:type="dxa"/>
            </w:tcMar>
            <w:vAlign w:val="center"/>
          </w:tcPr>
          <w:p>
            <w:pPr>
              <w:jc w:val="center"/>
            </w:pPr>
            <w:r>
              <w:rPr>
                <w:b/>
                <w:color w:val="FFFFFF"/>
                <w:sz w:val="18"/>
              </w:rPr>
              <w:t>What to show</w:t>
            </w:r>
          </w:p>
        </w:tc>
        <w:tc>
          <w:tcPr>
            <w:tcW w:type="dxa" w:w="3458"/>
            <w:shd w:fill="1F4E78"/>
            <w:tcMar>
              <w:top w:w="110" w:type="dxa"/>
              <w:start w:w="120" w:type="dxa"/>
              <w:bottom w:w="110" w:type="dxa"/>
              <w:end w:w="120" w:type="dxa"/>
            </w:tcMar>
            <w:vAlign w:val="center"/>
          </w:tcPr>
          <w:p>
            <w:pPr>
              <w:jc w:val="center"/>
            </w:pPr>
            <w:r>
              <w:rPr>
                <w:b/>
                <w:color w:val="FFFFFF"/>
                <w:sz w:val="18"/>
              </w:rPr>
              <w:t>What it proves</w:t>
            </w:r>
          </w:p>
        </w:tc>
      </w:tr>
      <w:tr>
        <w:trPr>
          <w:cantSplit/>
        </w:trPr>
        <w:tc>
          <w:tcPr>
            <w:tcW w:type="dxa" w:w="1247"/>
            <w:tcMar>
              <w:top w:w="110" w:type="dxa"/>
              <w:start w:w="120" w:type="dxa"/>
              <w:bottom w:w="110" w:type="dxa"/>
              <w:end w:w="120" w:type="dxa"/>
            </w:tcMar>
            <w:vAlign w:val="center"/>
          </w:tcPr>
          <w:p>
            <w:pPr>
              <w:jc w:val="left"/>
            </w:pPr>
            <w:r>
              <w:rPr>
                <w:sz w:val="17"/>
              </w:rPr>
              <w:t>1  Intake</w:t>
            </w:r>
          </w:p>
        </w:tc>
        <w:tc>
          <w:tcPr>
            <w:tcW w:type="dxa" w:w="4535"/>
            <w:tcMar>
              <w:top w:w="110" w:type="dxa"/>
              <w:start w:w="120" w:type="dxa"/>
              <w:bottom w:w="110" w:type="dxa"/>
              <w:end w:w="120" w:type="dxa"/>
            </w:tcMar>
            <w:vAlign w:val="center"/>
          </w:tcPr>
          <w:p>
            <w:pPr>
              <w:jc w:val="left"/>
            </w:pPr>
            <w:r>
              <w:rPr>
                <w:sz w:val="17"/>
              </w:rPr>
              <w:t>Import selected academic messages and display their source metadata.</w:t>
            </w:r>
          </w:p>
        </w:tc>
        <w:tc>
          <w:tcPr>
            <w:tcW w:type="dxa" w:w="3458"/>
            <w:tcMar>
              <w:top w:w="110" w:type="dxa"/>
              <w:start w:w="120" w:type="dxa"/>
              <w:bottom w:w="110" w:type="dxa"/>
              <w:end w:w="120" w:type="dxa"/>
            </w:tcMar>
            <w:vAlign w:val="center"/>
          </w:tcPr>
          <w:p>
            <w:pPr>
              <w:jc w:val="left"/>
            </w:pPr>
            <w:r>
              <w:rPr>
                <w:sz w:val="17"/>
              </w:rPr>
              <w:t>Controlled data access and traceability.</w:t>
            </w:r>
          </w:p>
        </w:tc>
      </w:tr>
      <w:tr>
        <w:trPr>
          <w:cantSplit/>
        </w:trPr>
        <w:tc>
          <w:tcPr>
            <w:tcW w:type="dxa" w:w="1247"/>
            <w:tcMar>
              <w:top w:w="110" w:type="dxa"/>
              <w:start w:w="120" w:type="dxa"/>
              <w:bottom w:w="110" w:type="dxa"/>
              <w:end w:w="120" w:type="dxa"/>
            </w:tcMar>
            <w:vAlign w:val="center"/>
            <w:shd w:fill="F3F7FA"/>
          </w:tcPr>
          <w:p>
            <w:pPr>
              <w:jc w:val="left"/>
            </w:pPr>
            <w:r>
              <w:rPr>
                <w:sz w:val="17"/>
              </w:rPr>
              <w:t>2  Cross-email update</w:t>
            </w:r>
          </w:p>
        </w:tc>
        <w:tc>
          <w:tcPr>
            <w:tcW w:type="dxa" w:w="4535"/>
            <w:tcMar>
              <w:top w:w="110" w:type="dxa"/>
              <w:start w:w="120" w:type="dxa"/>
              <w:bottom w:w="110" w:type="dxa"/>
              <w:end w:w="120" w:type="dxa"/>
            </w:tcMar>
            <w:vAlign w:val="center"/>
            <w:shd w:fill="F3F7FA"/>
          </w:tcPr>
          <w:p>
            <w:pPr>
              <w:jc w:val="left"/>
            </w:pPr>
            <w:r>
              <w:rPr>
                <w:sz w:val="17"/>
              </w:rPr>
              <w:t>Show an original deadline and a later correction merged into one timeline item.</w:t>
            </w:r>
          </w:p>
        </w:tc>
        <w:tc>
          <w:tcPr>
            <w:tcW w:type="dxa" w:w="3458"/>
            <w:tcMar>
              <w:top w:w="110" w:type="dxa"/>
              <w:start w:w="120" w:type="dxa"/>
              <w:bottom w:w="110" w:type="dxa"/>
              <w:end w:w="120" w:type="dxa"/>
            </w:tcMar>
            <w:vAlign w:val="center"/>
            <w:shd w:fill="F3F7FA"/>
          </w:tcPr>
          <w:p>
            <w:pPr>
              <w:jc w:val="left"/>
            </w:pPr>
            <w:r>
              <w:rPr>
                <w:sz w:val="17"/>
              </w:rPr>
              <w:t>The feature the instructor identified as the hard part.</w:t>
            </w:r>
          </w:p>
        </w:tc>
      </w:tr>
      <w:tr>
        <w:trPr>
          <w:cantSplit/>
        </w:trPr>
        <w:tc>
          <w:tcPr>
            <w:tcW w:type="dxa" w:w="1247"/>
            <w:tcMar>
              <w:top w:w="110" w:type="dxa"/>
              <w:start w:w="120" w:type="dxa"/>
              <w:bottom w:w="110" w:type="dxa"/>
              <w:end w:w="120" w:type="dxa"/>
            </w:tcMar>
            <w:vAlign w:val="center"/>
          </w:tcPr>
          <w:p>
            <w:pPr>
              <w:jc w:val="left"/>
            </w:pPr>
            <w:r>
              <w:rPr>
                <w:sz w:val="17"/>
              </w:rPr>
              <w:t>3  Confirmation gate</w:t>
            </w:r>
          </w:p>
        </w:tc>
        <w:tc>
          <w:tcPr>
            <w:tcW w:type="dxa" w:w="4535"/>
            <w:tcMar>
              <w:top w:w="110" w:type="dxa"/>
              <w:start w:w="120" w:type="dxa"/>
              <w:bottom w:w="110" w:type="dxa"/>
              <w:end w:w="120" w:type="dxa"/>
            </w:tcMar>
            <w:vAlign w:val="center"/>
          </w:tcPr>
          <w:p>
            <w:pPr>
              <w:jc w:val="left"/>
            </w:pPr>
            <w:r>
              <w:rPr>
                <w:sz w:val="17"/>
              </w:rPr>
              <w:t>Show the proposed event and evidence, then approve the write.</w:t>
            </w:r>
          </w:p>
        </w:tc>
        <w:tc>
          <w:tcPr>
            <w:tcW w:type="dxa" w:w="3458"/>
            <w:tcMar>
              <w:top w:w="110" w:type="dxa"/>
              <w:start w:w="120" w:type="dxa"/>
              <w:bottom w:w="110" w:type="dxa"/>
              <w:end w:w="120" w:type="dxa"/>
            </w:tcMar>
            <w:vAlign w:val="center"/>
          </w:tcPr>
          <w:p>
            <w:pPr>
              <w:jc w:val="left"/>
            </w:pPr>
            <w:r>
              <w:rPr>
                <w:sz w:val="17"/>
              </w:rPr>
              <w:t>Responsible action on a real calendar.</w:t>
            </w:r>
          </w:p>
        </w:tc>
      </w:tr>
      <w:tr>
        <w:trPr>
          <w:cantSplit/>
        </w:trPr>
        <w:tc>
          <w:tcPr>
            <w:tcW w:type="dxa" w:w="1247"/>
            <w:tcMar>
              <w:top w:w="110" w:type="dxa"/>
              <w:start w:w="120" w:type="dxa"/>
              <w:bottom w:w="110" w:type="dxa"/>
              <w:end w:w="120" w:type="dxa"/>
            </w:tcMar>
            <w:vAlign w:val="center"/>
            <w:shd w:fill="F3F7FA"/>
          </w:tcPr>
          <w:p>
            <w:pPr>
              <w:jc w:val="left"/>
            </w:pPr>
            <w:r>
              <w:rPr>
                <w:sz w:val="17"/>
              </w:rPr>
              <w:t>4  Evaluation and cost</w:t>
            </w:r>
          </w:p>
        </w:tc>
        <w:tc>
          <w:tcPr>
            <w:tcW w:type="dxa" w:w="4535"/>
            <w:tcMar>
              <w:top w:w="110" w:type="dxa"/>
              <w:start w:w="120" w:type="dxa"/>
              <w:bottom w:w="110" w:type="dxa"/>
              <w:end w:w="120" w:type="dxa"/>
            </w:tcMar>
            <w:vAlign w:val="center"/>
            <w:shd w:fill="F3F7FA"/>
          </w:tcPr>
          <w:p>
            <w:pPr>
              <w:jc w:val="left"/>
            </w:pPr>
            <w:r>
              <w:rPr>
                <w:sz w:val="17"/>
              </w:rPr>
              <w:t>Show the six metric counts and measured cost per item.</w:t>
            </w:r>
          </w:p>
        </w:tc>
        <w:tc>
          <w:tcPr>
            <w:tcW w:type="dxa" w:w="3458"/>
            <w:tcMar>
              <w:top w:w="110" w:type="dxa"/>
              <w:start w:w="120" w:type="dxa"/>
              <w:bottom w:w="110" w:type="dxa"/>
              <w:end w:w="120" w:type="dxa"/>
            </w:tcMar>
            <w:vAlign w:val="center"/>
            <w:shd w:fill="F3F7FA"/>
          </w:tcPr>
          <w:p>
            <w:pPr>
              <w:jc w:val="left"/>
            </w:pPr>
            <w:r>
              <w:rPr>
                <w:sz w:val="17"/>
              </w:rPr>
              <w:t>Credible evidence and Class 5 trade-off coverage.</w:t>
            </w:r>
          </w:p>
        </w:tc>
      </w:tr>
    </w:tbl>
    <w:p>
      <w:pPr>
        <w:spacing w:after="0"/>
      </w:pPr>
    </w:p>
    <w:p>
      <w:pPr>
        <w:pStyle w:val="Heading1"/>
        <w:keepNext/>
      </w:pPr>
      <w:r>
        <w:t>8  Three-day execution plan</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cantSplit/>
        </w:trPr>
        <w:tc>
          <w:tcPr>
            <w:tcW w:type="dxa" w:w="1134"/>
            <w:shd w:fill="1F4E78"/>
            <w:tcMar>
              <w:top w:w="110" w:type="dxa"/>
              <w:start w:w="120" w:type="dxa"/>
              <w:bottom w:w="110" w:type="dxa"/>
              <w:end w:w="120" w:type="dxa"/>
            </w:tcMar>
            <w:vAlign w:val="center"/>
          </w:tcPr>
          <w:p>
            <w:pPr>
              <w:jc w:val="center"/>
            </w:pPr>
            <w:r>
              <w:rPr>
                <w:b/>
                <w:color w:val="FFFFFF"/>
                <w:sz w:val="18"/>
              </w:rPr>
              <w:t>Day</w:t>
            </w:r>
          </w:p>
        </w:tc>
        <w:tc>
          <w:tcPr>
            <w:tcW w:type="dxa" w:w="4422"/>
            <w:shd w:fill="1F4E78"/>
            <w:tcMar>
              <w:top w:w="110" w:type="dxa"/>
              <w:start w:w="120" w:type="dxa"/>
              <w:bottom w:w="110" w:type="dxa"/>
              <w:end w:w="120" w:type="dxa"/>
            </w:tcMar>
            <w:vAlign w:val="center"/>
          </w:tcPr>
          <w:p>
            <w:pPr>
              <w:jc w:val="center"/>
            </w:pPr>
            <w:r>
              <w:rPr>
                <w:b/>
                <w:color w:val="FFFFFF"/>
                <w:sz w:val="18"/>
              </w:rPr>
              <w:t>Output</w:t>
            </w:r>
          </w:p>
        </w:tc>
        <w:tc>
          <w:tcPr>
            <w:tcW w:type="dxa" w:w="3685"/>
            <w:shd w:fill="1F4E78"/>
            <w:tcMar>
              <w:top w:w="110" w:type="dxa"/>
              <w:start w:w="120" w:type="dxa"/>
              <w:bottom w:w="110" w:type="dxa"/>
              <w:end w:w="120" w:type="dxa"/>
            </w:tcMar>
            <w:vAlign w:val="center"/>
          </w:tcPr>
          <w:p>
            <w:pPr>
              <w:jc w:val="center"/>
            </w:pPr>
            <w:r>
              <w:rPr>
                <w:b/>
                <w:color w:val="FFFFFF"/>
                <w:sz w:val="18"/>
              </w:rPr>
              <w:t>Done when</w:t>
            </w:r>
          </w:p>
        </w:tc>
      </w:tr>
      <w:tr>
        <w:trPr>
          <w:cantSplit/>
        </w:trPr>
        <w:tc>
          <w:tcPr>
            <w:tcW w:type="dxa" w:w="1134"/>
            <w:tcMar>
              <w:top w:w="110" w:type="dxa"/>
              <w:start w:w="120" w:type="dxa"/>
              <w:bottom w:w="110" w:type="dxa"/>
              <w:end w:w="120" w:type="dxa"/>
            </w:tcMar>
            <w:vAlign w:val="center"/>
          </w:tcPr>
          <w:p>
            <w:pPr>
              <w:jc w:val="left"/>
            </w:pPr>
            <w:r>
              <w:rPr>
                <w:sz w:val="17"/>
              </w:rPr>
              <w:t>Day 1</w:t>
            </w:r>
          </w:p>
        </w:tc>
        <w:tc>
          <w:tcPr>
            <w:tcW w:type="dxa" w:w="4422"/>
            <w:tcMar>
              <w:top w:w="110" w:type="dxa"/>
              <w:start w:w="120" w:type="dxa"/>
              <w:bottom w:w="110" w:type="dxa"/>
              <w:end w:w="120" w:type="dxa"/>
            </w:tcMar>
            <w:vAlign w:val="center"/>
          </w:tcPr>
          <w:p>
            <w:pPr>
              <w:jc w:val="left"/>
            </w:pPr>
            <w:r>
              <w:rPr>
                <w:sz w:val="17"/>
              </w:rPr>
              <w:t>Dataset inventory, thread counts, urgency policy, and completed gold labels.</w:t>
            </w:r>
          </w:p>
        </w:tc>
        <w:tc>
          <w:tcPr>
            <w:tcW w:type="dxa" w:w="3685"/>
            <w:tcMar>
              <w:top w:w="110" w:type="dxa"/>
              <w:start w:w="120" w:type="dxa"/>
              <w:bottom w:w="110" w:type="dxa"/>
              <w:end w:w="120" w:type="dxa"/>
            </w:tcMar>
            <w:vAlign w:val="center"/>
          </w:tcPr>
          <w:p>
            <w:pPr>
              <w:jc w:val="left"/>
            </w:pPr>
            <w:r>
              <w:rPr>
                <w:sz w:val="17"/>
              </w:rPr>
              <w:t>Every message has an ID; every chain has a thread ID; all labels are frozen.</w:t>
            </w:r>
          </w:p>
        </w:tc>
      </w:tr>
      <w:tr>
        <w:trPr>
          <w:cantSplit/>
        </w:trPr>
        <w:tc>
          <w:tcPr>
            <w:tcW w:type="dxa" w:w="1134"/>
            <w:tcMar>
              <w:top w:w="110" w:type="dxa"/>
              <w:start w:w="120" w:type="dxa"/>
              <w:bottom w:w="110" w:type="dxa"/>
              <w:end w:w="120" w:type="dxa"/>
            </w:tcMar>
            <w:vAlign w:val="center"/>
            <w:shd w:fill="F3F7FA"/>
          </w:tcPr>
          <w:p>
            <w:pPr>
              <w:jc w:val="left"/>
            </w:pPr>
            <w:r>
              <w:rPr>
                <w:sz w:val="17"/>
              </w:rPr>
              <w:t>Day 2</w:t>
            </w:r>
          </w:p>
        </w:tc>
        <w:tc>
          <w:tcPr>
            <w:tcW w:type="dxa" w:w="4422"/>
            <w:tcMar>
              <w:top w:w="110" w:type="dxa"/>
              <w:start w:w="120" w:type="dxa"/>
              <w:bottom w:w="110" w:type="dxa"/>
              <w:end w:w="120" w:type="dxa"/>
            </w:tcMar>
            <w:vAlign w:val="center"/>
            <w:shd w:fill="F3F7FA"/>
          </w:tcPr>
          <w:p>
            <w:pPr>
              <w:jc w:val="left"/>
            </w:pPr>
            <w:r>
              <w:rPr>
                <w:sz w:val="17"/>
              </w:rPr>
              <w:t>Evaluation script, baseline run, improved run, token logs, and cost calculations.</w:t>
            </w:r>
          </w:p>
        </w:tc>
        <w:tc>
          <w:tcPr>
            <w:tcW w:type="dxa" w:w="3685"/>
            <w:tcMar>
              <w:top w:w="110" w:type="dxa"/>
              <w:start w:w="120" w:type="dxa"/>
              <w:bottom w:w="110" w:type="dxa"/>
              <w:end w:w="120" w:type="dxa"/>
            </w:tcMar>
            <w:vAlign w:val="center"/>
            <w:shd w:fill="F3F7FA"/>
          </w:tcPr>
          <w:p>
            <w:pPr>
              <w:jc w:val="left"/>
            </w:pPr>
            <w:r>
              <w:rPr>
                <w:sz w:val="17"/>
              </w:rPr>
              <w:t>All six tasks have x/N results and an error list.</w:t>
            </w:r>
          </w:p>
        </w:tc>
      </w:tr>
      <w:tr>
        <w:trPr>
          <w:cantSplit/>
        </w:trPr>
        <w:tc>
          <w:tcPr>
            <w:tcW w:type="dxa" w:w="1134"/>
            <w:tcMar>
              <w:top w:w="110" w:type="dxa"/>
              <w:start w:w="120" w:type="dxa"/>
              <w:bottom w:w="110" w:type="dxa"/>
              <w:end w:w="120" w:type="dxa"/>
            </w:tcMar>
            <w:vAlign w:val="center"/>
          </w:tcPr>
          <w:p>
            <w:pPr>
              <w:jc w:val="left"/>
            </w:pPr>
            <w:r>
              <w:rPr>
                <w:sz w:val="17"/>
              </w:rPr>
              <w:t>Day 3</w:t>
            </w:r>
          </w:p>
        </w:tc>
        <w:tc>
          <w:tcPr>
            <w:tcW w:type="dxa" w:w="4422"/>
            <w:tcMar>
              <w:top w:w="110" w:type="dxa"/>
              <w:start w:w="120" w:type="dxa"/>
              <w:bottom w:w="110" w:type="dxa"/>
              <w:end w:w="120" w:type="dxa"/>
            </w:tcMar>
            <w:vAlign w:val="center"/>
          </w:tcPr>
          <w:p>
            <w:pPr>
              <w:jc w:val="left"/>
            </w:pPr>
            <w:r>
              <w:rPr>
                <w:sz w:val="17"/>
              </w:rPr>
              <w:t>GitHub README, final report sections, slides, and a rehearsed demo path.</w:t>
            </w:r>
          </w:p>
        </w:tc>
        <w:tc>
          <w:tcPr>
            <w:tcW w:type="dxa" w:w="3685"/>
            <w:tcMar>
              <w:top w:w="110" w:type="dxa"/>
              <w:start w:w="120" w:type="dxa"/>
              <w:bottom w:w="110" w:type="dxa"/>
              <w:end w:w="120" w:type="dxa"/>
            </w:tcMar>
            <w:vAlign w:val="center"/>
          </w:tcPr>
          <w:p>
            <w:pPr>
              <w:jc w:val="left"/>
            </w:pPr>
            <w:r>
              <w:rPr>
                <w:sz w:val="17"/>
              </w:rPr>
              <w:t>A fresh setup can run the project, and the video can be recorded without changing code.</w:t>
            </w:r>
          </w:p>
        </w:tc>
      </w:tr>
    </w:tbl>
    <w:p>
      <w:pPr>
        <w:spacing w:after="0"/>
      </w:pPr>
    </w:p>
    <w:p>
      <w:pPr>
        <w:pStyle w:val="Heading1"/>
        <w:keepNext/>
      </w:pPr>
      <w:r>
        <w:t>9  Paste-ready revisions for the final report</w:t>
      </w:r>
    </w:p>
    <w:p>
      <w:pPr>
        <w:pStyle w:val="Heading2"/>
        <w:keepNext/>
      </w:pPr>
      <w:r>
        <w:t>Data and evaluation</w:t>
      </w:r>
    </w:p>
    <w:p>
      <w:r>
        <w:t>The evaluation dataset contains 50 selected academic emails. Before testing, I grouped the messages into independent emails and genuine multi-email threads, and I report the exact number in each group. Human annotations provide the gold course, task, normalized deadline, urgency, supporting evidence, and expected calendar action. Urgency labels follow a fixed policy that is applied before the model run. Cross-email merging is evaluated only on the identified multi-email threads, so the result does not overstate the amount of merging evidence in the dataset.</w:t>
      </w:r>
    </w:p>
    <w:p>
      <w:pPr>
        <w:pStyle w:val="Heading2"/>
        <w:keepNext/>
      </w:pPr>
      <w:r>
        <w:t>Outcome metrics</w:t>
      </w:r>
    </w:p>
    <w:p>
      <w:r>
        <w:t>I evaluate course identification, task extraction, deadline extraction, urgency classification, cross-email merging, and calendar-action correctness separately. Each result is reported as a count with its denominator, supported by missed and false-positive cases where relevant. Critical task and deadline extraction retain an 85-90% target, but percentages are secondary to the underlying counts. High-priority misses are measured against human-labelled urgency rather than the model's own label. Calendar safety is tested separately, with zero unauthorized writes required.</w:t>
      </w:r>
    </w:p>
    <w:p>
      <w:pPr>
        <w:pStyle w:val="Heading2"/>
        <w:keepNext/>
      </w:pPr>
      <w:r>
        <w:t>Cost and scheduling trade-off</w:t>
      </w:r>
    </w:p>
    <w:p>
      <w:r>
        <w:t>A continuously scheduled inbox agent can spend tokens even when little useful work is available. I therefore log tokens and calculate cost per processed email and per thread, then estimate daily and monthly cost for different polling frequencies. The workflow first uses email metadata, sender rules, labels, and message IDs to identify new or changed academic messages. Only those messages are sent to the language model. This reduces repeated processing while accepting that less frequent polling may delay timeline updates.</w:t>
      </w:r>
    </w:p>
    <w:p>
      <w:pPr>
        <w:pStyle w:val="Heading1"/>
        <w:keepNext/>
      </w:pPr>
      <w:r>
        <w:t>10  Final submission checklist for this feedback</w:t>
      </w:r>
    </w:p>
    <w:p>
      <w:pPr>
        <w:pStyle w:val="ListBullet"/>
      </w:pPr>
      <w:r>
        <w:t>Replace the single overall accuracy result with six separate count-based metrics.</w:t>
      </w:r>
    </w:p>
    <w:p>
      <w:pPr>
        <w:pStyle w:val="ListBullet"/>
      </w:pPr>
      <w:r>
        <w:t>Insert the exact number of independent emails, multi-email threads, corrections, and ambiguous cases.</w:t>
      </w:r>
    </w:p>
    <w:p>
      <w:pPr>
        <w:pStyle w:val="ListBullet"/>
      </w:pPr>
      <w:r>
        <w:t>Publish the urgency-labelling policy before reporting high-priority recall.</w:t>
      </w:r>
    </w:p>
    <w:p>
      <w:pPr>
        <w:pStyle w:val="ListBullet"/>
      </w:pPr>
      <w:r>
        <w:t>Include the token log, model price date, cost per email or thread, and scheduled monthly cost.</w:t>
      </w:r>
    </w:p>
    <w:p>
      <w:pPr>
        <w:pStyle w:val="ListBullet"/>
      </w:pPr>
      <w:r>
        <w:t>Keep the evidence view and explicit confirmation before every Google Calendar write.</w:t>
      </w:r>
    </w:p>
    <w:p>
      <w:pPr>
        <w:pStyle w:val="ListBullet"/>
      </w:pPr>
      <w:r>
        <w:t>Do not claim measured results until the frozen evaluation has actually run.</w:t>
      </w:r>
    </w:p>
    <w:p>
      <w:pPr>
        <w:pStyle w:val="Heading2"/>
        <w:keepNext/>
      </w:pPr>
      <w:r>
        <w:t>Results recording table</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cantSplit/>
        </w:trPr>
        <w:tc>
          <w:tcPr>
            <w:tcW w:type="dxa" w:w="2438"/>
            <w:shd w:fill="1F4E78"/>
            <w:tcMar>
              <w:top w:w="110" w:type="dxa"/>
              <w:start w:w="120" w:type="dxa"/>
              <w:bottom w:w="110" w:type="dxa"/>
              <w:end w:w="120" w:type="dxa"/>
            </w:tcMar>
            <w:vAlign w:val="center"/>
          </w:tcPr>
          <w:p>
            <w:pPr>
              <w:jc w:val="center"/>
            </w:pPr>
            <w:r>
              <w:rPr>
                <w:b/>
                <w:color w:val="FFFFFF"/>
                <w:sz w:val="18"/>
              </w:rPr>
              <w:t>Task</w:t>
            </w:r>
          </w:p>
        </w:tc>
        <w:tc>
          <w:tcPr>
            <w:tcW w:type="dxa" w:w="1814"/>
            <w:shd w:fill="1F4E78"/>
            <w:tcMar>
              <w:top w:w="110" w:type="dxa"/>
              <w:start w:w="120" w:type="dxa"/>
              <w:bottom w:w="110" w:type="dxa"/>
              <w:end w:w="120" w:type="dxa"/>
            </w:tcMar>
            <w:vAlign w:val="center"/>
          </w:tcPr>
          <w:p>
            <w:pPr>
              <w:jc w:val="center"/>
            </w:pPr>
            <w:r>
              <w:rPr>
                <w:b/>
                <w:color w:val="FFFFFF"/>
                <w:sz w:val="18"/>
              </w:rPr>
              <w:t>Final count</w:t>
            </w:r>
          </w:p>
        </w:tc>
        <w:tc>
          <w:tcPr>
            <w:tcW w:type="dxa" w:w="4989"/>
            <w:shd w:fill="1F4E78"/>
            <w:tcMar>
              <w:top w:w="110" w:type="dxa"/>
              <w:start w:w="120" w:type="dxa"/>
              <w:bottom w:w="110" w:type="dxa"/>
              <w:end w:w="120" w:type="dxa"/>
            </w:tcMar>
            <w:vAlign w:val="center"/>
          </w:tcPr>
          <w:p>
            <w:pPr>
              <w:jc w:val="center"/>
            </w:pPr>
            <w:r>
              <w:rPr>
                <w:b/>
                <w:color w:val="FFFFFF"/>
                <w:sz w:val="18"/>
              </w:rPr>
              <w:t>Main error or evidence</w:t>
            </w:r>
          </w:p>
        </w:tc>
      </w:tr>
      <w:tr>
        <w:trPr>
          <w:cantSplit/>
        </w:trPr>
        <w:tc>
          <w:tcPr>
            <w:tcW w:type="dxa" w:w="2438"/>
            <w:tcMar>
              <w:top w:w="110" w:type="dxa"/>
              <w:start w:w="120" w:type="dxa"/>
              <w:bottom w:w="110" w:type="dxa"/>
              <w:end w:w="120" w:type="dxa"/>
            </w:tcMar>
            <w:vAlign w:val="center"/>
          </w:tcPr>
          <w:p>
            <w:pPr>
              <w:jc w:val="left"/>
            </w:pPr>
            <w:r>
              <w:rPr>
                <w:sz w:val="17"/>
              </w:rPr>
              <w:t>Course identification</w:t>
            </w:r>
          </w:p>
        </w:tc>
        <w:tc>
          <w:tcPr>
            <w:tcW w:type="dxa" w:w="1814"/>
            <w:tcMar>
              <w:top w:w="110" w:type="dxa"/>
              <w:start w:w="120" w:type="dxa"/>
              <w:bottom w:w="110" w:type="dxa"/>
              <w:end w:w="120" w:type="dxa"/>
            </w:tcMar>
            <w:vAlign w:val="center"/>
          </w:tcPr>
          <w:p>
            <w:pPr>
              <w:jc w:val="left"/>
            </w:pPr>
            <w:r>
              <w:rPr>
                <w:sz w:val="17"/>
              </w:rPr>
              <w:t>___ / ___</w:t>
            </w:r>
          </w:p>
        </w:tc>
        <w:tc>
          <w:tcPr>
            <w:tcW w:type="dxa" w:w="4989"/>
            <w:tcMar>
              <w:top w:w="110" w:type="dxa"/>
              <w:start w:w="120" w:type="dxa"/>
              <w:bottom w:w="110" w:type="dxa"/>
              <w:end w:w="120" w:type="dxa"/>
            </w:tcMar>
            <w:vAlign w:val="center"/>
          </w:tcPr>
          <w:p>
            <w:pPr>
              <w:jc w:val="left"/>
            </w:pPr>
            <w:r>
              <w:rPr>
                <w:sz w:val="17"/>
              </w:rPr>
            </w:r>
          </w:p>
        </w:tc>
      </w:tr>
      <w:tr>
        <w:trPr>
          <w:cantSplit/>
        </w:trPr>
        <w:tc>
          <w:tcPr>
            <w:tcW w:type="dxa" w:w="2438"/>
            <w:tcMar>
              <w:top w:w="110" w:type="dxa"/>
              <w:start w:w="120" w:type="dxa"/>
              <w:bottom w:w="110" w:type="dxa"/>
              <w:end w:w="120" w:type="dxa"/>
            </w:tcMar>
            <w:vAlign w:val="center"/>
            <w:shd w:fill="F3F7FA"/>
          </w:tcPr>
          <w:p>
            <w:pPr>
              <w:jc w:val="left"/>
            </w:pPr>
            <w:r>
              <w:rPr>
                <w:sz w:val="17"/>
              </w:rPr>
              <w:t>Task extraction</w:t>
            </w:r>
          </w:p>
        </w:tc>
        <w:tc>
          <w:tcPr>
            <w:tcW w:type="dxa" w:w="1814"/>
            <w:tcMar>
              <w:top w:w="110" w:type="dxa"/>
              <w:start w:w="120" w:type="dxa"/>
              <w:bottom w:w="110" w:type="dxa"/>
              <w:end w:w="120" w:type="dxa"/>
            </w:tcMar>
            <w:vAlign w:val="center"/>
            <w:shd w:fill="F3F7FA"/>
          </w:tcPr>
          <w:p>
            <w:pPr>
              <w:jc w:val="left"/>
            </w:pPr>
            <w:r>
              <w:rPr>
                <w:sz w:val="17"/>
              </w:rPr>
              <w:t>___ / ___</w:t>
            </w:r>
          </w:p>
        </w:tc>
        <w:tc>
          <w:tcPr>
            <w:tcW w:type="dxa" w:w="4989"/>
            <w:tcMar>
              <w:top w:w="110" w:type="dxa"/>
              <w:start w:w="120" w:type="dxa"/>
              <w:bottom w:w="110" w:type="dxa"/>
              <w:end w:w="120" w:type="dxa"/>
            </w:tcMar>
            <w:vAlign w:val="center"/>
            <w:shd w:fill="F3F7FA"/>
          </w:tcPr>
          <w:p>
            <w:pPr>
              <w:jc w:val="left"/>
            </w:pPr>
            <w:r>
              <w:rPr>
                <w:sz w:val="17"/>
              </w:rPr>
            </w:r>
          </w:p>
        </w:tc>
      </w:tr>
      <w:tr>
        <w:trPr>
          <w:cantSplit/>
        </w:trPr>
        <w:tc>
          <w:tcPr>
            <w:tcW w:type="dxa" w:w="2438"/>
            <w:tcMar>
              <w:top w:w="110" w:type="dxa"/>
              <w:start w:w="120" w:type="dxa"/>
              <w:bottom w:w="110" w:type="dxa"/>
              <w:end w:w="120" w:type="dxa"/>
            </w:tcMar>
            <w:vAlign w:val="center"/>
          </w:tcPr>
          <w:p>
            <w:pPr>
              <w:jc w:val="left"/>
            </w:pPr>
            <w:r>
              <w:rPr>
                <w:sz w:val="17"/>
              </w:rPr>
              <w:t>Deadline extraction</w:t>
            </w:r>
          </w:p>
        </w:tc>
        <w:tc>
          <w:tcPr>
            <w:tcW w:type="dxa" w:w="1814"/>
            <w:tcMar>
              <w:top w:w="110" w:type="dxa"/>
              <w:start w:w="120" w:type="dxa"/>
              <w:bottom w:w="110" w:type="dxa"/>
              <w:end w:w="120" w:type="dxa"/>
            </w:tcMar>
            <w:vAlign w:val="center"/>
          </w:tcPr>
          <w:p>
            <w:pPr>
              <w:jc w:val="left"/>
            </w:pPr>
            <w:r>
              <w:rPr>
                <w:sz w:val="17"/>
              </w:rPr>
              <w:t>___ / ___</w:t>
            </w:r>
          </w:p>
        </w:tc>
        <w:tc>
          <w:tcPr>
            <w:tcW w:type="dxa" w:w="4989"/>
            <w:tcMar>
              <w:top w:w="110" w:type="dxa"/>
              <w:start w:w="120" w:type="dxa"/>
              <w:bottom w:w="110" w:type="dxa"/>
              <w:end w:w="120" w:type="dxa"/>
            </w:tcMar>
            <w:vAlign w:val="center"/>
          </w:tcPr>
          <w:p>
            <w:pPr>
              <w:jc w:val="left"/>
            </w:pPr>
            <w:r>
              <w:rPr>
                <w:sz w:val="17"/>
              </w:rPr>
            </w:r>
          </w:p>
        </w:tc>
      </w:tr>
      <w:tr>
        <w:trPr>
          <w:cantSplit/>
        </w:trPr>
        <w:tc>
          <w:tcPr>
            <w:tcW w:type="dxa" w:w="2438"/>
            <w:tcMar>
              <w:top w:w="110" w:type="dxa"/>
              <w:start w:w="120" w:type="dxa"/>
              <w:bottom w:w="110" w:type="dxa"/>
              <w:end w:w="120" w:type="dxa"/>
            </w:tcMar>
            <w:vAlign w:val="center"/>
            <w:shd w:fill="F3F7FA"/>
          </w:tcPr>
          <w:p>
            <w:pPr>
              <w:jc w:val="left"/>
            </w:pPr>
            <w:r>
              <w:rPr>
                <w:sz w:val="17"/>
              </w:rPr>
              <w:t>Urgency ranking</w:t>
            </w:r>
          </w:p>
        </w:tc>
        <w:tc>
          <w:tcPr>
            <w:tcW w:type="dxa" w:w="1814"/>
            <w:tcMar>
              <w:top w:w="110" w:type="dxa"/>
              <w:start w:w="120" w:type="dxa"/>
              <w:bottom w:w="110" w:type="dxa"/>
              <w:end w:w="120" w:type="dxa"/>
            </w:tcMar>
            <w:vAlign w:val="center"/>
            <w:shd w:fill="F3F7FA"/>
          </w:tcPr>
          <w:p>
            <w:pPr>
              <w:jc w:val="left"/>
            </w:pPr>
            <w:r>
              <w:rPr>
                <w:sz w:val="17"/>
              </w:rPr>
              <w:t>___ / ___</w:t>
            </w:r>
          </w:p>
        </w:tc>
        <w:tc>
          <w:tcPr>
            <w:tcW w:type="dxa" w:w="4989"/>
            <w:tcMar>
              <w:top w:w="110" w:type="dxa"/>
              <w:start w:w="120" w:type="dxa"/>
              <w:bottom w:w="110" w:type="dxa"/>
              <w:end w:w="120" w:type="dxa"/>
            </w:tcMar>
            <w:vAlign w:val="center"/>
            <w:shd w:fill="F3F7FA"/>
          </w:tcPr>
          <w:p>
            <w:pPr>
              <w:jc w:val="left"/>
            </w:pPr>
            <w:r>
              <w:rPr>
                <w:sz w:val="17"/>
              </w:rPr>
            </w:r>
          </w:p>
        </w:tc>
      </w:tr>
      <w:tr>
        <w:trPr>
          <w:cantSplit/>
        </w:trPr>
        <w:tc>
          <w:tcPr>
            <w:tcW w:type="dxa" w:w="2438"/>
            <w:tcMar>
              <w:top w:w="110" w:type="dxa"/>
              <w:start w:w="120" w:type="dxa"/>
              <w:bottom w:w="110" w:type="dxa"/>
              <w:end w:w="120" w:type="dxa"/>
            </w:tcMar>
            <w:vAlign w:val="center"/>
          </w:tcPr>
          <w:p>
            <w:pPr>
              <w:jc w:val="left"/>
            </w:pPr>
            <w:r>
              <w:rPr>
                <w:sz w:val="17"/>
              </w:rPr>
              <w:t>Cross-email merging</w:t>
            </w:r>
          </w:p>
        </w:tc>
        <w:tc>
          <w:tcPr>
            <w:tcW w:type="dxa" w:w="1814"/>
            <w:tcMar>
              <w:top w:w="110" w:type="dxa"/>
              <w:start w:w="120" w:type="dxa"/>
              <w:bottom w:w="110" w:type="dxa"/>
              <w:end w:w="120" w:type="dxa"/>
            </w:tcMar>
            <w:vAlign w:val="center"/>
          </w:tcPr>
          <w:p>
            <w:pPr>
              <w:jc w:val="left"/>
            </w:pPr>
            <w:r>
              <w:rPr>
                <w:sz w:val="17"/>
              </w:rPr>
              <w:t>___ / ___</w:t>
            </w:r>
          </w:p>
        </w:tc>
        <w:tc>
          <w:tcPr>
            <w:tcW w:type="dxa" w:w="4989"/>
            <w:tcMar>
              <w:top w:w="110" w:type="dxa"/>
              <w:start w:w="120" w:type="dxa"/>
              <w:bottom w:w="110" w:type="dxa"/>
              <w:end w:w="120" w:type="dxa"/>
            </w:tcMar>
            <w:vAlign w:val="center"/>
          </w:tcPr>
          <w:p>
            <w:pPr>
              <w:jc w:val="left"/>
            </w:pPr>
            <w:r>
              <w:rPr>
                <w:sz w:val="17"/>
              </w:rPr>
            </w:r>
          </w:p>
        </w:tc>
      </w:tr>
      <w:tr>
        <w:trPr>
          <w:cantSplit/>
        </w:trPr>
        <w:tc>
          <w:tcPr>
            <w:tcW w:type="dxa" w:w="2438"/>
            <w:tcMar>
              <w:top w:w="110" w:type="dxa"/>
              <w:start w:w="120" w:type="dxa"/>
              <w:bottom w:w="110" w:type="dxa"/>
              <w:end w:w="120" w:type="dxa"/>
            </w:tcMar>
            <w:vAlign w:val="center"/>
            <w:shd w:fill="F3F7FA"/>
          </w:tcPr>
          <w:p>
            <w:pPr>
              <w:jc w:val="left"/>
            </w:pPr>
            <w:r>
              <w:rPr>
                <w:sz w:val="17"/>
              </w:rPr>
              <w:t>Calendar action</w:t>
            </w:r>
          </w:p>
        </w:tc>
        <w:tc>
          <w:tcPr>
            <w:tcW w:type="dxa" w:w="1814"/>
            <w:tcMar>
              <w:top w:w="110" w:type="dxa"/>
              <w:start w:w="120" w:type="dxa"/>
              <w:bottom w:w="110" w:type="dxa"/>
              <w:end w:w="120" w:type="dxa"/>
            </w:tcMar>
            <w:vAlign w:val="center"/>
            <w:shd w:fill="F3F7FA"/>
          </w:tcPr>
          <w:p>
            <w:pPr>
              <w:jc w:val="left"/>
            </w:pPr>
            <w:r>
              <w:rPr>
                <w:sz w:val="17"/>
              </w:rPr>
              <w:t>___ / ___</w:t>
            </w:r>
          </w:p>
        </w:tc>
        <w:tc>
          <w:tcPr>
            <w:tcW w:type="dxa" w:w="4989"/>
            <w:tcMar>
              <w:top w:w="110" w:type="dxa"/>
              <w:start w:w="120" w:type="dxa"/>
              <w:bottom w:w="110" w:type="dxa"/>
              <w:end w:w="120" w:type="dxa"/>
            </w:tcMar>
            <w:vAlign w:val="center"/>
            <w:shd w:fill="F3F7FA"/>
          </w:tcPr>
          <w:p>
            <w:pPr>
              <w:jc w:val="left"/>
            </w:pPr>
            <w:r>
              <w:rPr>
                <w:sz w:val="17"/>
              </w:rPr>
              <w:t>Unauthorized writes: ___</w:t>
            </w:r>
          </w:p>
        </w:tc>
      </w:tr>
    </w:tbl>
    <w:p>
      <w:pPr>
        <w:spacing w:after="0"/>
      </w:pPr>
    </w:p>
    <w:p>
      <w:pPr>
        <w:pStyle w:val="Heading2"/>
        <w:keepNext/>
      </w:pPr>
      <w:r>
        <w:t>Cost record</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cantSplit/>
        </w:trPr>
        <w:tc>
          <w:tcPr>
            <w:tcW w:type="dxa" w:w="3118"/>
            <w:shd w:fill="1F4E78"/>
            <w:tcMar>
              <w:top w:w="110" w:type="dxa"/>
              <w:start w:w="120" w:type="dxa"/>
              <w:bottom w:w="110" w:type="dxa"/>
              <w:end w:w="120" w:type="dxa"/>
            </w:tcMar>
            <w:vAlign w:val="center"/>
          </w:tcPr>
          <w:p>
            <w:pPr>
              <w:jc w:val="center"/>
            </w:pPr>
            <w:r>
              <w:rPr>
                <w:b/>
                <w:color w:val="FFFFFF"/>
                <w:sz w:val="18"/>
              </w:rPr>
              <w:t>Model and price date</w:t>
            </w:r>
          </w:p>
        </w:tc>
        <w:tc>
          <w:tcPr>
            <w:tcW w:type="dxa" w:w="3061"/>
            <w:shd w:fill="1F4E78"/>
            <w:tcMar>
              <w:top w:w="110" w:type="dxa"/>
              <w:start w:w="120" w:type="dxa"/>
              <w:bottom w:w="110" w:type="dxa"/>
              <w:end w:w="120" w:type="dxa"/>
            </w:tcMar>
            <w:vAlign w:val="center"/>
          </w:tcPr>
          <w:p>
            <w:pPr>
              <w:jc w:val="center"/>
            </w:pPr>
            <w:r>
              <w:rPr>
                <w:b/>
                <w:color w:val="FFFFFF"/>
                <w:sz w:val="18"/>
              </w:rPr>
              <w:t>Average cost per item</w:t>
            </w:r>
          </w:p>
        </w:tc>
        <w:tc>
          <w:tcPr>
            <w:tcW w:type="dxa" w:w="3061"/>
            <w:shd w:fill="1F4E78"/>
            <w:tcMar>
              <w:top w:w="110" w:type="dxa"/>
              <w:start w:w="120" w:type="dxa"/>
              <w:bottom w:w="110" w:type="dxa"/>
              <w:end w:w="120" w:type="dxa"/>
            </w:tcMar>
            <w:vAlign w:val="center"/>
          </w:tcPr>
          <w:p>
            <w:pPr>
              <w:jc w:val="center"/>
            </w:pPr>
            <w:r>
              <w:rPr>
                <w:b/>
                <w:color w:val="FFFFFF"/>
                <w:sz w:val="18"/>
              </w:rPr>
              <w:t>Monthly scheduled estimate</w:t>
            </w:r>
          </w:p>
        </w:tc>
      </w:tr>
      <w:tr>
        <w:trPr>
          <w:cantSplit/>
        </w:trPr>
        <w:tc>
          <w:tcPr>
            <w:tcW w:type="dxa" w:w="3118"/>
            <w:tcMar>
              <w:top w:w="110" w:type="dxa"/>
              <w:start w:w="120" w:type="dxa"/>
              <w:bottom w:w="110" w:type="dxa"/>
              <w:end w:w="120" w:type="dxa"/>
            </w:tcMar>
            <w:vAlign w:val="center"/>
          </w:tcPr>
          <w:p>
            <w:pPr>
              <w:jc w:val="left"/>
            </w:pPr>
            <w:r>
              <w:rPr>
                <w:sz w:val="17"/>
              </w:rPr>
              <w:t>________________</w:t>
            </w:r>
          </w:p>
        </w:tc>
        <w:tc>
          <w:tcPr>
            <w:tcW w:type="dxa" w:w="3061"/>
            <w:tcMar>
              <w:top w:w="110" w:type="dxa"/>
              <w:start w:w="120" w:type="dxa"/>
              <w:bottom w:w="110" w:type="dxa"/>
              <w:end w:w="120" w:type="dxa"/>
            </w:tcMar>
            <w:vAlign w:val="center"/>
          </w:tcPr>
          <w:p>
            <w:pPr>
              <w:jc w:val="left"/>
            </w:pPr>
            <w:r>
              <w:rPr>
                <w:sz w:val="17"/>
              </w:rPr>
              <w:t>________________</w:t>
            </w:r>
          </w:p>
        </w:tc>
        <w:tc>
          <w:tcPr>
            <w:tcW w:type="dxa" w:w="3061"/>
            <w:tcMar>
              <w:top w:w="110" w:type="dxa"/>
              <w:start w:w="120" w:type="dxa"/>
              <w:bottom w:w="110" w:type="dxa"/>
              <w:end w:w="120" w:type="dxa"/>
            </w:tcMar>
            <w:vAlign w:val="center"/>
          </w:tcPr>
          <w:p>
            <w:pPr>
              <w:jc w:val="left"/>
            </w:pPr>
            <w:r>
              <w:rPr>
                <w:sz w:val="17"/>
              </w:rPr>
              <w:t>________________</w:t>
            </w:r>
          </w:p>
        </w:tc>
      </w:tr>
    </w:tbl>
    <w:p>
      <w:pPr>
        <w:spacing w:after="0"/>
      </w:pPr>
    </w:p>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AI Scroll  |  Feedback Revision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Scroll Project Feedback Revision Plan</dc:title>
  <dc:subject>PE6201 individual project revision plan based on instructor feedback</dc:subject>
  <dc:creator>Wang Chen Yu</dc:creator>
  <cp:keywords/>
  <dc:description>generated by python-docx</dc:description>
  <cp:lastModifiedBy/>
  <cp:revision>1</cp:revision>
  <dcterms:created xsi:type="dcterms:W3CDTF">2013-12-23T23:15:00Z</dcterms:created>
  <dcterms:modified xsi:type="dcterms:W3CDTF">2013-12-23T23:15:00Z</dcterms:modified>
  <cp:category/>
</cp:coreProperties>
</file>