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53E2"/>
          <w:sz w:val="84"/>
        </w:rPr>
        <w:t>SENTRY</w:t>
      </w:r>
    </w:p>
    <w:p>
      <w:pPr>
        <w:jc w:val="center"/>
      </w:pPr>
      <w:r>
        <w:rPr>
          <w:b/>
          <w:color w:val="1A1A2E"/>
          <w:sz w:val="44"/>
        </w:rPr>
        <w:t>Agent Specification Package</w:t>
      </w:r>
    </w:p>
    <w:p/>
    <w:p>
      <w:pPr>
        <w:jc w:val="center"/>
      </w:pPr>
      <w:r>
        <w:rPr>
          <w:i/>
          <w:color w:val="555555"/>
          <w:sz w:val="26"/>
        </w:rPr>
        <w:t>Walmart Global Security  ·  Enterprise Security Technology</w:t>
        <w:br/>
        <w:t>Emerging Technology Security Team</w:t>
      </w:r>
    </w:p>
    <w:p/>
    <w:p/>
    <w:tbl>
      <w:tblPr>
        <w:tblStyle w:val="TableGrid"/>
        <w:tblW w:type="auto" w:w="0"/>
        <w:jc w:val="left"/>
        <w:tblLook w:firstColumn="1" w:firstRow="1" w:lastColumn="0" w:lastRow="0" w:noHBand="0" w:noVBand="1" w:val="04A0"/>
      </w:tblPr>
      <w:tblGrid>
        <w:gridCol w:w="4986"/>
        <w:gridCol w:w="4986"/>
      </w:tblGrid>
      <w:tr>
        <w:tc>
          <w:tcPr>
            <w:tcW w:type="dxa" w:w="2835"/>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Document Owner</w:t>
            </w:r>
          </w:p>
        </w:tc>
        <w:tc>
          <w:tcPr>
            <w:tcW w:type="dxa" w:w="6520"/>
            <w:tcBorders>
              <w:top w:val="single" w:sz="4" w:space="0" w:color="CCCCCC"/>
              <w:left w:val="single" w:sz="4" w:space="0" w:color="CCCCCC"/>
              <w:bottom w:val="single" w:sz="4" w:space="0" w:color="CCCCCC"/>
              <w:right w:val="single" w:sz="4" w:space="0" w:color="CCCCCC"/>
            </w:tcBorders>
          </w:tcPr>
          <w:p>
            <w:r>
              <w:rPr>
                <w:color w:val="1A1A2E"/>
                <w:sz w:val="20"/>
              </w:rPr>
              <w:t>Jason Wilbur  (j0w16ja@walmart.com)</w:t>
            </w:r>
          </w:p>
        </w:tc>
      </w:tr>
      <w:tr>
        <w:tc>
          <w:tcPr>
            <w:tcW w:type="dxa" w:w="2835"/>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CSO</w:t>
            </w:r>
          </w:p>
        </w:tc>
        <w:tc>
          <w:tcPr>
            <w:tcW w:type="dxa" w:w="6520"/>
            <w:tcBorders>
              <w:top w:val="single" w:sz="4" w:space="0" w:color="CCCCCC"/>
              <w:left w:val="single" w:sz="4" w:space="0" w:color="CCCCCC"/>
              <w:bottom w:val="single" w:sz="4" w:space="0" w:color="CCCCCC"/>
              <w:right w:val="single" w:sz="4" w:space="0" w:color="CCCCCC"/>
            </w:tcBorders>
          </w:tcPr>
          <w:p>
            <w:r>
              <w:rPr>
                <w:color w:val="1A1A2E"/>
                <w:sz w:val="20"/>
              </w:rPr>
              <w:t>Jerrad Crabtree</w:t>
            </w:r>
          </w:p>
        </w:tc>
      </w:tr>
      <w:tr>
        <w:tc>
          <w:tcPr>
            <w:tcW w:type="dxa" w:w="2835"/>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Team</w:t>
            </w:r>
          </w:p>
        </w:tc>
        <w:tc>
          <w:tcPr>
            <w:tcW w:type="dxa" w:w="6520"/>
            <w:tcBorders>
              <w:top w:val="single" w:sz="4" w:space="0" w:color="CCCCCC"/>
              <w:left w:val="single" w:sz="4" w:space="0" w:color="CCCCCC"/>
              <w:bottom w:val="single" w:sz="4" w:space="0" w:color="CCCCCC"/>
              <w:right w:val="single" w:sz="4" w:space="0" w:color="CCCCCC"/>
            </w:tcBorders>
          </w:tcPr>
          <w:p>
            <w:r>
              <w:rPr>
                <w:color w:val="1A1A2E"/>
                <w:sz w:val="20"/>
              </w:rPr>
              <w:t>Enterprise Security — Emerging Technology</w:t>
            </w:r>
          </w:p>
        </w:tc>
      </w:tr>
      <w:tr>
        <w:tc>
          <w:tcPr>
            <w:tcW w:type="dxa" w:w="2835"/>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Application</w:t>
            </w:r>
          </w:p>
        </w:tc>
        <w:tc>
          <w:tcPr>
            <w:tcW w:type="dxa" w:w="6520"/>
            <w:tcBorders>
              <w:top w:val="single" w:sz="4" w:space="0" w:color="CCCCCC"/>
              <w:left w:val="single" w:sz="4" w:space="0" w:color="CCCCCC"/>
              <w:bottom w:val="single" w:sz="4" w:space="0" w:color="CCCCCC"/>
              <w:right w:val="single" w:sz="4" w:space="0" w:color="CCCCCC"/>
            </w:tcBorders>
          </w:tcPr>
          <w:p>
            <w:r>
              <w:rPr>
                <w:color w:val="1A1A2E"/>
                <w:sz w:val="20"/>
              </w:rPr>
              <w:t>SENTRY v2  —  Vendor Intelligence Platform</w:t>
            </w:r>
          </w:p>
        </w:tc>
      </w:tr>
      <w:tr>
        <w:tc>
          <w:tcPr>
            <w:tcW w:type="dxa" w:w="2835"/>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Stack</w:t>
            </w:r>
          </w:p>
        </w:tc>
        <w:tc>
          <w:tcPr>
            <w:tcW w:type="dxa" w:w="6520"/>
            <w:tcBorders>
              <w:top w:val="single" w:sz="4" w:space="0" w:color="CCCCCC"/>
              <w:left w:val="single" w:sz="4" w:space="0" w:color="CCCCCC"/>
              <w:bottom w:val="single" w:sz="4" w:space="0" w:color="CCCCCC"/>
              <w:right w:val="single" w:sz="4" w:space="0" w:color="CCCCCC"/>
            </w:tcBorders>
          </w:tcPr>
          <w:p>
            <w:r>
              <w:rPr>
                <w:color w:val="1A1A2E"/>
                <w:sz w:val="20"/>
              </w:rPr>
              <w:t>React 19 + FastAPI + SQLite + GCP Cloud Run + Firebase Hosting</w:t>
            </w:r>
          </w:p>
        </w:tc>
      </w:tr>
      <w:tr>
        <w:tc>
          <w:tcPr>
            <w:tcW w:type="dxa" w:w="2835"/>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LLM Runtime</w:t>
            </w:r>
          </w:p>
        </w:tc>
        <w:tc>
          <w:tcPr>
            <w:tcW w:type="dxa" w:w="6520"/>
            <w:tcBorders>
              <w:top w:val="single" w:sz="4" w:space="0" w:color="CCCCCC"/>
              <w:left w:val="single" w:sz="4" w:space="0" w:color="CCCCCC"/>
              <w:bottom w:val="single" w:sz="4" w:space="0" w:color="CCCCCC"/>
              <w:right w:val="single" w:sz="4" w:space="0" w:color="CCCCCC"/>
            </w:tcBorders>
          </w:tcPr>
          <w:p>
            <w:r>
              <w:rPr>
                <w:color w:val="1A1A2E"/>
                <w:sz w:val="20"/>
              </w:rPr>
              <w:t>Element LLM Gateway  (api.llm.walmart.com)  —  GPT-4o-mini</w:t>
            </w:r>
          </w:p>
        </w:tc>
      </w:tr>
      <w:tr>
        <w:tc>
          <w:tcPr>
            <w:tcW w:type="dxa" w:w="2835"/>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Document Version</w:t>
            </w:r>
          </w:p>
        </w:tc>
        <w:tc>
          <w:tcPr>
            <w:tcW w:type="dxa" w:w="6520"/>
            <w:tcBorders>
              <w:top w:val="single" w:sz="4" w:space="0" w:color="CCCCCC"/>
              <w:left w:val="single" w:sz="4" w:space="0" w:color="CCCCCC"/>
              <w:bottom w:val="single" w:sz="4" w:space="0" w:color="CCCCCC"/>
              <w:right w:val="single" w:sz="4" w:space="0" w:color="CCCCCC"/>
            </w:tcBorders>
          </w:tcPr>
          <w:p>
            <w:r>
              <w:rPr>
                <w:color w:val="1A1A2E"/>
                <w:sz w:val="20"/>
              </w:rPr>
              <w:t>v1.0</w:t>
            </w:r>
          </w:p>
        </w:tc>
      </w:tr>
      <w:tr>
        <w:tc>
          <w:tcPr>
            <w:tcW w:type="dxa" w:w="2835"/>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Date</w:t>
            </w:r>
          </w:p>
        </w:tc>
        <w:tc>
          <w:tcPr>
            <w:tcW w:type="dxa" w:w="6520"/>
            <w:tcBorders>
              <w:top w:val="single" w:sz="4" w:space="0" w:color="CCCCCC"/>
              <w:left w:val="single" w:sz="4" w:space="0" w:color="CCCCCC"/>
              <w:bottom w:val="single" w:sz="4" w:space="0" w:color="CCCCCC"/>
              <w:right w:val="single" w:sz="4" w:space="0" w:color="CCCCCC"/>
            </w:tcBorders>
          </w:tcPr>
          <w:p>
            <w:r>
              <w:rPr>
                <w:color w:val="1A1A2E"/>
                <w:sz w:val="20"/>
              </w:rPr>
              <w:t>April 03, 2026</w:t>
            </w:r>
          </w:p>
        </w:tc>
      </w:tr>
      <w:tr>
        <w:tc>
          <w:tcPr>
            <w:tcW w:type="dxa" w:w="2835"/>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Status</w:t>
            </w:r>
          </w:p>
        </w:tc>
        <w:tc>
          <w:tcPr>
            <w:tcW w:type="dxa" w:w="6520"/>
            <w:tcBorders>
              <w:top w:val="single" w:sz="4" w:space="0" w:color="CCCCCC"/>
              <w:left w:val="single" w:sz="4" w:space="0" w:color="CCCCCC"/>
              <w:bottom w:val="single" w:sz="4" w:space="0" w:color="CCCCCC"/>
              <w:right w:val="single" w:sz="4" w:space="0" w:color="CCCCCC"/>
            </w:tcBorders>
          </w:tcPr>
          <w:p>
            <w:r>
              <w:rPr>
                <w:color w:val="1A1A2E"/>
                <w:sz w:val="20"/>
              </w:rPr>
              <w:t>Draft — Pending CSO Review</w:t>
            </w:r>
          </w:p>
        </w:tc>
      </w:tr>
      <w:tr>
        <w:tc>
          <w:tcPr>
            <w:tcW w:type="dxa" w:w="2835"/>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Classification</w:t>
            </w:r>
          </w:p>
        </w:tc>
        <w:tc>
          <w:tcPr>
            <w:tcW w:type="dxa" w:w="6520"/>
            <w:tcBorders>
              <w:top w:val="single" w:sz="4" w:space="0" w:color="CCCCCC"/>
              <w:left w:val="single" w:sz="4" w:space="0" w:color="CCCCCC"/>
              <w:bottom w:val="single" w:sz="4" w:space="0" w:color="CCCCCC"/>
              <w:right w:val="single" w:sz="4" w:space="0" w:color="CCCCCC"/>
            </w:tcBorders>
          </w:tcPr>
          <w:p>
            <w:r>
              <w:rPr>
                <w:color w:val="1A1A2E"/>
                <w:sz w:val="20"/>
              </w:rPr>
              <w:t>Internal / Confidential — Walmart Only</w:t>
            </w:r>
          </w:p>
        </w:tc>
      </w:tr>
    </w:tbl>
    <w:p/>
    <w:p>
      <w:r>
        <w:br w:type="page"/>
      </w:r>
    </w:p>
    <w:p>
      <w:pPr>
        <w:pStyle w:val="Heading1"/>
        <w:jc w:val="left"/>
      </w:pPr>
      <w:r>
        <w:rPr>
          <w:b/>
          <w:color w:val="0053E2"/>
        </w:rPr>
        <w:t>1  |  Primary Business Outcome</w:t>
      </w:r>
    </w:p>
    <w:p>
      <w:pPr>
        <w:spacing w:before="80" w:after="80"/>
        <w:pBdr>
          <w:bottom w:val="single" w:sz="6" w:space="1" w:color="0053E2"/>
        </w:pBdr>
      </w:pPr>
    </w:p>
    <w:p/>
    <w:p>
      <w:pPr>
        <w:spacing w:before="0" w:after="160"/>
      </w:pPr>
      <w:r>
        <w:rPr>
          <w:color w:val="1A1A2E"/>
          <w:sz w:val="22"/>
        </w:rPr>
        <w:t>The SENTRY agent exists to collapse the gap between a vendor entering the Emerging Technology Security pipeline and a human analyst having a credible, data-backed assessment decision in hand — without manual report-building at every step.</w:t>
      </w:r>
    </w:p>
    <w:p>
      <w:pPr>
        <w:spacing w:before="80" w:after="200"/>
        <w:ind w:left="567"/>
      </w:pPr>
      <w:r>
        <w:rPr>
          <w:b/>
          <w:i/>
          <w:color w:val="0053E2"/>
          <w:sz w:val="24"/>
        </w:rPr>
        <w:t>"Reduce time-to-assessment-decision for emerging technology vendors — from intake through VAR completion — while delivering CSO-ready security intelligence without manual report-building."</w:t>
      </w:r>
    </w:p>
    <w:p>
      <w:pPr>
        <w:pStyle w:val="Heading2"/>
        <w:jc w:val="left"/>
      </w:pPr>
      <w:r>
        <w:rPr>
          <w:b/>
          <w:color w:val="0053E2"/>
        </w:rPr>
        <w:t>Supporting Outcomes (Priority Order)</w:t>
      </w:r>
    </w:p>
    <w:p>
      <w:pPr>
        <w:pStyle w:val="ListBullet"/>
        <w:spacing w:after="60"/>
        <w:ind w:left="283"/>
      </w:pPr>
      <w:r>
        <w:rPr>
          <w:b/>
          <w:color w:val="1A1A2E"/>
          <w:sz w:val="22"/>
        </w:rPr>
        <w:t>Eliminate the VAR backlog.</w:t>
      </w:r>
      <w:r>
        <w:rPr>
          <w:color w:val="1A1A2E"/>
          <w:sz w:val="22"/>
        </w:rPr>
        <w:t xml:space="preserve"> 54.6 % of the 2,090 tracked vendors have no completed Vendor Assessment Report. The agent's highest-leverage action is automating the scoring and linking work that today lives entirely in the Admin Panel and is done by hand.</w:t>
      </w:r>
    </w:p>
    <w:p>
      <w:pPr>
        <w:pStyle w:val="ListBullet"/>
        <w:spacing w:after="60"/>
        <w:ind w:left="283"/>
      </w:pPr>
      <w:r>
        <w:rPr>
          <w:b/>
          <w:color w:val="1A1A2E"/>
          <w:sz w:val="22"/>
        </w:rPr>
        <w:t>Reduce security review backlogs.</w:t>
      </w:r>
      <w:r>
        <w:rPr>
          <w:color w:val="1A1A2E"/>
          <w:sz w:val="22"/>
        </w:rPr>
        <w:t xml:space="preserve"> The EST 8-phase pipeline carries 14 active projects and a $5.05 M portfolio. Stalled phase gates cost real budget and calendar time.</w:t>
      </w:r>
    </w:p>
    <w:p>
      <w:pPr>
        <w:pStyle w:val="ListBullet"/>
        <w:spacing w:after="60"/>
        <w:ind w:left="283"/>
      </w:pPr>
      <w:r>
        <w:rPr>
          <w:b/>
          <w:color w:val="1A1A2E"/>
          <w:sz w:val="22"/>
        </w:rPr>
        <w:t>Support Walmart CSO reporting.</w:t>
      </w:r>
      <w:r>
        <w:rPr>
          <w:color w:val="1A1A2E"/>
          <w:sz w:val="22"/>
        </w:rPr>
        <w:t xml:space="preserve"> Jerrad Crabtree needs competitor positioning, regulatory RAG status, and incident trends without someone manually building a deck on Friday afternoon.</w:t>
      </w:r>
    </w:p>
    <w:p>
      <w:pPr>
        <w:pStyle w:val="ListBullet"/>
        <w:spacing w:after="60"/>
        <w:ind w:left="283"/>
      </w:pPr>
      <w:r>
        <w:rPr>
          <w:b/>
          <w:color w:val="1A1A2E"/>
          <w:sz w:val="22"/>
        </w:rPr>
        <w:t>Improve recommendation quality.</w:t>
      </w:r>
      <w:r>
        <w:rPr>
          <w:color w:val="1A1A2E"/>
          <w:sz w:val="22"/>
        </w:rPr>
        <w:t xml:space="preserve"> VAR decision bands (Advance / Research Further / Defer / Reject) are currently scored manually and analyst-dependent. AI-assisted extraction across 8 dimensions makes scoring consistent and auditable.</w:t>
      </w:r>
    </w:p>
    <w:p>
      <w:pPr>
        <w:pStyle w:val="ListBullet"/>
        <w:spacing w:after="60"/>
        <w:ind w:left="283"/>
      </w:pPr>
      <w:r>
        <w:rPr>
          <w:b/>
          <w:color w:val="1A1A2E"/>
          <w:sz w:val="22"/>
        </w:rPr>
        <w:t>Speed up SENTRY feature updates.</w:t>
      </w:r>
      <w:r>
        <w:rPr>
          <w:color w:val="1A1A2E"/>
          <w:sz w:val="22"/>
        </w:rPr>
        <w:t xml:space="preserve"> The agent surfaces data coverage gaps, stale records, and pipeline blockers before they escalate — reducing reactive firefighting for the EST engineering team.</w:t>
      </w:r>
    </w:p>
    <w:p>
      <w:pPr>
        <w:pStyle w:val="ListBullet"/>
        <w:spacing w:after="60"/>
        <w:ind w:left="283"/>
      </w:pPr>
      <w:r>
        <w:rPr>
          <w:b/>
          <w:color w:val="1A1A2E"/>
          <w:sz w:val="22"/>
        </w:rPr>
        <w:t>Centralise intelligence.</w:t>
      </w:r>
      <w:r>
        <w:rPr>
          <w:color w:val="1A1A2E"/>
          <w:sz w:val="22"/>
        </w:rPr>
        <w:t xml:space="preserve"> Incident data, competitor events, regulatory obligations, and vendor risk live in separate views today. The agent stitches them into a single contextual picture that any analyst or executive can interrogate in natural language.</w:t>
      </w:r>
    </w:p>
    <w:p/>
    <w:p>
      <w:r>
        <w:br w:type="page"/>
      </w:r>
    </w:p>
    <w:p>
      <w:pPr>
        <w:pStyle w:val="Heading1"/>
        <w:jc w:val="left"/>
      </w:pPr>
      <w:r>
        <w:rPr>
          <w:b/>
          <w:color w:val="0053E2"/>
        </w:rPr>
        <w:t>2  |  Primary Users</w:t>
      </w:r>
    </w:p>
    <w:p>
      <w:pPr>
        <w:spacing w:before="80" w:after="80"/>
        <w:pBdr>
          <w:bottom w:val="single" w:sz="6" w:space="1" w:color="0053E2"/>
        </w:pBdr>
      </w:pPr>
    </w:p>
    <w:p/>
    <w:p>
      <w:pPr>
        <w:spacing w:before="0" w:after="200"/>
      </w:pPr>
      <w:r>
        <w:rPr>
          <w:color w:val="1A1A2E"/>
          <w:sz w:val="22"/>
        </w:rPr>
        <w:t>Listed in descending priority — highest executive stakes at the top, indirect or occasional users at the bottom.</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w:t>
            </w:r>
          </w:p>
        </w:tc>
        <w:tc>
          <w:tcPr>
            <w:tcW w:type="dxa" w:w="2154"/>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User / Persona</w:t>
            </w:r>
          </w:p>
        </w:tc>
        <w:tc>
          <w:tcPr>
            <w:tcW w:type="dxa" w:w="2551"/>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Role in SENTRY</w:t>
            </w:r>
          </w:p>
        </w:tc>
        <w:tc>
          <w:tcPr>
            <w:tcW w:type="dxa" w:w="4082"/>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Key Need from the Agent</w:t>
            </w:r>
          </w:p>
        </w:tc>
      </w:tr>
      <w:tr>
        <w:tc>
          <w:tcPr>
            <w:tcW w:type="dxa" w:w="567"/>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1</w:t>
            </w:r>
          </w:p>
        </w:tc>
        <w:tc>
          <w:tcPr>
            <w:tcW w:type="dxa" w:w="2154"/>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Walmart CSO</w:t>
              <w:br/>
              <w:t>(Jerrad Crabtree)</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Executive authority — named in the live</w:t>
              <w:br/>
              <w:t>SENTRY-AI system prompt</w:t>
            </w:r>
          </w:p>
        </w:tc>
        <w:tc>
          <w:tcPr>
            <w:tcW w:type="dxa" w:w="4082"/>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Morning brief, competitor intel,</w:t>
              <w:br/>
              <w:t>regulatory RAG — delivered, not</w:t>
              <w:br/>
              <w:t>requested</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2</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EST Security Analysts</w:t>
              <w:br/>
              <w:t>(Jason Wilbur's team)</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Daily operators — VAR linking,</w:t>
              <w:br/>
              <w:t>scoring, pipeline management,</w:t>
              <w:br/>
              <w:t>admin work</w:t>
            </w:r>
          </w:p>
        </w:tc>
        <w:tc>
          <w:tcPr>
            <w:tcW w:type="dxa" w:w="4082"/>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Automate the repetitive scoring</w:t>
              <w:br/>
              <w:t>and linking work; flag what needs</w:t>
              <w:br/>
              <w:t>human judgment</w:t>
            </w:r>
          </w:p>
        </w:tc>
      </w:tr>
      <w:tr>
        <w:tc>
          <w:tcPr>
            <w:tcW w:type="dxa" w:w="567"/>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3</w:t>
            </w:r>
          </w:p>
        </w:tc>
        <w:tc>
          <w:tcPr>
            <w:tcW w:type="dxa" w:w="2154"/>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Walmart Security Teams</w:t>
              <w:br/>
              <w:t>(broader GSI)</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Consumers of incident intelligence,</w:t>
              <w:br/>
              <w:t>vendor risk map, regulatory</w:t>
              <w:br/>
              <w:t>obligations</w:t>
            </w:r>
          </w:p>
        </w:tc>
        <w:tc>
          <w:tcPr>
            <w:tcW w:type="dxa" w:w="4082"/>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Read-heavy: fast search, accurate</w:t>
              <w:br/>
              <w:t>risk ratings, clear RAG status</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4</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Compliance Reviewers</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Own NDA / APM / ERPA / SSP entries;</w:t>
              <w:br/>
              <w:t>gate-keepers on EST phase progression</w:t>
            </w:r>
          </w:p>
        </w:tc>
        <w:tc>
          <w:tcPr>
            <w:tcW w:type="dxa" w:w="4082"/>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Surface missing compliance IDs</w:t>
              <w:br/>
              <w:t>and blocked phase gates without</w:t>
              <w:br/>
              <w:t>manual chasing</w:t>
            </w:r>
          </w:p>
        </w:tc>
      </w:tr>
      <w:tr>
        <w:tc>
          <w:tcPr>
            <w:tcW w:type="dxa" w:w="567"/>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5</w:t>
            </w:r>
          </w:p>
        </w:tc>
        <w:tc>
          <w:tcPr>
            <w:tcW w:type="dxa" w:w="2154"/>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Engineering / Project Leads</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Manage 14 active EST projects</w:t>
              <w:br/>
              <w:t>across 8 lifecycle phases</w:t>
            </w:r>
          </w:p>
        </w:tc>
        <w:tc>
          <w:tcPr>
            <w:tcW w:type="dxa" w:w="4082"/>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Phase health, vendor associations,</w:t>
              <w:br/>
              <w:t>milestone visibility — at a glance</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6</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End Users (Requestors)</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Submit technology assessment</w:t>
              <w:br/>
              <w:t>requests via the RequestAssessment</w:t>
              <w:br/>
              <w:t>form</w:t>
            </w:r>
          </w:p>
        </w:tc>
        <w:tc>
          <w:tcPr>
            <w:tcW w:type="dxa" w:w="4082"/>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Status updates on their request;</w:t>
              <w:br/>
              <w:t>currently they get only a ref ID</w:t>
              <w:br/>
              <w:t>and silence</w:t>
            </w:r>
          </w:p>
        </w:tc>
      </w:tr>
      <w:tr>
        <w:tc>
          <w:tcPr>
            <w:tcW w:type="dxa" w:w="567"/>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7</w:t>
            </w:r>
          </w:p>
        </w:tc>
        <w:tc>
          <w:tcPr>
            <w:tcW w:type="dxa" w:w="2154"/>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Product Owners</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Make Pilot → BAU decisions based</w:t>
              <w:br/>
              <w:t>on VAR decision bands</w:t>
            </w:r>
          </w:p>
        </w:tc>
        <w:tc>
          <w:tcPr>
            <w:tcW w:type="dxa" w:w="4082"/>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Trustworthy, fast Advance / Defer /</w:t>
              <w:br/>
              <w:t>Reject signal without reading a</w:t>
              <w:br/>
              <w:t>20-page VAR</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8</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Executives (non-CSO)</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Consume CSO Intelligence module —</w:t>
              <w:br/>
              <w:t>competitor CSO profiles, threat radar</w:t>
            </w:r>
          </w:p>
        </w:tc>
        <w:tc>
          <w:tcPr>
            <w:tcW w:type="dxa" w:w="4082"/>
            <w:shd w:val="clear" w:color="auto" w:fill="FFFFFF"/>
            <w:tcBorders>
              <w:top w:val="single" w:sz="4" w:space="0" w:color="CCCCCC"/>
              <w:left w:val="single" w:sz="4" w:space="0" w:color="CCCCCC"/>
              <w:bottom w:val="single" w:sz="4" w:space="0" w:color="CCCCCC"/>
              <w:right w:val="single" w:sz="4" w:space="0" w:color="CCCCCC"/>
            </w:tcBorders>
          </w:tcPr>
          <w:p>
            <w:r>
              <w:rPr>
                <w:b w:val="0"/>
                <w:color w:val="1A1A2E"/>
                <w:sz w:val="20"/>
              </w:rPr>
              <w:t>Polished, human-approved summaries;</w:t>
              <w:br/>
              <w:t>not raw data</w:t>
            </w:r>
          </w:p>
        </w:tc>
      </w:tr>
      <w:tr>
        <w:tc>
          <w:tcPr>
            <w:tcW w:type="dxa" w:w="567"/>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9</w:t>
            </w:r>
          </w:p>
        </w:tc>
        <w:tc>
          <w:tcPr>
            <w:tcW w:type="dxa" w:w="2154"/>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Vendors (indirect)</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Submit lab visit requests; receive</w:t>
              <w:br/>
              <w:t>assessment reference IDs</w:t>
            </w:r>
          </w:p>
        </w:tc>
        <w:tc>
          <w:tcPr>
            <w:tcW w:type="dxa" w:w="4082"/>
            <w:shd w:val="clear" w:color="auto" w:fill="F5F5F5"/>
            <w:tcBorders>
              <w:top w:val="single" w:sz="4" w:space="0" w:color="CCCCCC"/>
              <w:left w:val="single" w:sz="4" w:space="0" w:color="CCCCCC"/>
              <w:bottom w:val="single" w:sz="4" w:space="0" w:color="CCCCCC"/>
              <w:right w:val="single" w:sz="4" w:space="0" w:color="CCCCCC"/>
            </w:tcBorders>
          </w:tcPr>
          <w:p>
            <w:r>
              <w:rPr>
                <w:b w:val="0"/>
                <w:color w:val="1A1A2E"/>
                <w:sz w:val="20"/>
              </w:rPr>
              <w:t>Never touch the database — the</w:t>
              <w:br/>
              <w:t>agent surfaces status back to the</w:t>
              <w:br/>
              <w:t>EST team only</w:t>
            </w:r>
          </w:p>
        </w:tc>
      </w:tr>
    </w:tbl>
    <w:p/>
    <w:p>
      <w:r>
        <w:br w:type="page"/>
      </w:r>
    </w:p>
    <w:p>
      <w:pPr>
        <w:pStyle w:val="Heading1"/>
        <w:jc w:val="left"/>
      </w:pPr>
      <w:r>
        <w:rPr>
          <w:b/>
          <w:color w:val="0053E2"/>
        </w:rPr>
        <w:t>3  |  Allowed Agent Actions</w:t>
      </w:r>
    </w:p>
    <w:p>
      <w:pPr>
        <w:spacing w:before="80" w:after="80"/>
        <w:pBdr>
          <w:bottom w:val="single" w:sz="6" w:space="1" w:color="0053E2"/>
        </w:pBdr>
      </w:pPr>
    </w:p>
    <w:p/>
    <w:p>
      <w:pPr>
        <w:spacing w:before="0" w:after="200"/>
      </w:pPr>
      <w:r>
        <w:rPr>
          <w:color w:val="1A1A2E"/>
          <w:sz w:val="22"/>
        </w:rPr>
        <w:t>The following actions are within the agent's autonomous operating boundary inside the SENTRY workflow. All are read-oriented, draft-only, or trigger existing infrastructure that already exists in the codebase — nothing new to build for Phase 1.</w:t>
      </w:r>
    </w:p>
    <w:p>
      <w:pPr>
        <w:pStyle w:val="Heading2"/>
        <w:jc w:val="left"/>
      </w:pPr>
      <w:r>
        <w:rPr>
          <w:b/>
          <w:color w:val="0053E2"/>
        </w:rPr>
        <w:t>Assessment &amp; Triage</w:t>
      </w:r>
    </w:p>
    <w:p>
      <w:pPr>
        <w:pStyle w:val="ListBullet"/>
        <w:spacing w:after="60"/>
        <w:ind w:left="283"/>
      </w:pPr>
      <w:r>
        <w:rPr>
          <w:b/>
          <w:color w:val="1A1A2E"/>
          <w:sz w:val="22"/>
        </w:rPr>
        <w:t>Analyse incoming assessment requests</w:t>
      </w:r>
      <w:r>
        <w:rPr>
          <w:color w:val="1A1A2E"/>
          <w:sz w:val="22"/>
        </w:rPr>
        <w:t xml:space="preserve"> Pre-score new vendor requests against VAR criteria before an analyst touches them. Flag duplicates, close matches in the existing 2,090-vendor DB, and suggest category assignment.</w:t>
      </w:r>
    </w:p>
    <w:p>
      <w:pPr>
        <w:pStyle w:val="ListBullet"/>
        <w:spacing w:after="60"/>
        <w:ind w:left="283"/>
      </w:pPr>
      <w:r>
        <w:rPr>
          <w:b/>
          <w:color w:val="1A1A2E"/>
          <w:sz w:val="22"/>
        </w:rPr>
        <w:t>Review backlog items</w:t>
      </w:r>
      <w:r>
        <w:rPr>
          <w:color w:val="1A1A2E"/>
          <w:sz w:val="22"/>
        </w:rPr>
        <w:t xml:space="preserve"> Identify vendors stale &gt;180 days, VARs with no extracted scores, projects missing phase gate data, and compliance entries (NDA/APM/ERPA/SSP) that are blocking progression.</w:t>
      </w:r>
    </w:p>
    <w:p>
      <w:pPr>
        <w:pStyle w:val="ListBullet"/>
        <w:spacing w:after="60"/>
        <w:ind w:left="283"/>
      </w:pPr>
      <w:r>
        <w:rPr>
          <w:b/>
          <w:color w:val="1A1A2E"/>
          <w:sz w:val="22"/>
        </w:rPr>
        <w:t>Draft VAR summaries and decision-band recommendations</w:t>
      </w:r>
      <w:r>
        <w:rPr>
          <w:color w:val="1A1A2E"/>
          <w:sz w:val="22"/>
        </w:rPr>
        <w:t xml:space="preserve"> Produce a structured draft (Advance / Research Further / Defer / Reject) with supporting evidence from the 8-dimension score set. Always presented as a draft — never as a final decision.</w:t>
      </w:r>
    </w:p>
    <w:p/>
    <w:p>
      <w:pPr>
        <w:pStyle w:val="Heading2"/>
        <w:jc w:val="left"/>
      </w:pPr>
      <w:r>
        <w:rPr>
          <w:b/>
          <w:color w:val="0053E2"/>
        </w:rPr>
        <w:t>Data &amp; Document Processing</w:t>
      </w:r>
    </w:p>
    <w:p>
      <w:pPr>
        <w:pStyle w:val="ListBullet"/>
        <w:spacing w:after="60"/>
        <w:ind w:left="283"/>
      </w:pPr>
      <w:r>
        <w:rPr>
          <w:b/>
          <w:color w:val="1A1A2E"/>
          <w:sz w:val="22"/>
        </w:rPr>
        <w:t>Extract VAR scores from .docx documents</w:t>
      </w:r>
      <w:r>
        <w:rPr>
          <w:color w:val="1A1A2E"/>
          <w:sz w:val="22"/>
        </w:rPr>
        <w:t xml:space="preserve"> Trigger the existing batch-extract endpoint (POST /api/admin/vars/batch-extract) against unscored VARs. Extraction runs across Compliance, Risk, Maturity, Integration, ROI, Viability, Differentiation, and Cloud Dependency dimensions.</w:t>
      </w:r>
    </w:p>
    <w:p>
      <w:pPr>
        <w:pStyle w:val="ListBullet"/>
        <w:spacing w:after="60"/>
        <w:ind w:left="283"/>
      </w:pPr>
      <w:r>
        <w:rPr>
          <w:b/>
          <w:color w:val="1A1A2E"/>
          <w:sz w:val="22"/>
        </w:rPr>
        <w:t>Auto-link newly uploaded VARs to vendor cards</w:t>
      </w:r>
      <w:r>
        <w:rPr>
          <w:color w:val="1A1A2E"/>
          <w:sz w:val="22"/>
        </w:rPr>
        <w:t xml:space="preserve"> Apply the existing fuzzy name-matching logic (already in bulk_link_v3.py) when new VAR documents appear in the SharePoint vault — removing the manual admin step.</w:t>
      </w:r>
    </w:p>
    <w:p>
      <w:pPr>
        <w:pStyle w:val="ListBullet"/>
        <w:spacing w:after="60"/>
        <w:ind w:left="283"/>
      </w:pPr>
      <w:r>
        <w:rPr>
          <w:b/>
          <w:color w:val="1A1A2E"/>
          <w:sz w:val="22"/>
        </w:rPr>
        <w:t>Query internal docs and data</w:t>
      </w:r>
      <w:r>
        <w:rPr>
          <w:color w:val="1A1A2E"/>
          <w:sz w:val="22"/>
        </w:rPr>
        <w:t xml:space="preserve"> Read from the SQLite DB, pull VAR .docx content via SharePoint Graph API, parse the 362-obligation regulatory JSON, and search incident and competitor CSVs.</w:t>
      </w:r>
    </w:p>
    <w:p/>
    <w:p>
      <w:pPr>
        <w:pStyle w:val="Heading2"/>
        <w:jc w:val="left"/>
      </w:pPr>
      <w:r>
        <w:rPr>
          <w:b/>
          <w:color w:val="0053E2"/>
        </w:rPr>
        <w:t>Reporting &amp; Intelligence</w:t>
      </w:r>
    </w:p>
    <w:p>
      <w:pPr>
        <w:pStyle w:val="ListBullet"/>
        <w:spacing w:after="60"/>
        <w:ind w:left="283"/>
      </w:pPr>
      <w:r>
        <w:rPr>
          <w:b/>
          <w:color w:val="1A1A2E"/>
          <w:sz w:val="22"/>
        </w:rPr>
        <w:t>Generate reports and dashboards</w:t>
      </w:r>
      <w:r>
        <w:rPr>
          <w:color w:val="1A1A2E"/>
          <w:sz w:val="22"/>
        </w:rPr>
        <w:t xml:space="preserve"> Produce competitor heatmaps, regulatory RAG breakdowns, incident trend analysis, VAR coverage summaries, and morning brief content from live /api/* endpoints.</w:t>
      </w:r>
    </w:p>
    <w:p>
      <w:pPr>
        <w:pStyle w:val="ListBullet"/>
        <w:spacing w:after="60"/>
        <w:ind w:left="283"/>
      </w:pPr>
      <w:r>
        <w:rPr>
          <w:b/>
          <w:color w:val="1A1A2E"/>
          <w:sz w:val="22"/>
        </w:rPr>
        <w:t>Recommend risk ratings</w:t>
      </w:r>
      <w:r>
        <w:rPr>
          <w:color w:val="1A1A2E"/>
          <w:sz w:val="22"/>
        </w:rPr>
        <w:t xml:space="preserve"> Surface risk recommendations across all 8 VAR dimensions — presented as input to analyst judgment, never as a final classification.</w:t>
      </w:r>
    </w:p>
    <w:p>
      <w:pPr>
        <w:pStyle w:val="ListBullet"/>
        <w:spacing w:after="60"/>
        <w:ind w:left="283"/>
      </w:pPr>
      <w:r>
        <w:rPr>
          <w:b/>
          <w:color w:val="1A1A2E"/>
          <w:sz w:val="22"/>
        </w:rPr>
        <w:t>Surface regulatory Red/Amber obligations</w:t>
      </w:r>
      <w:r>
        <w:rPr>
          <w:color w:val="1A1A2E"/>
          <w:sz w:val="22"/>
        </w:rPr>
        <w:t xml:space="preserve"> Identify the 19 current Red-band obligations (score 19–25) that have no assigned owner or ETA, and suggest owners based on technology category.</w:t>
      </w:r>
    </w:p>
    <w:p>
      <w:pPr>
        <w:pStyle w:val="ListBullet"/>
        <w:spacing w:after="60"/>
        <w:ind w:left="283"/>
      </w:pPr>
      <w:r>
        <w:rPr>
          <w:b/>
          <w:color w:val="1A1A2E"/>
          <w:sz w:val="22"/>
        </w:rPr>
        <w:t>Cross-reference competitor events with vendor roster</w:t>
      </w:r>
      <w:r>
        <w:rPr>
          <w:color w:val="1A1A2E"/>
          <w:sz w:val="22"/>
        </w:rPr>
        <w:t xml:space="preserve"> When a competitor event (cyber incident, regulatory action, ORC pattern) involves a vendor also in the SENTRY DB, surface that overlap proactively.</w:t>
      </w:r>
    </w:p>
    <w:p/>
    <w:p>
      <w:pPr>
        <w:pStyle w:val="Heading2"/>
        <w:jc w:val="left"/>
      </w:pPr>
      <w:r>
        <w:rPr>
          <w:b/>
          <w:color w:val="0053E2"/>
        </w:rPr>
        <w:t>Natural Language &amp; Workflow</w:t>
      </w:r>
    </w:p>
    <w:p>
      <w:pPr>
        <w:pStyle w:val="ListBullet"/>
        <w:spacing w:after="60"/>
        <w:ind w:left="283"/>
      </w:pPr>
      <w:r>
        <w:rPr>
          <w:b/>
          <w:color w:val="1A1A2E"/>
          <w:sz w:val="22"/>
        </w:rPr>
        <w:t>Answer natural language questions via SENTRY-AI chat</w:t>
      </w:r>
      <w:r>
        <w:rPr>
          <w:color w:val="1A1A2E"/>
          <w:sz w:val="22"/>
        </w:rPr>
        <w:t xml:space="preserve"> The Element LLM Gateway integration is already live in /api/chat. The agent provides contextual answers about vendor risk, pipeline status, regulatory obligations, and competitor intelligence using live DB snapshots injected into the system prompt.</w:t>
      </w:r>
    </w:p>
    <w:p>
      <w:pPr>
        <w:pStyle w:val="ListBullet"/>
        <w:spacing w:after="60"/>
        <w:ind w:left="283"/>
      </w:pPr>
      <w:r>
        <w:rPr>
          <w:b/>
          <w:color w:val="1A1A2E"/>
          <w:sz w:val="22"/>
        </w:rPr>
        <w:t>Identify phase gate gaps per project</w:t>
      </w:r>
      <w:r>
        <w:rPr>
          <w:color w:val="1A1A2E"/>
          <w:sz w:val="22"/>
        </w:rPr>
        <w:t xml:space="preserve"> For each of the 14 active EST projects, surface missing NDA numbers, unsigned APM entries, incomplete ERPA or SSP records that are preventing phase advancement.</w:t>
      </w:r>
    </w:p>
    <w:p>
      <w:pPr>
        <w:pStyle w:val="ListBullet"/>
        <w:spacing w:after="60"/>
        <w:ind w:left="283"/>
      </w:pPr>
      <w:r>
        <w:rPr>
          <w:b/>
          <w:color w:val="1A1A2E"/>
          <w:sz w:val="22"/>
        </w:rPr>
        <w:t>Propose architecture changes</w:t>
      </w:r>
      <w:r>
        <w:rPr>
          <w:color w:val="1A1A2E"/>
          <w:sz w:val="22"/>
        </w:rPr>
        <w:t xml:space="preserve"> Recommend changes as read-only output in chat or a report. The agent never writes to source control, infrastructure config, or production environment.</w:t>
      </w:r>
    </w:p>
    <w:p>
      <w:pPr>
        <w:pStyle w:val="ListBullet"/>
        <w:spacing w:after="60"/>
        <w:ind w:left="283"/>
      </w:pPr>
      <w:r>
        <w:rPr>
          <w:b/>
          <w:color w:val="1A1A2E"/>
          <w:sz w:val="22"/>
        </w:rPr>
        <w:t>Suggest code or DevOps changes</w:t>
      </w:r>
      <w:r>
        <w:rPr>
          <w:color w:val="1A1A2E"/>
          <w:sz w:val="22"/>
        </w:rPr>
        <w:t xml:space="preserve"> Same constraint: suggestions only, formatted as recommendations in the chat panel or a generated markdown document. Human-initiated PR required.</w:t>
      </w:r>
    </w:p>
    <w:p/>
    <w:p>
      <w:r>
        <w:br w:type="page"/>
      </w:r>
    </w:p>
    <w:p>
      <w:pPr>
        <w:pStyle w:val="Heading1"/>
        <w:jc w:val="left"/>
      </w:pPr>
      <w:r>
        <w:rPr>
          <w:b/>
          <w:color w:val="0053E2"/>
        </w:rPr>
        <w:t>4  |  Actions Requiring Human Approval</w:t>
      </w:r>
    </w:p>
    <w:p>
      <w:pPr>
        <w:spacing w:before="80" w:after="80"/>
        <w:pBdr>
          <w:bottom w:val="single" w:sz="6" w:space="1" w:color="0053E2"/>
        </w:pBdr>
      </w:pPr>
    </w:p>
    <w:p/>
    <w:p>
      <w:pPr>
        <w:spacing w:before="0" w:after="200"/>
      </w:pPr>
      <w:r>
        <w:rPr>
          <w:color w:val="1A1A2E"/>
          <w:sz w:val="22"/>
        </w:rPr>
        <w:t>These are hard stops. The agent proposes — a human decides. No exception, no override flag, no 'force=true' without an explicit analyst or administrator confirmation in the UI.</w:t>
      </w:r>
    </w:p>
    <w:p>
      <w:pPr>
        <w:pStyle w:val="ListBullet"/>
        <w:spacing w:after="60"/>
        <w:ind w:left="283"/>
      </w:pPr>
      <w:r>
        <w:rPr>
          <w:b/>
          <w:color w:val="EA1100"/>
          <w:sz w:val="22"/>
        </w:rPr>
        <w:t>✗  Deploy code or change production configs.</w:t>
      </w:r>
      <w:r>
        <w:rPr>
          <w:color w:val="1A1A2E"/>
          <w:sz w:val="22"/>
        </w:rPr>
        <w:t xml:space="preserve"> Cloud Run environment variables, Firebase hosting rewrites, and CORS settings are never agent-managed. Even 'safe-looking' config changes can break auth, expose CORS origins, or take the backend offline.</w:t>
      </w:r>
    </w:p>
    <w:p>
      <w:pPr>
        <w:pStyle w:val="ListBullet"/>
        <w:spacing w:after="60"/>
        <w:ind w:left="283"/>
      </w:pPr>
      <w:r>
        <w:rPr>
          <w:b/>
          <w:color w:val="EA1100"/>
          <w:sz w:val="22"/>
        </w:rPr>
        <w:t>✗  Close or approve a technology assessment.</w:t>
      </w:r>
      <w:r>
        <w:rPr>
          <w:color w:val="1A1A2E"/>
          <w:sz w:val="22"/>
        </w:rPr>
        <w:t xml:space="preserve"> Flipping a VAR decision band to final (Advance / Research Further / Defer / Reject) carries real procurement and security consequences. The agent drafts — the analyst confirms.</w:t>
      </w:r>
    </w:p>
    <w:p>
      <w:pPr>
        <w:pStyle w:val="ListBullet"/>
        <w:spacing w:after="60"/>
        <w:ind w:left="283"/>
      </w:pPr>
      <w:r>
        <w:rPr>
          <w:b/>
          <w:color w:val="EA1100"/>
          <w:sz w:val="22"/>
        </w:rPr>
        <w:t>✗  Send anything to CSO leadership.</w:t>
      </w:r>
      <w:r>
        <w:rPr>
          <w:color w:val="1A1A2E"/>
          <w:sz w:val="22"/>
        </w:rPr>
        <w:t xml:space="preserve"> Morning brief, competitor report, regulatory update — every executive-facing output requires a human to review and hit send. The agent prepares, never publishes.</w:t>
      </w:r>
    </w:p>
    <w:p>
      <w:pPr>
        <w:pStyle w:val="ListBullet"/>
        <w:spacing w:after="60"/>
        <w:ind w:left="283"/>
      </w:pPr>
      <w:r>
        <w:rPr>
          <w:b/>
          <w:color w:val="EA1100"/>
          <w:sz w:val="22"/>
        </w:rPr>
        <w:t>✗  Modify NDA, APM, ERPA, or SSP compliance entries.</w:t>
      </w:r>
      <w:r>
        <w:rPr>
          <w:color w:val="1A1A2E"/>
          <w:sz w:val="22"/>
        </w:rPr>
        <w:t xml:space="preserve"> These are legal artifacts. Changes must be human-initiated and individually logged. The agent reads them for status checks only.</w:t>
      </w:r>
    </w:p>
    <w:p>
      <w:pPr>
        <w:pStyle w:val="ListBullet"/>
        <w:spacing w:after="60"/>
        <w:ind w:left="283"/>
      </w:pPr>
      <w:r>
        <w:rPr>
          <w:b/>
          <w:color w:val="EA1100"/>
          <w:sz w:val="22"/>
        </w:rPr>
        <w:t>✗  Delete vendors, VAR reports, or project records.</w:t>
      </w:r>
      <w:r>
        <w:rPr>
          <w:color w:val="1A1A2E"/>
          <w:sz w:val="22"/>
        </w:rPr>
        <w:t xml:space="preserve"> The DELETE /api/admin/vendors/{vendor_id} endpoint cascades to VAR reports and highlights. There is no undo without restoring a backup. Off-limits for the agent.</w:t>
      </w:r>
    </w:p>
    <w:p>
      <w:pPr>
        <w:pStyle w:val="ListBullet"/>
        <w:spacing w:after="60"/>
        <w:ind w:left="283"/>
      </w:pPr>
      <w:r>
        <w:rPr>
          <w:b/>
          <w:color w:val="EA1100"/>
          <w:sz w:val="22"/>
        </w:rPr>
        <w:t>✗  Trigger batch VAR score extraction on already-scored VARs.</w:t>
      </w:r>
      <w:r>
        <w:rPr>
          <w:color w:val="1A1A2E"/>
          <w:sz w:val="22"/>
        </w:rPr>
        <w:t xml:space="preserve"> The force=true flag on the batch-extract endpoint overwrites human-reviewed scores with AI-extracted values. That flag requires explicit analyst approval before it runs.</w:t>
      </w:r>
    </w:p>
    <w:p>
      <w:pPr>
        <w:pStyle w:val="ListBullet"/>
        <w:spacing w:after="60"/>
        <w:ind w:left="283"/>
      </w:pPr>
      <w:r>
        <w:rPr>
          <w:b/>
          <w:color w:val="EA1100"/>
          <w:sz w:val="22"/>
        </w:rPr>
        <w:t>✗  Modify access permissions or credentials.</w:t>
      </w:r>
      <w:r>
        <w:rPr>
          <w:color w:val="1A1A2E"/>
          <w:sz w:val="22"/>
        </w:rPr>
        <w:t xml:space="preserve"> MSAL tokens, SharePoint delegated access scopes, and GCP service account keys are never agent-managed — not even rotation or refresh beyond the existing token cache.</w:t>
      </w:r>
    </w:p>
    <w:p>
      <w:pPr>
        <w:pStyle w:val="ListBullet"/>
        <w:spacing w:after="60"/>
        <w:ind w:left="283"/>
      </w:pPr>
      <w:r>
        <w:rPr>
          <w:b/>
          <w:color w:val="EA1100"/>
          <w:sz w:val="22"/>
        </w:rPr>
        <w:t>✗  Publish or share incident data externally.</w:t>
      </w:r>
      <w:r>
        <w:rPr>
          <w:color w:val="1A1A2E"/>
          <w:sz w:val="22"/>
        </w:rPr>
        <w:t xml:space="preserve"> Some incident records contain location, victim-adjacent, or law-enforcement-sensitive information. Any output leaving the Walmart network requires a legal review trigger.</w:t>
      </w:r>
    </w:p>
    <w:p>
      <w:pPr>
        <w:pStyle w:val="ListBullet"/>
        <w:spacing w:after="60"/>
        <w:ind w:left="283"/>
      </w:pPr>
      <w:r>
        <w:rPr>
          <w:b/>
          <w:color w:val="EA1100"/>
          <w:sz w:val="22"/>
        </w:rPr>
        <w:t>✗  Change project health status or close a phase gate.</w:t>
      </w:r>
      <w:r>
        <w:rPr>
          <w:color w:val="1A1A2E"/>
          <w:sz w:val="22"/>
        </w:rPr>
        <w:t xml:space="preserve"> Green / Amber / Red health and phase gate history have downstream compliance implications recorded in the project audit trail. Human decision only.</w:t>
      </w:r>
    </w:p>
    <w:p>
      <w:pPr>
        <w:pStyle w:val="ListBullet"/>
        <w:spacing w:after="60"/>
        <w:ind w:left="283"/>
      </w:pPr>
      <w:r>
        <w:rPr>
          <w:b/>
          <w:color w:val="EA1100"/>
          <w:sz w:val="22"/>
        </w:rPr>
        <w:t>✗  Alter regulatory RAG band scores.</w:t>
      </w:r>
      <w:r>
        <w:rPr>
          <w:color w:val="1A1A2E"/>
          <w:sz w:val="22"/>
        </w:rPr>
        <w:t xml:space="preserve"> The Red / Amber / Yellow / Green obligation classification is compliance-owned. The agent can flag a disagreement — it never reclassifies.</w:t>
      </w:r>
    </w:p>
    <w:p/>
    <w:p>
      <w:r>
        <w:br w:type="page"/>
      </w:r>
    </w:p>
    <w:p>
      <w:pPr>
        <w:pStyle w:val="Heading1"/>
        <w:jc w:val="left"/>
      </w:pPr>
      <w:r>
        <w:rPr>
          <w:b/>
          <w:color w:val="0053E2"/>
        </w:rPr>
        <w:t>5  |  Systems, Data Sources &amp; Off-Limits Data</w:t>
      </w:r>
    </w:p>
    <w:p>
      <w:pPr>
        <w:spacing w:before="80" w:after="80"/>
        <w:pBdr>
          <w:bottom w:val="single" w:sz="6" w:space="1" w:color="0053E2"/>
        </w:pBdr>
      </w:pPr>
    </w:p>
    <w:p/>
    <w:p>
      <w:pPr>
        <w:pStyle w:val="Heading2"/>
        <w:jc w:val="left"/>
      </w:pPr>
      <w:r>
        <w:rPr>
          <w:b/>
          <w:color w:val="0053E2"/>
        </w:rPr>
        <w:t>5.1  Connected Today</w:t>
      </w:r>
    </w:p>
    <w:tbl>
      <w:tblPr>
        <w:tblStyle w:val="TableGrid"/>
        <w:tblW w:type="auto" w:w="0"/>
        <w:tblLook w:firstColumn="1" w:firstRow="1" w:lastColumn="0" w:lastRow="0" w:noHBand="0" w:noVBand="1" w:val="04A0"/>
      </w:tblPr>
      <w:tblGrid>
        <w:gridCol w:w="3324"/>
        <w:gridCol w:w="3324"/>
        <w:gridCol w:w="3324"/>
      </w:tblGrid>
      <w:tr>
        <w:tc>
          <w:tcPr>
            <w:tcW w:type="dxa" w:w="1984"/>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System</w:t>
            </w:r>
          </w:p>
        </w:tc>
        <w:tc>
          <w:tcPr>
            <w:tcW w:type="dxa" w:w="2551"/>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Data Volume / Scope</w:t>
            </w:r>
          </w:p>
        </w:tc>
        <w:tc>
          <w:tcPr>
            <w:tcW w:type="dxa" w:w="4819"/>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Notes</w:t>
            </w:r>
          </w:p>
        </w:tc>
      </w:tr>
      <w:tr>
        <w:tc>
          <w:tcPr>
            <w:tcW w:type="dxa" w:w="198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SharePoint</w:t>
              <w:br/>
              <w:t>(MS Graph API + MSAL)</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VAR .docx vault — 1,100+ documents</w:t>
            </w:r>
          </w:p>
        </w:tc>
        <w:tc>
          <w:tcPr>
            <w:tcW w:type="dxa" w:w="4819"/>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Primary document store for all Vendor Assessment Reports. Downloaded via Graph API with MSAL token; falls back to SharePoint web redirect.</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SQLite  sentry.db</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Vendors (2,090), var_reports (988+),</w:t>
              <w:br/>
              <w:t>incidents, projects, competitor_events</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System of record for all structured data. WAL journal mode, 30s timeout, pagination at 18–500 rows.</w:t>
            </w:r>
          </w:p>
        </w:tc>
      </w:tr>
      <w:tr>
        <w:tc>
          <w:tcPr>
            <w:tcW w:type="dxa" w:w="198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Element LLM Gateway</w:t>
              <w:br/>
              <w:t>(api.llm.walmart.com)</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GPT-4o-mini via Walmart internal proxy</w:t>
            </w:r>
          </w:p>
        </w:tc>
        <w:tc>
          <w:tcPr>
            <w:tcW w:type="dxa" w:w="4819"/>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Powers the SENTRY-AI chat assistant (/api/chat). Requires ELEMENT_API_KEY env var — the only change needed to enable it in production.</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Firebase Hosting</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sentry-b873a.web.app</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Frontend delivery and /api/** reverse-proxy rewrite to Cloud Run.</w:t>
            </w:r>
          </w:p>
        </w:tc>
      </w:tr>
      <w:tr>
        <w:tc>
          <w:tcPr>
            <w:tcW w:type="dxa" w:w="198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Google Cloud Run</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sentry-api · us-central1</w:t>
            </w:r>
          </w:p>
        </w:tc>
        <w:tc>
          <w:tcPr>
            <w:tcW w:type="dxa" w:w="4819"/>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FastAPI backend container. Source deploys from GitHub Actions on push to master.</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OneDrive sync</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…/OneDrive - Walmart Inc/ET/</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Local VAR document mirror and monthly Excel tracker drop zone. VARs organised by month (202507–202602).</w:t>
            </w:r>
          </w:p>
        </w:tc>
      </w:tr>
      <w:tr>
        <w:tc>
          <w:tcPr>
            <w:tcW w:type="dxa" w:w="198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Regulatory JSON</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362 obligations (AI, Biometrics,</w:t>
              <w:br/>
              <w:t>ALPR, UAS, Data Privacy)</w:t>
            </w:r>
          </w:p>
        </w:tc>
        <w:tc>
          <w:tcPr>
            <w:tcW w:type="dxa" w:w="4819"/>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Pre-built regulatory-briefing.json served by /api/regulatory/* with RAG scoring and jurisdiction breakdown.</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Monthly Excel Trackers</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Emerging Tech Tracker YYYYMM.xlsx</w:t>
              <w:br/>
              <w:t>202507–202602</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Source of vendor enrichment data: use cases, value propositions, maturity levels, and overall ratings.</w:t>
            </w:r>
          </w:p>
        </w:tc>
      </w:tr>
      <w:tr>
        <w:tc>
          <w:tcPr>
            <w:tcW w:type="dxa" w:w="198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Competitor Intelligence CSVs</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50 files · 1,100+ events</w:t>
              <w:br/>
              <w:t>Sep 2025 – Feb 2026</w:t>
            </w:r>
          </w:p>
        </w:tc>
        <w:tc>
          <w:tcPr>
            <w:tcW w:type="dxa" w:w="4819"/>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Analyst-curated competitor event feeds — Cyber, ORC/Theft, Legal, Strategic, Recall — covering Amazon, Target, Costco, Kroger and others.</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Incident CSVs</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30 files — ORC, Cargo Theft,</w:t>
              <w:br/>
              <w:t>Cyber, Violence, Fraud</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Retail security incident records with severity, location, region, impact, and recommended action fields.</w:t>
            </w:r>
          </w:p>
        </w:tc>
      </w:tr>
    </w:tbl>
    <w:p/>
    <w:p>
      <w:pPr>
        <w:pStyle w:val="Heading2"/>
        <w:jc w:val="left"/>
      </w:pPr>
      <w:r>
        <w:rPr>
          <w:b/>
          <w:color w:val="FFA500"/>
        </w:rPr>
        <w:t>5.2  Should Connect To (Gaps Identified in Codebase)</w:t>
      </w:r>
    </w:p>
    <w:tbl>
      <w:tblPr>
        <w:tblStyle w:val="TableGrid"/>
        <w:tblW w:type="auto" w:w="0"/>
        <w:jc w:val="left"/>
        <w:tblLook w:firstColumn="1" w:firstRow="1" w:lastColumn="0" w:lastRow="0" w:noHBand="0" w:noVBand="1" w:val="04A0"/>
      </w:tblPr>
      <w:tblGrid>
        <w:gridCol w:w="3324"/>
        <w:gridCol w:w="3324"/>
        <w:gridCol w:w="3324"/>
      </w:tblGrid>
      <w:tr>
        <w:tc>
          <w:tcPr>
            <w:tcW w:type="dxa" w:w="1984"/>
            <w:shd w:val="clear" w:color="auto" w:fill="995213"/>
            <w:tcBorders>
              <w:top w:val="single" w:sz="4" w:space="0" w:color="CCCCCC"/>
              <w:left w:val="single" w:sz="4" w:space="0" w:color="CCCCCC"/>
              <w:bottom w:val="single" w:sz="4" w:space="0" w:color="CCCCCC"/>
              <w:right w:val="single" w:sz="4" w:space="0" w:color="CCCCCC"/>
            </w:tcBorders>
          </w:tcPr>
          <w:p>
            <w:r>
              <w:rPr>
                <w:b/>
                <w:color w:val="FFFFFF"/>
                <w:sz w:val="20"/>
              </w:rPr>
              <w:t>System</w:t>
            </w:r>
          </w:p>
        </w:tc>
        <w:tc>
          <w:tcPr>
            <w:tcW w:type="dxa" w:w="1134"/>
            <w:shd w:val="clear" w:color="auto" w:fill="995213"/>
            <w:tcBorders>
              <w:top w:val="single" w:sz="4" w:space="0" w:color="CCCCCC"/>
              <w:left w:val="single" w:sz="4" w:space="0" w:color="CCCCCC"/>
              <w:bottom w:val="single" w:sz="4" w:space="0" w:color="CCCCCC"/>
              <w:right w:val="single" w:sz="4" w:space="0" w:color="CCCCCC"/>
            </w:tcBorders>
          </w:tcPr>
          <w:p>
            <w:r>
              <w:rPr>
                <w:b/>
                <w:color w:val="FFFFFF"/>
                <w:sz w:val="20"/>
              </w:rPr>
              <w:t>Phase</w:t>
            </w:r>
          </w:p>
        </w:tc>
        <w:tc>
          <w:tcPr>
            <w:tcW w:type="dxa" w:w="6236"/>
            <w:shd w:val="clear" w:color="auto" w:fill="995213"/>
            <w:tcBorders>
              <w:top w:val="single" w:sz="4" w:space="0" w:color="CCCCCC"/>
              <w:left w:val="single" w:sz="4" w:space="0" w:color="CCCCCC"/>
              <w:bottom w:val="single" w:sz="4" w:space="0" w:color="CCCCCC"/>
              <w:right w:val="single" w:sz="4" w:space="0" w:color="CCCCCC"/>
            </w:tcBorders>
          </w:tcPr>
          <w:p>
            <w:r>
              <w:rPr>
                <w:b/>
                <w:color w:val="FFFFFF"/>
                <w:sz w:val="20"/>
              </w:rPr>
              <w:t>Why It Matters</w:t>
            </w:r>
          </w:p>
        </w:tc>
      </w:tr>
      <w:tr>
        <w:tc>
          <w:tcPr>
            <w:tcW w:type="dxa" w:w="198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Jira / Azure DevOps</w:t>
            </w:r>
          </w:p>
        </w:tc>
        <w:tc>
          <w:tcPr>
            <w:tcW w:type="dxa" w:w="113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Phase 2</w:t>
            </w:r>
          </w:p>
        </w:tc>
        <w:tc>
          <w:tcPr>
            <w:tcW w:type="dxa" w:w="6236"/>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Assessment requests today generate a stub ref ID (SENTRY-ASM-XXXXXXXX) with no real ticket. The agent should create tracked Jira issues so requests don't disappear.</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Microsoft Teams / Slack</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Phase 1 (quick win)</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Morning brief is a static HTML file — currently emailed or shared manually. A Teams bot pushing the brief to #emerging-tech-security is a one-sprint addition.</w:t>
            </w:r>
          </w:p>
        </w:tc>
      </w:tr>
      <w:tr>
        <w:tc>
          <w:tcPr>
            <w:tcW w:type="dxa" w:w="198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CMDB / Asset inventory</w:t>
            </w:r>
          </w:p>
        </w:tc>
        <w:tc>
          <w:tcPr>
            <w:tcW w:type="dxa" w:w="113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Phase 3</w:t>
            </w:r>
          </w:p>
        </w:tc>
        <w:tc>
          <w:tcPr>
            <w:tcW w:type="dxa" w:w="6236"/>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No vendor-to-Walmart-asset linkage exists today. Knowing which SENTRY vendors are deployed in production changes the blast radius of a High/Critical risk rating.</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Vulnerability scanners (CVE/CVSS feeds)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Phase 3</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No active CVE cross-reference against the vendor roster. A vendor rated Medium today may have a Critical CVE published yesterday.</w:t>
            </w:r>
          </w:p>
        </w:tc>
      </w:tr>
      <w:tr>
        <w:tc>
          <w:tcPr>
            <w:tcW w:type="dxa" w:w="198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GCP Cloud Logging</w:t>
            </w:r>
          </w:p>
        </w:tc>
        <w:tc>
          <w:tcPr>
            <w:tcW w:type="dxa" w:w="113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Phase 2</w:t>
            </w:r>
          </w:p>
        </w:tc>
        <w:tc>
          <w:tcPr>
            <w:tcW w:type="dxa" w:w="6236"/>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The backend has no observability pipeline. Before the agent takes any autonomous action in production, every action must be audit-logged.</w:t>
            </w:r>
          </w:p>
        </w:tc>
      </w:tr>
    </w:tbl>
    <w:p/>
    <w:p>
      <w:pPr>
        <w:pStyle w:val="Heading2"/>
        <w:jc w:val="left"/>
      </w:pPr>
      <w:r>
        <w:rPr>
          <w:b/>
          <w:color w:val="EA1100"/>
        </w:rPr>
        <w:t>5.3  Restricted / Off-Limits Data</w:t>
      </w:r>
    </w:p>
    <w:p>
      <w:pPr>
        <w:pStyle w:val="ListBullet"/>
        <w:spacing w:after="60"/>
        <w:ind w:left="283"/>
      </w:pPr>
      <w:r>
        <w:rPr>
          <w:b/>
          <w:color w:val="EA1100"/>
          <w:sz w:val="22"/>
        </w:rPr>
        <w:t>⚠  PII.</w:t>
      </w:r>
      <w:r>
        <w:rPr>
          <w:color w:val="1A1A2E"/>
          <w:sz w:val="22"/>
        </w:rPr>
        <w:t xml:space="preserve"> Vendor contact names and email addresses are stored in the DB. The agent must never surface these in outputs, reports, or chat responses — even in response to direct analyst questions.</w:t>
      </w:r>
    </w:p>
    <w:p>
      <w:pPr>
        <w:pStyle w:val="ListBullet"/>
        <w:spacing w:after="60"/>
        <w:ind w:left="283"/>
      </w:pPr>
      <w:r>
        <w:rPr>
          <w:b/>
          <w:color w:val="EA1100"/>
          <w:sz w:val="22"/>
        </w:rPr>
        <w:t>⚠  .env.production.</w:t>
      </w:r>
      <w:r>
        <w:rPr>
          <w:color w:val="1A1A2E"/>
          <w:sz w:val="22"/>
        </w:rPr>
        <w:t xml:space="preserve"> Contains ELEMENT_API_KEY and GCP service account JSON keys. Never committed to git, never readable by the agent at runtime.</w:t>
      </w:r>
    </w:p>
    <w:p>
      <w:pPr>
        <w:pStyle w:val="ListBullet"/>
        <w:spacing w:after="60"/>
        <w:ind w:left="283"/>
      </w:pPr>
      <w:r>
        <w:rPr>
          <w:b/>
          <w:color w:val="EA1100"/>
          <w:sz w:val="22"/>
        </w:rPr>
        <w:t>⚠  Incident data (location / victim-adjacent).</w:t>
      </w:r>
      <w:r>
        <w:rPr>
          <w:color w:val="1A1A2E"/>
          <w:sz w:val="22"/>
        </w:rPr>
        <w:t xml:space="preserve"> Some incident records contain store addresses, victim demographics, or law-enforcement-sensitive detail. External use (outside the Walmart network) requires legal review before inclusion in any output.</w:t>
      </w:r>
    </w:p>
    <w:p>
      <w:pPr>
        <w:pStyle w:val="ListBullet"/>
        <w:spacing w:after="60"/>
        <w:ind w:left="283"/>
      </w:pPr>
      <w:r>
        <w:rPr>
          <w:b/>
          <w:color w:val="EA1100"/>
          <w:sz w:val="22"/>
        </w:rPr>
        <w:t>⚠  NDA / ERPA / SSP numbers.</w:t>
      </w:r>
      <w:r>
        <w:rPr>
          <w:color w:val="1A1A2E"/>
          <w:sz w:val="22"/>
        </w:rPr>
        <w:t xml:space="preserve"> Legal compliance artifacts stored as JSON arrays in the projects table. Read-only for the agent — changes must be human-initiated and individually logged.</w:t>
      </w:r>
    </w:p>
    <w:p>
      <w:pPr>
        <w:pStyle w:val="ListBullet"/>
        <w:spacing w:after="60"/>
        <w:ind w:left="283"/>
      </w:pPr>
      <w:r>
        <w:rPr>
          <w:b/>
          <w:color w:val="EA1100"/>
          <w:sz w:val="22"/>
        </w:rPr>
        <w:t>⚠  Walmart personnel data.</w:t>
      </w:r>
      <w:r>
        <w:rPr>
          <w:color w:val="1A1A2E"/>
          <w:sz w:val="22"/>
        </w:rPr>
        <w:t xml:space="preserve"> The csoProfiles.ts file contains competitor executive bios only. No Walmart staff HR data, salary bands, org charts, or personnel records should ever enter the agent's context window.</w:t>
      </w:r>
    </w:p>
    <w:p>
      <w:pPr>
        <w:pStyle w:val="ListBullet"/>
        <w:spacing w:after="60"/>
        <w:ind w:left="283"/>
      </w:pPr>
      <w:r>
        <w:rPr>
          <w:b/>
          <w:color w:val="EA1100"/>
          <w:sz w:val="22"/>
        </w:rPr>
        <w:t>⚠  Production DB backups (sentry.db.backup_*).</w:t>
      </w:r>
      <w:r>
        <w:rPr>
          <w:color w:val="1A1A2E"/>
          <w:sz w:val="22"/>
        </w:rPr>
        <w:t xml:space="preserve"> Timestamped backup files in backend/data/. No agent read, write, or delete access — restore is a human-only operation.</w:t>
      </w:r>
    </w:p>
    <w:p>
      <w:pPr>
        <w:pStyle w:val="ListBullet"/>
        <w:spacing w:after="60"/>
        <w:ind w:left="283"/>
      </w:pPr>
      <w:r>
        <w:rPr>
          <w:b/>
          <w:color w:val="EA1100"/>
          <w:sz w:val="22"/>
        </w:rPr>
        <w:t>⚠  Confidential legal findings.</w:t>
      </w:r>
      <w:r>
        <w:rPr>
          <w:color w:val="1A1A2E"/>
          <w:sz w:val="22"/>
        </w:rPr>
        <w:t xml:space="preserve"> If the Regulatory Intelligence module is extended to include active legal proceedings or FTC/state AG investigations, those records are legal-hold data and require counsel approval before any AI processing.</w:t>
      </w:r>
    </w:p>
    <w:p/>
    <w:p>
      <w:r>
        <w:br w:type="page"/>
      </w:r>
    </w:p>
    <w:p>
      <w:pPr>
        <w:pStyle w:val="Heading1"/>
        <w:jc w:val="left"/>
      </w:pPr>
      <w:r>
        <w:rPr>
          <w:b/>
          <w:color w:val="0053E2"/>
        </w:rPr>
        <w:t>6  |  Hosting &amp; Runtime Target</w:t>
      </w:r>
    </w:p>
    <w:p>
      <w:pPr>
        <w:spacing w:before="80" w:after="80"/>
        <w:pBdr>
          <w:bottom w:val="single" w:sz="6" w:space="1" w:color="0053E2"/>
        </w:pBdr>
      </w:pPr>
    </w:p>
    <w:p/>
    <w:p>
      <w:pPr>
        <w:spacing w:before="0" w:after="200"/>
      </w:pPr>
      <w:r>
        <w:rPr>
          <w:color w:val="1A1A2E"/>
          <w:sz w:val="22"/>
        </w:rPr>
        <w:t>SENTRY already has the agent scaffolding built. The chat panel, the LLM integration, the context-injection system — all exist in the codebase today. The hosting decision is about extension, not greenfield construction.</w:t>
      </w:r>
    </w:p>
    <w:p>
      <w:pPr>
        <w:pStyle w:val="Heading2"/>
        <w:jc w:val="left"/>
      </w:pPr>
      <w:r>
        <w:rPr>
          <w:b/>
          <w:color w:val="0053E2"/>
        </w:rPr>
        <w:t>Primary Runtime — Embedded inside the SENTRY App</w:t>
      </w:r>
    </w:p>
    <w:p>
      <w:pPr>
        <w:spacing w:before="0" w:after="120"/>
      </w:pPr>
      <w:r>
        <w:rPr>
          <w:color w:val="1A1A2E"/>
          <w:sz w:val="22"/>
        </w:rPr>
        <w:t>ChatAssistant.tsx is a fully functional floating chat panel, already wired to /api/chat on the FastAPI backend, which calls the Element LLM Gateway. The only change needed to go live in production is setting the ELEMENT_API_KEY environment variable on the Cloud Run service.</w:t>
      </w:r>
    </w:p>
    <w:p>
      <w:pPr>
        <w:pStyle w:val="Heading2"/>
        <w:jc w:val="left"/>
      </w:pPr>
      <w:r>
        <w:rPr>
          <w:b/>
          <w:color w:val="0053E2"/>
        </w:rPr>
        <w:t>LLM — Element LLM Gateway</w:t>
      </w:r>
    </w:p>
    <w:p>
      <w:pPr>
        <w:spacing w:before="0" w:after="120"/>
      </w:pPr>
      <w:r>
        <w:rPr>
          <w:color w:val="1A1A2E"/>
          <w:sz w:val="22"/>
        </w:rPr>
        <w:t>api.llm.walmart.com — GPT-4o-mini via Walmart's internal proxy. This is the only compliant option. Direct OpenAI API calls are not permitted by Walmart policy. The model, temperature (0.4), and max tokens (1,000) are already configured in main.py.</w:t>
      </w:r>
    </w:p>
    <w:p>
      <w:pPr>
        <w:pStyle w:val="Heading2"/>
        <w:jc w:val="left"/>
      </w:pPr>
      <w:r>
        <w:rPr>
          <w:b/>
          <w:color w:val="0053E2"/>
        </w:rPr>
        <w:t>Backend Agent Logic — Google Cloud Run</w:t>
      </w:r>
    </w:p>
    <w:p>
      <w:pPr>
        <w:spacing w:before="0" w:after="120"/>
      </w:pPr>
      <w:r>
        <w:rPr>
          <w:color w:val="1A1A2E"/>
          <w:sz w:val="22"/>
        </w:rPr>
        <w:t>FastAPI on Cloud Run (sentry-api, us-central1). Any new agent tools land as new routes or background tasks in the existing container — no new infrastructure needed for Phase 1. CI/CD via GitHub Actions already deploys on every push to master.</w:t>
      </w:r>
    </w:p>
    <w:p>
      <w:pPr>
        <w:pStyle w:val="Heading2"/>
        <w:jc w:val="left"/>
      </w:pPr>
      <w:r>
        <w:rPr>
          <w:b/>
          <w:color w:val="0053E2"/>
        </w:rPr>
        <w:t>Secondary (Recommended Phase 1 Addition) — Microsoft Teams Bot</w:t>
      </w:r>
    </w:p>
    <w:p>
      <w:pPr>
        <w:spacing w:before="0" w:after="120"/>
      </w:pPr>
      <w:r>
        <w:rPr>
          <w:color w:val="1A1A2E"/>
          <w:sz w:val="22"/>
        </w:rPr>
        <w:t>MSAL auth is already in the codebase for SharePoint token acquisition. Extending it to a Teams bot for morning brief delivery to #emerging-tech-security is a short lift — one additional OAuth scope and a Bot Framework registration. This is the fastest path to daily adoption without requiring users to open a browser.</w:t>
      </w:r>
    </w:p>
    <w:p>
      <w:pPr>
        <w:pStyle w:val="Heading2"/>
        <w:jc w:val="left"/>
      </w:pPr>
      <w:r>
        <w:rPr>
          <w:b/>
          <w:color w:val="EA1100"/>
        </w:rPr>
        <w:t>Not Recommended</w:t>
      </w:r>
    </w:p>
    <w:p>
      <w:pPr>
        <w:pStyle w:val="ListBullet"/>
        <w:spacing w:after="60"/>
        <w:ind w:left="283"/>
      </w:pPr>
      <w:r>
        <w:rPr>
          <w:b/>
          <w:color w:val="EA1100"/>
          <w:sz w:val="22"/>
        </w:rPr>
        <w:t>✗  Copilot Studio.</w:t>
      </w:r>
      <w:r>
        <w:rPr>
          <w:color w:val="1A1A2E"/>
          <w:sz w:val="22"/>
        </w:rPr>
        <w:t xml:space="preserve"> Too much vendor lock-in for a custom data model like SENTRY's. The SQLite DB, SharePoint Graph integration, and custom VAR scoring logic cannot be reproduced inside a Copilot Studio connector without significant rework.</w:t>
      </w:r>
    </w:p>
    <w:p>
      <w:pPr>
        <w:pStyle w:val="ListBullet"/>
        <w:spacing w:after="60"/>
        <w:ind w:left="283"/>
      </w:pPr>
      <w:r>
        <w:rPr>
          <w:b/>
          <w:color w:val="EA1100"/>
          <w:sz w:val="22"/>
        </w:rPr>
        <w:t>✗  Standalone ChatGPT / direct OpenAI API.</w:t>
      </w:r>
      <w:r>
        <w:rPr>
          <w:color w:val="1A1A2E"/>
          <w:sz w:val="22"/>
        </w:rPr>
        <w:t xml:space="preserve"> Walmart policy violation. All LLM calls must route through the Element LLM Gateway.</w:t>
      </w:r>
    </w:p>
    <w:p>
      <w:pPr>
        <w:pStyle w:val="ListBullet"/>
        <w:spacing w:after="60"/>
        <w:ind w:left="283"/>
      </w:pPr>
      <w:r>
        <w:rPr>
          <w:b/>
          <w:color w:val="EA1100"/>
          <w:sz w:val="22"/>
        </w:rPr>
        <w:t>✗  Any runtime requiring the user to leave SENTRY.</w:t>
      </w:r>
      <w:r>
        <w:rPr>
          <w:color w:val="1A1A2E"/>
          <w:sz w:val="22"/>
        </w:rPr>
        <w:t xml:space="preserve"> The embedded chat panel is the point. Context-switching to a separate tool destroys the 'intelligence in-place' value proposition.</w:t>
      </w:r>
    </w:p>
    <w:p>
      <w:pPr>
        <w:pStyle w:val="ListBullet"/>
        <w:spacing w:after="60"/>
        <w:ind w:left="283"/>
      </w:pPr>
      <w:r>
        <w:rPr>
          <w:b/>
          <w:color w:val="EA1100"/>
          <w:sz w:val="22"/>
        </w:rPr>
        <w:t>✗  Dev Tunnel.</w:t>
      </w:r>
      <w:r>
        <w:rPr>
          <w:color w:val="1A1A2E"/>
          <w:sz w:val="22"/>
        </w:rPr>
        <w:t xml:space="preserve"> Banned per Walmart policy. Do not use for any local-to-production bridging.</w:t>
      </w:r>
    </w:p>
    <w:p/>
    <w:p>
      <w:r>
        <w:br w:type="page"/>
      </w:r>
    </w:p>
    <w:p>
      <w:pPr>
        <w:pStyle w:val="Heading1"/>
        <w:jc w:val="left"/>
      </w:pPr>
      <w:r>
        <w:rPr>
          <w:b/>
          <w:color w:val="0053E2"/>
        </w:rPr>
        <w:t>7  |  Human Approval Gates</w:t>
      </w:r>
    </w:p>
    <w:p>
      <w:pPr>
        <w:spacing w:before="80" w:after="80"/>
        <w:pBdr>
          <w:bottom w:val="single" w:sz="6" w:space="1" w:color="0053E2"/>
        </w:pBdr>
      </w:pPr>
    </w:p>
    <w:p/>
    <w:p>
      <w:pPr>
        <w:spacing w:before="0" w:after="200"/>
      </w:pPr>
      <w:r>
        <w:rPr>
          <w:color w:val="1A1A2E"/>
          <w:sz w:val="22"/>
        </w:rPr>
        <w:t>These are the exact triggers that pause the agent and require an explicit human confirmation before execution continues. Gates are ordered by risk level — Gate 1 (highest) to Gate 9 (lowest within the hard-stop category).</w:t>
      </w:r>
    </w:p>
    <w:tbl>
      <w:tblPr>
        <w:tblStyle w:val="TableGrid"/>
        <w:tblW w:type="auto" w:w="0"/>
        <w:jc w:val="left"/>
        <w:tblLook w:firstColumn="1" w:firstRow="1" w:lastColumn="0" w:lastRow="0" w:noHBand="0" w:noVBand="1" w:val="04A0"/>
      </w:tblPr>
      <w:tblGrid>
        <w:gridCol w:w="3324"/>
        <w:gridCol w:w="3324"/>
        <w:gridCol w:w="3324"/>
      </w:tblGrid>
      <w:tr>
        <w:tc>
          <w:tcPr>
            <w:tcW w:type="dxa" w:w="1020"/>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Gate</w:t>
            </w:r>
          </w:p>
        </w:tc>
        <w:tc>
          <w:tcPr>
            <w:tcW w:type="dxa" w:w="4082"/>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Trigger</w:t>
            </w:r>
          </w:p>
        </w:tc>
        <w:tc>
          <w:tcPr>
            <w:tcW w:type="dxa" w:w="4252"/>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Why It Matters</w:t>
            </w:r>
          </w:p>
        </w:tc>
      </w:tr>
      <w:tr>
        <w:tc>
          <w:tcPr>
            <w:tcW w:type="dxa" w:w="1020"/>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Gate 1</w:t>
            </w:r>
          </w:p>
        </w:tc>
        <w:tc>
          <w:tcPr>
            <w:tcW w:type="dxa" w:w="4082"/>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Before anything reaches CSO leadership — morning brief, competitor report, regulatory summary, or any executive-facing output</w:t>
            </w:r>
          </w:p>
        </w:tc>
        <w:tc>
          <w:tcPr>
            <w:tcW w:type="dxa" w:w="4252"/>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Jerrad Crabtree's name is in the live system prompt. Nothing reaches the CSO without a human reviewing it first. The agent prepares — a human publishes.</w:t>
            </w:r>
          </w:p>
        </w:tc>
      </w:tr>
      <w:tr>
        <w:tc>
          <w:tcPr>
            <w:tcW w:type="dxa" w:w="1020"/>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Gate 2</w:t>
            </w:r>
          </w:p>
        </w:tc>
        <w:tc>
          <w:tcPr>
            <w:tcW w:type="dxa" w:w="4082"/>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Before a VAR decision band is marked final (Advance / Research Further / Defer / Reject)</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The decision band drives procurement, pilot approvals, and BAU deployment. An incorrect AI-generated band has real budget and security consequences.</w:t>
            </w:r>
          </w:p>
        </w:tc>
      </w:tr>
      <w:tr>
        <w:tc>
          <w:tcPr>
            <w:tcW w:type="dxa" w:w="1020"/>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Gate 3</w:t>
            </w:r>
          </w:p>
        </w:tc>
        <w:tc>
          <w:tcPr>
            <w:tcW w:type="dxa" w:w="4082"/>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Before batch VAR score extraction runs on VARs that already have human-reviewed scores</w:t>
            </w:r>
          </w:p>
        </w:tc>
        <w:tc>
          <w:tcPr>
            <w:tcW w:type="dxa" w:w="4252"/>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The force=true flag on POST /api/admin/vars/batch-extract silently overwrites existing analyst scores. No undo without a backup restore.</w:t>
            </w:r>
          </w:p>
        </w:tc>
      </w:tr>
      <w:tr>
        <w:tc>
          <w:tcPr>
            <w:tcW w:type="dxa" w:w="1020"/>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Gate 4</w:t>
            </w:r>
          </w:p>
        </w:tc>
        <w:tc>
          <w:tcPr>
            <w:tcW w:type="dxa" w:w="4082"/>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Before closing or advancing a project phase gate</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Phase progression triggers legal and compliance obligations — NDA countersigning, APM entries, ERPA filing. Phase gate history is an audit record.</w:t>
            </w:r>
          </w:p>
        </w:tc>
      </w:tr>
      <w:tr>
        <w:tc>
          <w:tcPr>
            <w:tcW w:type="dxa" w:w="1020"/>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Gate 5</w:t>
            </w:r>
          </w:p>
        </w:tc>
        <w:tc>
          <w:tcPr>
            <w:tcW w:type="dxa" w:w="4082"/>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Before modifying any NDA, APM, ERPA, or SSP compliance entry</w:t>
            </w:r>
          </w:p>
        </w:tc>
        <w:tc>
          <w:tcPr>
            <w:tcW w:type="dxa" w:w="4252"/>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These are legal artifacts with downstream obligations. Every modification must be human-initiated, individually logged, and attributable to a named user.</w:t>
            </w:r>
          </w:p>
        </w:tc>
      </w:tr>
      <w:tr>
        <w:tc>
          <w:tcPr>
            <w:tcW w:type="dxa" w:w="1020"/>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Gate 6</w:t>
            </w:r>
          </w:p>
        </w:tc>
        <w:tc>
          <w:tcPr>
            <w:tcW w:type="dxa" w:w="4082"/>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Before deleting any vendor record, VAR report, or project</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The DELETE /api/admin/vendors/{vendor_id} endpoint cascades to VAR reports and highlights. There is no undo at the application layer — only a DB backup restore.</w:t>
            </w:r>
          </w:p>
        </w:tc>
      </w:tr>
      <w:tr>
        <w:tc>
          <w:tcPr>
            <w:tcW w:type="dxa" w:w="1020"/>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Gate 7</w:t>
            </w:r>
          </w:p>
        </w:tc>
        <w:tc>
          <w:tcPr>
            <w:tcW w:type="dxa" w:w="4082"/>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Before any external communication — vendor assessment results, lab visit confirmations, or any Teams/email message sent outside SENTRY</w:t>
            </w:r>
          </w:p>
        </w:tc>
        <w:tc>
          <w:tcPr>
            <w:tcW w:type="dxa" w:w="4252"/>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External communications carry Walmart's brand and legal exposure. No agent-initiated outbound messaging without human review and explicit send action.</w:t>
            </w:r>
          </w:p>
        </w:tc>
      </w:tr>
      <w:tr>
        <w:tc>
          <w:tcPr>
            <w:tcW w:type="dxa" w:w="1020"/>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Gate 8</w:t>
            </w:r>
          </w:p>
        </w:tc>
        <w:tc>
          <w:tcPr>
            <w:tcW w:type="dxa" w:w="4082"/>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Before incident or regulatory data is included in any output that will leave the Walmart network</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Some incident records contain law-enforcement-sensitive location and victim-adjacent data. Some regulatory data is under legal hold. External exposure requires counsel sign-off.</w:t>
            </w:r>
          </w:p>
        </w:tc>
      </w:tr>
      <w:tr>
        <w:tc>
          <w:tcPr>
            <w:tcW w:type="dxa" w:w="1020"/>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Gate 9</w:t>
            </w:r>
          </w:p>
        </w:tc>
        <w:tc>
          <w:tcPr>
            <w:tcW w:type="dxa" w:w="4082"/>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Before any production configuration change — Cloud Run env vars, Firebase rewrites, CORS origins, or IAM role assignments</w:t>
            </w:r>
          </w:p>
        </w:tc>
        <w:tc>
          <w:tcPr>
            <w:tcW w:type="dxa" w:w="4252"/>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Silent infrastructure changes are how production outages start. Every config change must be human-initiated, reviewed in a PR, and deployed through the existing CI/CD pipeline.</w:t>
            </w:r>
          </w:p>
        </w:tc>
      </w:tr>
    </w:tbl>
    <w:p/>
    <w:p/>
    <w:p>
      <w:r>
        <w:br w:type="page"/>
      </w:r>
    </w:p>
    <w:p>
      <w:pPr>
        <w:pStyle w:val="Heading1"/>
        <w:jc w:val="left"/>
      </w:pPr>
      <w:r>
        <w:rPr>
          <w:b/>
          <w:color w:val="0053E2"/>
        </w:rPr>
        <w:t>8  |  Success Criteria — First 90 Days</w:t>
      </w:r>
    </w:p>
    <w:p>
      <w:pPr>
        <w:spacing w:before="80" w:after="80"/>
        <w:pBdr>
          <w:bottom w:val="single" w:sz="6" w:space="1" w:color="0053E2"/>
        </w:pBdr>
      </w:pPr>
    </w:p>
    <w:p/>
    <w:p>
      <w:pPr>
        <w:spacing w:before="0" w:after="200"/>
      </w:pPr>
      <w:r>
        <w:rPr>
          <w:color w:val="1A1A2E"/>
          <w:sz w:val="22"/>
        </w:rPr>
        <w:t>All metrics below are measurable from data already in sentry.db — no new instrumentation needed for the baseline. Week 1 should establish current-state numbers before any agent features go live.</w:t>
      </w:r>
    </w:p>
    <w:tbl>
      <w:tblPr>
        <w:tblStyle w:val="TableGrid"/>
        <w:tblW w:type="auto" w:w="0"/>
        <w:jc w:val="left"/>
        <w:tblLook w:firstColumn="1" w:firstRow="1" w:lastColumn="0" w:lastRow="0" w:noHBand="0" w:noVBand="1" w:val="04A0"/>
      </w:tblPr>
      <w:tblGrid>
        <w:gridCol w:w="3324"/>
        <w:gridCol w:w="3324"/>
        <w:gridCol w:w="3324"/>
      </w:tblGrid>
      <w:tr>
        <w:tc>
          <w:tcPr>
            <w:tcW w:type="dxa" w:w="3118"/>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Metric</w:t>
            </w:r>
          </w:p>
        </w:tc>
        <w:tc>
          <w:tcPr>
            <w:tcW w:type="dxa" w:w="2551"/>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Baseline</w:t>
            </w:r>
          </w:p>
        </w:tc>
        <w:tc>
          <w:tcPr>
            <w:tcW w:type="dxa" w:w="3685"/>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90-Day Target</w:t>
            </w:r>
          </w:p>
        </w:tc>
      </w:tr>
      <w:tr>
        <w:tc>
          <w:tcPr>
            <w:tcW w:type="dxa" w:w="3118"/>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VAR coverage rate</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45.4 % (948 of 2,090 vendors have a linked VAR)</w:t>
            </w:r>
          </w:p>
        </w:tc>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 60 % (≥ 1,250 vendors) by Day 90</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Assessment turnaround time</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Unknown — no intake timestamp in DB today. Establish in Week 1.</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30 % reduction vs. Week 1 baseline</w:t>
            </w:r>
          </w:p>
        </w:tc>
      </w:tr>
      <w:tr>
        <w:tc>
          <w:tcPr>
            <w:tcW w:type="dxa" w:w="3118"/>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Stale vendor count (&gt;180 days, has VAR)</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Query: vendors WHERE last_assessed &lt; date('now','-180 days') AND has_var=1</w:t>
            </w:r>
          </w:p>
        </w:tc>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50 % reduction — agent flags, analysts action</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Morning brief adoption</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Static HTML file, manually shared</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EST team consuming auto-generated brief via Teams bot daily by Day 30</w:t>
            </w:r>
          </w:p>
        </w:tc>
      </w:tr>
      <w:tr>
        <w:tc>
          <w:tcPr>
            <w:tcW w:type="dxa" w:w="3118"/>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SENTRY-AI chat engagement</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Zero (ELEMENT_API_KEY not yet set in production)</w:t>
            </w:r>
          </w:p>
        </w:tc>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&gt; 20 analyst queries / week by Day 30</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Batch VAR extraction coverage</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Manual scoring only — 0 % automated</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&gt; 80 % of new VARs scored without manual data entry by Day 60</w:t>
            </w:r>
          </w:p>
        </w:tc>
      </w:tr>
      <w:tr>
        <w:tc>
          <w:tcPr>
            <w:tcW w:type="dxa" w:w="3118"/>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False approval rate</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N/A</w:t>
            </w:r>
          </w:p>
        </w:tc>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Zero — no VAR decision band set to Advance without analyst confirmation. Track via gate audit log.</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Red-band regulatory coverage</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19 Red obligations; owner + ETA unknown for most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100 % of Red-band obligations have a named owner and ETA logged in SENTRY by Day 60</w:t>
            </w:r>
          </w:p>
        </w:tc>
      </w:tr>
      <w:tr>
        <w:tc>
          <w:tcPr>
            <w:tcW w:type="dxa" w:w="3118"/>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CSO escalations for routine status</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Unmeasured — establish via CSO team feedback in Week 1</w:t>
            </w:r>
          </w:p>
        </w:tc>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40 % reduction in 'what is the status of vendor X?' escalations</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Manual CSV upload effort</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Monthly manual import of competitor and incident CSVs</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Fully automated — zero manual uploads by Day 60</w:t>
            </w:r>
          </w:p>
        </w:tc>
      </w:tr>
      <w:tr>
        <w:tc>
          <w:tcPr>
            <w:tcW w:type="dxa" w:w="3118"/>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Phase gate blockers surfaced proactively</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Discovered reactively (analyst checks manually)</w:t>
            </w:r>
          </w:p>
        </w:tc>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Agent surfaces all missing NDA/APM/ERPA/SSP blockers in the morning brief by Day 45</w:t>
            </w:r>
          </w:p>
        </w:tc>
      </w:tr>
    </w:tbl>
    <w:p/>
    <w:p/>
    <w:p>
      <w:pPr>
        <w:pStyle w:val="Heading2"/>
        <w:jc w:val="left"/>
      </w:pPr>
      <w:r>
        <w:rPr>
          <w:b/>
          <w:color w:val="0053E2"/>
        </w:rPr>
        <w:t>Measurement Cadence</w:t>
      </w:r>
    </w:p>
    <w:tbl>
      <w:tblPr>
        <w:tblStyle w:val="TableGrid"/>
        <w:tblW w:type="auto" w:w="0"/>
        <w:jc w:val="left"/>
        <w:tblLook w:firstColumn="1" w:firstRow="1" w:lastColumn="0" w:lastRow="0" w:noHBand="0" w:noVBand="1" w:val="04A0"/>
      </w:tblPr>
      <w:tblGrid>
        <w:gridCol w:w="4986"/>
        <w:gridCol w:w="4986"/>
      </w:tblGrid>
      <w:tr>
        <w:tc>
          <w:tcPr>
            <w:tcW w:type="dxa" w:w="1417"/>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Week 1</w:t>
            </w:r>
          </w:p>
        </w:tc>
        <w:tc>
          <w:tcPr>
            <w:tcW w:type="dxa" w:w="7937"/>
            <w:tcBorders>
              <w:top w:val="single" w:sz="4" w:space="0" w:color="CCCCCC"/>
              <w:left w:val="single" w:sz="4" w:space="0" w:color="CCCCCC"/>
              <w:bottom w:val="single" w:sz="4" w:space="0" w:color="CCCCCC"/>
              <w:right w:val="single" w:sz="4" w:space="0" w:color="CCCCCC"/>
            </w:tcBorders>
          </w:tcPr>
          <w:p>
            <w:r>
              <w:rPr>
                <w:color w:val="1A1A2E"/>
                <w:sz w:val="20"/>
              </w:rPr>
              <w:t>Establish all baselines. Set ELEMENT_API_KEY. Deploy Teams bot stub.</w:t>
            </w:r>
          </w:p>
        </w:tc>
      </w:tr>
      <w:tr>
        <w:tc>
          <w:tcPr>
            <w:tcW w:type="dxa" w:w="1417"/>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Day 30</w:t>
            </w:r>
          </w:p>
        </w:tc>
        <w:tc>
          <w:tcPr>
            <w:tcW w:type="dxa" w:w="7937"/>
            <w:tcBorders>
              <w:top w:val="single" w:sz="4" w:space="0" w:color="CCCCCC"/>
              <w:left w:val="single" w:sz="4" w:space="0" w:color="CCCCCC"/>
              <w:bottom w:val="single" w:sz="4" w:space="0" w:color="CCCCCC"/>
              <w:right w:val="single" w:sz="4" w:space="0" w:color="CCCCCC"/>
            </w:tcBorders>
          </w:tcPr>
          <w:p>
            <w:r>
              <w:rPr>
                <w:color w:val="1A1A2E"/>
                <w:sz w:val="20"/>
              </w:rPr>
              <w:t>Review chat engagement, morning brief adoption, and VAR extraction rate.</w:t>
            </w:r>
          </w:p>
        </w:tc>
      </w:tr>
      <w:tr>
        <w:tc>
          <w:tcPr>
            <w:tcW w:type="dxa" w:w="1417"/>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Day 60</w:t>
            </w:r>
          </w:p>
        </w:tc>
        <w:tc>
          <w:tcPr>
            <w:tcW w:type="dxa" w:w="7937"/>
            <w:tcBorders>
              <w:top w:val="single" w:sz="4" w:space="0" w:color="CCCCCC"/>
              <w:left w:val="single" w:sz="4" w:space="0" w:color="CCCCCC"/>
              <w:bottom w:val="single" w:sz="4" w:space="0" w:color="CCCCCC"/>
              <w:right w:val="single" w:sz="4" w:space="0" w:color="CCCCCC"/>
            </w:tcBorders>
          </w:tcPr>
          <w:p>
            <w:r>
              <w:rPr>
                <w:color w:val="1A1A2E"/>
                <w:sz w:val="20"/>
              </w:rPr>
              <w:t>VAR coverage target check. Red-band regulatory coverage. Automation of CSV imports.</w:t>
            </w:r>
          </w:p>
        </w:tc>
      </w:tr>
      <w:tr>
        <w:tc>
          <w:tcPr>
            <w:tcW w:type="dxa" w:w="1417"/>
            <w:shd w:val="clear" w:color="auto" w:fill="E8EFFD"/>
            <w:tcBorders>
              <w:top w:val="single" w:sz="4" w:space="0" w:color="CCCCCC"/>
              <w:left w:val="single" w:sz="4" w:space="0" w:color="CCCCCC"/>
              <w:bottom w:val="single" w:sz="4" w:space="0" w:color="CCCCCC"/>
              <w:right w:val="single" w:sz="4" w:space="0" w:color="CCCCCC"/>
            </w:tcBorders>
          </w:tcPr>
          <w:p>
            <w:r>
              <w:rPr>
                <w:b/>
                <w:color w:val="0053E2"/>
                <w:sz w:val="20"/>
              </w:rPr>
              <w:t>Day 90</w:t>
            </w:r>
          </w:p>
        </w:tc>
        <w:tc>
          <w:tcPr>
            <w:tcW w:type="dxa" w:w="7937"/>
            <w:tcBorders>
              <w:top w:val="single" w:sz="4" w:space="0" w:color="CCCCCC"/>
              <w:left w:val="single" w:sz="4" w:space="0" w:color="CCCCCC"/>
              <w:bottom w:val="single" w:sz="4" w:space="0" w:color="CCCCCC"/>
              <w:right w:val="single" w:sz="4" w:space="0" w:color="CCCCCC"/>
            </w:tcBorders>
          </w:tcPr>
          <w:p>
            <w:r>
              <w:rPr>
                <w:color w:val="1A1A2E"/>
                <w:sz w:val="20"/>
              </w:rPr>
              <w:t>Full 90-day review against all metrics. Present to CSO with before/after delta.</w:t>
            </w:r>
          </w:p>
        </w:tc>
      </w:tr>
    </w:tbl>
    <w:p/>
    <w:p>
      <w:r>
        <w:br w:type="page"/>
      </w:r>
    </w:p>
    <w:p>
      <w:pPr>
        <w:pStyle w:val="Heading1"/>
        <w:jc w:val="left"/>
      </w:pPr>
      <w:r>
        <w:rPr>
          <w:b/>
          <w:color w:val="0053E2"/>
        </w:rPr>
        <w:t>Appendix — SENTRY Technical Reference</w:t>
      </w:r>
    </w:p>
    <w:p>
      <w:pPr>
        <w:spacing w:before="80" w:after="80"/>
        <w:pBdr>
          <w:bottom w:val="single" w:sz="6" w:space="1" w:color="0053E2"/>
        </w:pBdr>
      </w:pPr>
    </w:p>
    <w:p/>
    <w:p>
      <w:pPr>
        <w:pStyle w:val="Heading2"/>
        <w:jc w:val="left"/>
      </w:pPr>
      <w:r>
        <w:rPr>
          <w:b/>
          <w:color w:val="0053E2"/>
        </w:rPr>
        <w:t>A.1  VAR Decision Band Thresholds</w:t>
      </w:r>
    </w:p>
    <w:tbl>
      <w:tblPr>
        <w:tblStyle w:val="TableGrid"/>
        <w:tblW w:type="auto" w:w="0"/>
        <w:jc w:val="left"/>
        <w:tblLook w:firstColumn="1" w:firstRow="1" w:lastColumn="0" w:lastRow="0" w:noHBand="0" w:noVBand="1" w:val="04A0"/>
      </w:tblPr>
      <w:tblGrid>
        <w:gridCol w:w="3324"/>
        <w:gridCol w:w="3324"/>
        <w:gridCol w:w="3324"/>
      </w:tblGrid>
      <w:tr>
        <w:tc>
          <w:tcPr>
            <w:tcW w:type="dxa" w:w="2268"/>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Decision Band</w:t>
            </w:r>
          </w:p>
        </w:tc>
        <w:tc>
          <w:tcPr>
            <w:tcW w:type="dxa" w:w="1984"/>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Score Range</w:t>
            </w:r>
          </w:p>
        </w:tc>
        <w:tc>
          <w:tcPr>
            <w:tcW w:type="dxa" w:w="5102"/>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Meaning</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Advance</w:t>
            </w:r>
          </w:p>
        </w:tc>
        <w:tc>
          <w:tcPr>
            <w:tcW w:type="dxa" w:w="198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&gt; 4.0</w:t>
            </w:r>
          </w:p>
        </w:tc>
        <w:tc>
          <w:tcPr>
            <w:tcW w:type="dxa" w:w="5102"/>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Recommended for pilot or BAU deployment</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Research Further</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3.0 – 4.0</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Continue evaluation; gaps identified</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Defer</w:t>
            </w:r>
          </w:p>
        </w:tc>
        <w:tc>
          <w:tcPr>
            <w:tcW w:type="dxa" w:w="198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2.0 – 2.9</w:t>
            </w:r>
          </w:p>
        </w:tc>
        <w:tc>
          <w:tcPr>
            <w:tcW w:type="dxa" w:w="5102"/>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Not ready; re-evaluate in next cycle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Reject</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&lt; 2.0</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Does not meet Walmart security standards</w:t>
            </w:r>
          </w:p>
        </w:tc>
      </w:tr>
    </w:tbl>
    <w:p/>
    <w:p>
      <w:pPr>
        <w:pStyle w:val="Heading2"/>
        <w:jc w:val="left"/>
      </w:pPr>
      <w:r>
        <w:rPr>
          <w:b/>
          <w:color w:val="0053E2"/>
        </w:rPr>
        <w:t>A.2  Regulatory RAG Score Bands</w:t>
      </w:r>
    </w:p>
    <w:tbl>
      <w:tblPr>
        <w:tblStyle w:val="TableGrid"/>
        <w:tblW w:type="auto" w:w="0"/>
        <w:jc w:val="left"/>
        <w:tblLook w:firstColumn="1" w:firstRow="1" w:lastColumn="0" w:lastRow="0" w:noHBand="0" w:noVBand="1" w:val="04A0"/>
      </w:tblPr>
      <w:tblGrid>
        <w:gridCol w:w="3324"/>
        <w:gridCol w:w="3324"/>
        <w:gridCol w:w="3324"/>
      </w:tblGrid>
      <w:tr>
        <w:tc>
          <w:tcPr>
            <w:tcW w:type="dxa" w:w="1701"/>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RAG Band</w:t>
            </w:r>
          </w:p>
        </w:tc>
        <w:tc>
          <w:tcPr>
            <w:tcW w:type="dxa" w:w="1984"/>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Score Range</w:t>
            </w:r>
          </w:p>
        </w:tc>
        <w:tc>
          <w:tcPr>
            <w:tcW w:type="dxa" w:w="5669"/>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Action Required</w:t>
            </w:r>
          </w:p>
        </w:tc>
      </w:tr>
      <w:tr>
        <w:tc>
          <w:tcPr>
            <w:tcW w:type="dxa" w:w="170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Red</w:t>
            </w:r>
          </w:p>
        </w:tc>
        <w:tc>
          <w:tcPr>
            <w:tcW w:type="dxa" w:w="198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19 – 25</w:t>
            </w:r>
          </w:p>
        </w:tc>
        <w:tc>
          <w:tcPr>
            <w:tcW w:type="dxa" w:w="5669"/>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Immediate action — compliance breach risk</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Amber</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13 – 18</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Priority attention — controls gaps exist</w:t>
            </w:r>
          </w:p>
        </w:tc>
      </w:tr>
      <w:tr>
        <w:tc>
          <w:tcPr>
            <w:tcW w:type="dxa" w:w="170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Yellow</w:t>
            </w:r>
          </w:p>
        </w:tc>
        <w:tc>
          <w:tcPr>
            <w:tcW w:type="dxa" w:w="198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7 – 12</w:t>
            </w:r>
          </w:p>
        </w:tc>
        <w:tc>
          <w:tcPr>
            <w:tcW w:type="dxa" w:w="5669"/>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Monitor — acceptable risk posture</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Green</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1 – 6</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Low risk — review at next cycle</w:t>
            </w:r>
          </w:p>
        </w:tc>
      </w:tr>
    </w:tbl>
    <w:p/>
    <w:p>
      <w:pPr>
        <w:pStyle w:val="Heading2"/>
        <w:jc w:val="left"/>
      </w:pPr>
      <w:r>
        <w:rPr>
          <w:b/>
          <w:color w:val="0053E2"/>
        </w:rPr>
        <w:t>A.3  EST 8-Phase Assessment Pipeline</w:t>
      </w:r>
    </w:p>
    <w:tbl>
      <w:tblPr>
        <w:tblStyle w:val="TableGrid"/>
        <w:tblW w:type="auto" w:w="0"/>
        <w:jc w:val="left"/>
        <w:tblLook w:firstColumn="1" w:firstRow="1" w:lastColumn="0" w:lastRow="0" w:noHBand="0" w:noVBand="1" w:val="04A0"/>
      </w:tblPr>
      <w:tblGrid>
        <w:gridCol w:w="3324"/>
        <w:gridCol w:w="3324"/>
        <w:gridCol w:w="3324"/>
      </w:tblGrid>
      <w:tr>
        <w:tc>
          <w:tcPr>
            <w:tcW w:type="dxa" w:w="850"/>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Phase</w:t>
            </w:r>
          </w:p>
        </w:tc>
        <w:tc>
          <w:tcPr>
            <w:tcW w:type="dxa" w:w="2551"/>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Label</w:t>
            </w:r>
          </w:p>
        </w:tc>
        <w:tc>
          <w:tcPr>
            <w:tcW w:type="dxa" w:w="5953"/>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Key Gate</w:t>
            </w:r>
          </w:p>
        </w:tc>
      </w:tr>
      <w:tr>
        <w:tc>
          <w:tcPr>
            <w:tcW w:type="dxa" w:w="850"/>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1</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Intake</w:t>
            </w:r>
          </w:p>
        </w:tc>
        <w:tc>
          <w:tcPr>
            <w:tcW w:type="dxa" w:w="5953"/>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Assessment request submitted; ref ID generated</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2</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Pre-Assessment</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Initial viability check; pre_assessment_decision set</w:t>
            </w:r>
          </w:p>
        </w:tc>
      </w:tr>
      <w:tr>
        <w:tc>
          <w:tcPr>
            <w:tcW w:type="dxa" w:w="850"/>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3</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Initial Assessment</w:t>
            </w:r>
          </w:p>
        </w:tc>
        <w:tc>
          <w:tcPr>
            <w:tcW w:type="dxa" w:w="5953"/>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Pass/Fail; initial_assessment field populated</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4</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Technical Assessment</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Technical review; technical_assessment confirmed</w:t>
            </w:r>
          </w:p>
        </w:tc>
      </w:tr>
      <w:tr>
        <w:tc>
          <w:tcPr>
            <w:tcW w:type="dxa" w:w="850"/>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5</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VAR Complete</w:t>
            </w:r>
          </w:p>
        </w:tc>
        <w:tc>
          <w:tcPr>
            <w:tcW w:type="dxa" w:w="5953"/>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VAR .docx linked; all 8 dimension scores extracted</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6</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Lab Testing</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Hands-on evaluation at Walmart EST lab</w:t>
            </w:r>
          </w:p>
        </w:tc>
      </w:tr>
      <w:tr>
        <w:tc>
          <w:tcPr>
            <w:tcW w:type="dxa" w:w="850"/>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7</w:t>
            </w:r>
          </w:p>
        </w:tc>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APM / ERPA / SSP</w:t>
            </w:r>
          </w:p>
        </w:tc>
        <w:tc>
          <w:tcPr>
            <w:tcW w:type="dxa" w:w="5953"/>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Compliance IDs issued; legal review complete</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8</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Pilot / BAU</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Deployment approved; vendor status updated</w:t>
            </w:r>
          </w:p>
        </w:tc>
      </w:tr>
    </w:tbl>
    <w:p/>
    <w:p>
      <w:pPr>
        <w:pStyle w:val="Heading2"/>
        <w:jc w:val="left"/>
      </w:pPr>
      <w:r>
        <w:rPr>
          <w:b/>
          <w:color w:val="0053E2"/>
        </w:rPr>
        <w:t>A.4  VAR Score Dimensions</w:t>
      </w:r>
    </w:p>
    <w:tbl>
      <w:tblPr>
        <w:tblStyle w:val="TableGrid"/>
        <w:tblW w:type="auto" w:w="0"/>
        <w:jc w:val="left"/>
        <w:tblLook w:firstColumn="1" w:firstRow="1" w:lastColumn="0" w:lastRow="0" w:noHBand="0" w:noVBand="1" w:val="04A0"/>
      </w:tblPr>
      <w:tblGrid>
        <w:gridCol w:w="4986"/>
        <w:gridCol w:w="4986"/>
      </w:tblGrid>
      <w:tr>
        <w:tc>
          <w:tcPr>
            <w:tcW w:type="dxa" w:w="2551"/>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Dimension</w:t>
            </w:r>
          </w:p>
        </w:tc>
        <w:tc>
          <w:tcPr>
            <w:tcW w:type="dxa" w:w="6803"/>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What It Measures</w:t>
            </w:r>
          </w:p>
        </w:tc>
      </w:tr>
      <w:tr>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Compliance</w:t>
            </w:r>
          </w:p>
        </w:tc>
        <w:tc>
          <w:tcPr>
            <w:tcW w:type="dxa" w:w="6803"/>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Regulatory and policy alignment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Risk</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Security risk exposure and threat surface</w:t>
            </w:r>
          </w:p>
        </w:tc>
      </w:tr>
      <w:tr>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Maturity</w:t>
            </w:r>
          </w:p>
        </w:tc>
        <w:tc>
          <w:tcPr>
            <w:tcW w:type="dxa" w:w="6803"/>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Technology and vendor maturity level</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Integration</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Ease of integration with Walmart systems</w:t>
            </w:r>
          </w:p>
        </w:tc>
      </w:tr>
      <w:tr>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ROI</w:t>
            </w:r>
          </w:p>
        </w:tc>
        <w:tc>
          <w:tcPr>
            <w:tcW w:type="dxa" w:w="6803"/>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Return on investment and cost justification</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Viability</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Vendor financial and operational stability</w:t>
            </w:r>
          </w:p>
        </w:tc>
      </w:tr>
      <w:tr>
        <w:tc>
          <w:tcPr>
            <w:tcW w:type="dxa" w:w="2551"/>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Differentiation</w:t>
            </w:r>
          </w:p>
        </w:tc>
        <w:tc>
          <w:tcPr>
            <w:tcW w:type="dxa" w:w="6803"/>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Competitive differentiation vs. alternatives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Cloud Dependency</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Reliance on cloud infrastructure and associated risk</w:t>
            </w:r>
          </w:p>
        </w:tc>
      </w:tr>
    </w:tbl>
    <w:p/>
    <w:p>
      <w:pPr>
        <w:pStyle w:val="Heading2"/>
        <w:jc w:val="left"/>
      </w:pPr>
      <w:r>
        <w:rPr>
          <w:b/>
          <w:color w:val="0053E2"/>
        </w:rPr>
        <w:t>A.5  Key API Endpoints (Agent-Relevant)</w:t>
      </w:r>
    </w:p>
    <w:tbl>
      <w:tblPr>
        <w:tblStyle w:val="TableGrid"/>
        <w:tblW w:type="auto" w:w="0"/>
        <w:jc w:val="left"/>
        <w:tblLook w:firstColumn="1" w:firstRow="1" w:lastColumn="0" w:lastRow="0" w:noHBand="0" w:noVBand="1" w:val="04A0"/>
      </w:tblPr>
      <w:tblGrid>
        <w:gridCol w:w="3324"/>
        <w:gridCol w:w="3324"/>
        <w:gridCol w:w="3324"/>
      </w:tblGrid>
      <w:tr>
        <w:tc>
          <w:tcPr>
            <w:tcW w:type="dxa" w:w="3685"/>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Endpoint</w:t>
            </w:r>
          </w:p>
        </w:tc>
        <w:tc>
          <w:tcPr>
            <w:tcW w:type="dxa" w:w="1134"/>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Method</w:t>
            </w:r>
          </w:p>
        </w:tc>
        <w:tc>
          <w:tcPr>
            <w:tcW w:type="dxa" w:w="4535"/>
            <w:shd w:val="clear" w:color="auto" w:fill="0053E2"/>
            <w:tcBorders>
              <w:top w:val="single" w:sz="4" w:space="0" w:color="CCCCCC"/>
              <w:left w:val="single" w:sz="4" w:space="0" w:color="CCCCCC"/>
              <w:bottom w:val="single" w:sz="4" w:space="0" w:color="CCCCCC"/>
              <w:right w:val="single" w:sz="4" w:space="0" w:color="CCCCCC"/>
            </w:tcBorders>
          </w:tcPr>
          <w:p>
            <w:r>
              <w:rPr>
                <w:b/>
                <w:color w:val="FFFFFF"/>
                <w:sz w:val="20"/>
              </w:rPr>
              <w:t>Agent Use</w:t>
            </w:r>
          </w:p>
        </w:tc>
      </w:tr>
      <w:tr>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/api/chat</w:t>
            </w:r>
          </w:p>
        </w:tc>
        <w:tc>
          <w:tcPr>
            <w:tcW w:type="dxa" w:w="113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POST</w:t>
            </w:r>
          </w:p>
        </w:tc>
        <w:tc>
          <w:tcPr>
            <w:tcW w:type="dxa" w:w="453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SENTRY-AI natural language chat</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/api/morning-brief</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GET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Live dashboard snapshot for brief generation</w:t>
            </w:r>
          </w:p>
        </w:tc>
      </w:tr>
      <w:tr>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/api/vendors</w:t>
            </w:r>
          </w:p>
        </w:tc>
        <w:tc>
          <w:tcPr>
            <w:tcW w:type="dxa" w:w="113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GET</w:t>
            </w:r>
          </w:p>
        </w:tc>
        <w:tc>
          <w:tcPr>
            <w:tcW w:type="dxa" w:w="453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Vendor list with filtering and pagination</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/api/stats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GET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Aggregate KPIs for coverage reports</w:t>
            </w:r>
          </w:p>
        </w:tc>
      </w:tr>
      <w:tr>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/api/admin/vars/batch-extract</w:t>
            </w:r>
          </w:p>
        </w:tc>
        <w:tc>
          <w:tcPr>
            <w:tcW w:type="dxa" w:w="113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POST</w:t>
            </w:r>
          </w:p>
        </w:tc>
        <w:tc>
          <w:tcPr>
            <w:tcW w:type="dxa" w:w="453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Trigger VAR score extraction (gate required)</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/api/admin/vars/{id}/link</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PATCH</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Re-link a VAR to correct vendor (gate required)</w:t>
            </w:r>
          </w:p>
        </w:tc>
      </w:tr>
      <w:tr>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/api/regulatory/obligations</w:t>
            </w:r>
          </w:p>
        </w:tc>
        <w:tc>
          <w:tcPr>
            <w:tcW w:type="dxa" w:w="113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GET</w:t>
            </w:r>
          </w:p>
        </w:tc>
        <w:tc>
          <w:tcPr>
            <w:tcW w:type="dxa" w:w="453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362 regulatory obligations with RAG filter</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/api/incidents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GET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Retail incident feed with severity filter</w:t>
            </w:r>
          </w:p>
        </w:tc>
      </w:tr>
      <w:tr>
        <w:tc>
          <w:tcPr>
            <w:tcW w:type="dxa" w:w="368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/api/competitors/events</w:t>
            </w:r>
          </w:p>
        </w:tc>
        <w:tc>
          <w:tcPr>
            <w:tcW w:type="dxa" w:w="1134"/>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GET</w:t>
            </w:r>
          </w:p>
        </w:tc>
        <w:tc>
          <w:tcPr>
            <w:tcW w:type="dxa" w:w="4535"/>
            <w:shd w:val="clear" w:color="auto" w:fill="F5F5F5"/>
            <w:tcBorders>
              <w:top w:val="single" w:sz="4" w:space="0" w:color="CCCCCC"/>
              <w:left w:val="single" w:sz="4" w:space="0" w:color="CCCCCC"/>
              <w:bottom w:val="single" w:sz="4" w:space="0" w:color="CCCCCC"/>
              <w:right w:val="single" w:sz="4" w:space="0" w:color="CCCCCC"/>
            </w:tcBorders>
          </w:tcPr>
          <w:p>
            <w:r>
              <w:rPr>
                <w:color w:val="1A1A2E"/>
                <w:sz w:val="20"/>
              </w:rPr>
              <w:t>Competitor event feed with category filter</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/api/projects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GET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Pr>
                <w:color w:val="1A1A2E"/>
                <w:sz w:val="20"/>
              </w:rPr>
              <w:t>EST project portfolio with phase data</w:t>
            </w:r>
          </w:p>
        </w:tc>
      </w:tr>
    </w:tbl>
    <w:p/>
    <w:p/>
    <w:p>
      <w:pPr>
        <w:jc w:val="center"/>
      </w:pPr>
      <w:r>
        <w:rPr>
          <w:i/>
          <w:color w:val="999999"/>
          <w:sz w:val="20"/>
        </w:rPr>
        <w:t>— End of Document —</w:t>
      </w:r>
    </w:p>
    <w:p/>
    <w:p>
      <w:pPr>
        <w:jc w:val="center"/>
      </w:pPr>
      <w:r>
        <w:rPr>
          <w:i/>
          <w:color w:val="AAAAAA"/>
          <w:sz w:val="18"/>
        </w:rPr>
        <w:t>Generated by Atlas 🐾  |  April 03, 2026 07:03  |  SENTRY v2  |  Internal / Confidential</w:t>
      </w:r>
    </w:p>
    <w:sectPr w:rsidR="00FC693F" w:rsidRPr="0006063C" w:rsidSect="00034616">
      <w:footerReference w:type="default" r:id="rId9"/>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999999"/>
        <w:sz w:val="16"/>
      </w:rPr>
      <w:t>SENTRY Agent Specification Package  |  Internal / Confidential  |  Walmart Global Security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53E2"/>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53E2"/>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0053E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