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color w:val="FFC220"/>
          <w:sz w:val="12"/>
        </w:rPr>
        <w:t>████████████████████████████████████████</w:t>
      </w:r>
    </w:p>
    <w:p/>
    <w:p>
      <w:pPr>
        <w:jc w:val="center"/>
      </w:pPr>
      <w:r>
        <w:rPr>
          <w:rFonts w:ascii="Calibri" w:hAnsi="Calibri"/>
          <w:b/>
          <w:color w:val="0053E2"/>
          <w:sz w:val="96"/>
        </w:rPr>
        <w:t>SENTRY</w:t>
      </w:r>
    </w:p>
    <w:p>
      <w:pPr>
        <w:jc w:val="center"/>
      </w:pPr>
      <w:r>
        <w:rPr>
          <w:rFonts w:ascii="Calibri" w:hAnsi="Calibri"/>
          <w:b/>
          <w:i w:val="0"/>
          <w:color w:val="001A5C"/>
          <w:sz w:val="32"/>
        </w:rPr>
        <w:t>Vendor Intelligence &amp; Security Assessment Platform</w:t>
      </w:r>
    </w:p>
    <w:p/>
    <w:p/>
    <w:tbl>
      <w:tblPr>
        <w:tblStyle w:val="TableGrid"/>
        <w:tblW w:type="auto" w:w="0"/>
        <w:tblLook w:firstColumn="1" w:firstRow="1" w:lastColumn="0" w:lastRow="0" w:noHBand="0" w:noVBand="1" w:val="04A0"/>
      </w:tblPr>
      <w:tblGrid>
        <w:gridCol w:w="4392"/>
        <w:gridCol w:w="4392"/>
      </w:tblGrid>
      <w:tr>
        <w:tc>
          <w:tcPr>
            <w:tcW w:type="dxa" w:w="25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Classification</w:t>
            </w:r>
          </w:p>
        </w:tc>
        <w:tc>
          <w:tcPr>
            <w:tcW w:type="dxa" w:w="504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Internal — Walmart Global Security</w:t>
            </w:r>
          </w:p>
        </w:tc>
      </w:tr>
      <w:tr>
        <w:tc>
          <w:tcPr>
            <w:tcW w:type="dxa" w:w="25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Owner</w:t>
            </w:r>
          </w:p>
        </w:tc>
        <w:tc>
          <w:tcPr>
            <w:tcW w:type="dxa" w:w="5040"/>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Jason Wilbur (j0w16ja)</w:t>
            </w:r>
          </w:p>
        </w:tc>
      </w:tr>
      <w:tr>
        <w:tc>
          <w:tcPr>
            <w:tcW w:type="dxa" w:w="25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Team</w:t>
            </w:r>
          </w:p>
        </w:tc>
        <w:tc>
          <w:tcPr>
            <w:tcW w:type="dxa" w:w="504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Emerging Technology Security (EST)</w:t>
            </w:r>
          </w:p>
        </w:tc>
      </w:tr>
      <w:tr>
        <w:tc>
          <w:tcPr>
            <w:tcW w:type="dxa" w:w="25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Document Date</w:t>
            </w:r>
          </w:p>
        </w:tc>
        <w:tc>
          <w:tcPr>
            <w:tcW w:type="dxa" w:w="5040"/>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March 26, 2026</w:t>
            </w:r>
          </w:p>
        </w:tc>
      </w:tr>
      <w:tr>
        <w:tc>
          <w:tcPr>
            <w:tcW w:type="dxa" w:w="25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Version</w:t>
            </w:r>
          </w:p>
        </w:tc>
        <w:tc>
          <w:tcPr>
            <w:tcW w:type="dxa" w:w="504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v2.0</w:t>
            </w:r>
          </w:p>
        </w:tc>
      </w:tr>
    </w:tbl>
    <w:p/>
    <w:p>
      <w:pPr>
        <w:jc w:val="center"/>
      </w:pPr>
      <w:r>
        <w:rPr>
          <w:color w:val="FFC220"/>
          <w:sz w:val="12"/>
        </w:rPr>
        <w:t>████████████████████████████████████████</w:t>
      </w:r>
    </w:p>
    <w:p>
      <w:r>
        <w:br w:type="page"/>
      </w:r>
    </w:p>
    <w:p>
      <w:pPr>
        <w:pStyle w:val="Heading1"/>
        <w:jc w:val="left"/>
      </w:pPr>
      <w:r>
        <w:rPr>
          <w:rFonts w:ascii="Calibri" w:hAnsi="Calibri"/>
          <w:b/>
          <w:color w:val="0053E2"/>
          <w:sz w:val="36"/>
        </w:rPr>
        <w:t>1.  Executive Summary</w:t>
      </w:r>
    </w:p>
    <w:p>
      <w:pPr>
        <w:spacing w:after="120"/>
      </w:pPr>
      <w:r>
        <w:rPr>
          <w:rFonts w:ascii="Calibri" w:hAnsi="Calibri"/>
          <w:b w:val="0"/>
          <w:i w:val="0"/>
          <w:sz w:val="22"/>
        </w:rPr>
        <w:t>SENTRY is Walmart's internal Vendor Intelligence and Security Assessment Platform, built and operated by the Emerging Technology Security (EST) team within Walmart Global Security. It consolidates vendor data, security assessment scores, project lifecycle tracking, competitor intelligence, regulatory obligations, and retail incident data into a single, real-time operational dashboard accessible to the EST team and security leadership.</w:t>
      </w:r>
    </w:p>
    <w:p>
      <w:pPr>
        <w:spacing w:after="120"/>
      </w:pPr>
      <w:r>
        <w:rPr>
          <w:rFonts w:ascii="Calibri" w:hAnsi="Calibri"/>
          <w:b w:val="0"/>
          <w:i w:val="0"/>
          <w:sz w:val="22"/>
        </w:rPr>
        <w:t>Before SENTRY, vendor assessment data lived across disconnected spreadsheets, SharePoint folders, and email threads. SENTRY replaces that fragmented workflow with a purpose-built platform that surfaces risk, tracks compliance, and helps the EST team make faster, more defensible vendor decisions.</w:t>
      </w:r>
    </w:p>
    <w:p>
      <w:pPr>
        <w:spacing w:after="120"/>
      </w:pPr>
      <w:r>
        <w:rPr>
          <w:rFonts w:ascii="Calibri" w:hAnsi="Calibri"/>
          <w:b w:val="0"/>
          <w:i w:val="0"/>
          <w:color w:val="4A5568"/>
          <w:sz w:val="22"/>
        </w:rPr>
        <w:t>SENTRY is not a public-facing or consumer-facing system. It processes no consumer personal information, no HIPAA data, and no payment card data. All data remains inside Walmart’s Eagle network at all times.</w:t>
      </w:r>
    </w:p>
    <w:p>
      <w:pPr>
        <w:spacing w:after="0" w:before="0"/>
        <w:pBdr>
          <w:bottom w:val="single" w:sz="6" w:space="1" w:color="0053E2"/>
        </w:pBdr>
      </w:pPr>
    </w:p>
    <w:p/>
    <w:p>
      <w:pPr>
        <w:pStyle w:val="Heading1"/>
        <w:jc w:val="left"/>
      </w:pPr>
      <w:r>
        <w:rPr>
          <w:rFonts w:ascii="Calibri" w:hAnsi="Calibri"/>
          <w:b/>
          <w:color w:val="0053E2"/>
          <w:sz w:val="36"/>
        </w:rPr>
        <w:t>2.  What SENTRY Does</w:t>
      </w:r>
    </w:p>
    <w:p>
      <w:pPr>
        <w:spacing w:after="120"/>
      </w:pPr>
      <w:r>
        <w:rPr>
          <w:rFonts w:ascii="Calibri" w:hAnsi="Calibri"/>
          <w:b w:val="0"/>
          <w:i w:val="0"/>
          <w:sz w:val="22"/>
        </w:rPr>
        <w:t>SENTRY provides the EST team with seven core capabilities:</w:t>
      </w:r>
    </w:p>
    <w:p>
      <w:pPr>
        <w:pStyle w:val="ListNumber"/>
        <w:spacing w:after="120"/>
      </w:pPr>
      <w:r>
        <w:rPr>
          <w:rFonts w:ascii="Calibri" w:hAnsi="Calibri"/>
          <w:b/>
          <w:i w:val="0"/>
          <w:color w:val="0053E2"/>
          <w:sz w:val="22"/>
        </w:rPr>
        <w:t xml:space="preserve">Vendor Intelligence  —  </w:t>
      </w:r>
      <w:r>
        <w:rPr>
          <w:rFonts w:ascii="Calibri" w:hAnsi="Calibri"/>
          <w:b w:val="0"/>
          <w:i w:val="0"/>
          <w:sz w:val="22"/>
        </w:rPr>
        <w:t>Maintains a searchable catalog of 1,900+ technology vendors assessed across 8 security dimensions. Each vendor record includes risk level, deployment status, assessment scores, product list, and linkage to active EST projects.</w:t>
      </w:r>
    </w:p>
    <w:p>
      <w:pPr>
        <w:pStyle w:val="ListNumber"/>
        <w:spacing w:after="120"/>
      </w:pPr>
      <w:r>
        <w:rPr>
          <w:rFonts w:ascii="Calibri" w:hAnsi="Calibri"/>
          <w:b/>
          <w:i w:val="0"/>
          <w:color w:val="0053E2"/>
          <w:sz w:val="22"/>
        </w:rPr>
        <w:t xml:space="preserve">Vendor Assessment Reports (VARs)  —  </w:t>
      </w:r>
      <w:r>
        <w:rPr>
          <w:rFonts w:ascii="Calibri" w:hAnsi="Calibri"/>
          <w:b w:val="0"/>
          <w:i w:val="0"/>
          <w:sz w:val="22"/>
        </w:rPr>
        <w:t>Tracks formal VAR documents for assessed vendors. Scores are extracted directly from SharePoint-hosted .docx reports and stored across 8 dimensions: Compliance, Risk, Maturity, Integration, ROI, Viability, Differentiation, and Cloud Dependency.</w:t>
      </w:r>
    </w:p>
    <w:p>
      <w:pPr>
        <w:pStyle w:val="ListNumber"/>
        <w:spacing w:after="120"/>
      </w:pPr>
      <w:r>
        <w:rPr>
          <w:rFonts w:ascii="Calibri" w:hAnsi="Calibri"/>
          <w:b/>
          <w:i w:val="0"/>
          <w:color w:val="0053E2"/>
          <w:sz w:val="22"/>
        </w:rPr>
        <w:t xml:space="preserve">Project Portfolio Management  —  </w:t>
      </w:r>
      <w:r>
        <w:rPr>
          <w:rFonts w:ascii="Calibri" w:hAnsi="Calibri"/>
          <w:b w:val="0"/>
          <w:i w:val="0"/>
          <w:sz w:val="22"/>
        </w:rPr>
        <w:t>Tracks 14+ active EST projects through an 8-phase procurement lifecycle (Intake → VAR → Vendor Engagement → NDA → ROM/Technical → Lab Testing → APM/ERPA/SSP → Pilot/BAU). Compliance artifacts — NDA numbers, APM entries, ERPA entries, and SSP entries — are tracked per vendor per project.</w:t>
      </w:r>
    </w:p>
    <w:p>
      <w:pPr>
        <w:pStyle w:val="ListNumber"/>
        <w:spacing w:after="120"/>
      </w:pPr>
      <w:r>
        <w:rPr>
          <w:rFonts w:ascii="Calibri" w:hAnsi="Calibri"/>
          <w:b/>
          <w:i w:val="0"/>
          <w:color w:val="0053E2"/>
          <w:sz w:val="22"/>
        </w:rPr>
        <w:t xml:space="preserve">Competitor Intelligence  —  </w:t>
      </w:r>
      <w:r>
        <w:rPr>
          <w:rFonts w:ascii="Calibri" w:hAnsi="Calibri"/>
          <w:b w:val="0"/>
          <w:i w:val="0"/>
          <w:sz w:val="22"/>
        </w:rPr>
        <w:t>Indexes 1,100+ analyst-enriched competitor security events across Amazon, Target, Costco, Kroger, Home Depot, and other major retailers. Events are categorized by type (Cyber, ORC/Theft, Recall, Legal, Strategic) and visualized as orbital 3D charts, heatmaps, and monthly trend lines.</w:t>
      </w:r>
    </w:p>
    <w:p>
      <w:pPr>
        <w:pStyle w:val="ListNumber"/>
        <w:spacing w:after="120"/>
      </w:pPr>
      <w:r>
        <w:rPr>
          <w:rFonts w:ascii="Calibri" w:hAnsi="Calibri"/>
          <w:b/>
          <w:i w:val="0"/>
          <w:color w:val="0053E2"/>
          <w:sz w:val="22"/>
        </w:rPr>
        <w:t xml:space="preserve">Regulatory Intelligence  —  </w:t>
      </w:r>
      <w:r>
        <w:rPr>
          <w:rFonts w:ascii="Calibri" w:hAnsi="Calibri"/>
          <w:b w:val="0"/>
          <w:i w:val="0"/>
          <w:sz w:val="22"/>
        </w:rPr>
        <w:t>Monitors 362 regulatory obligations spanning AI regulation, biometrics, ALPR/LPR, UAS/drone law, and data privacy across U.S. and international jurisdictions. Each obligation is scored on a RAG (Red/Amber/Yellow/Green) risk band and tracked for evidence and compliance status.</w:t>
      </w:r>
    </w:p>
    <w:p>
      <w:pPr>
        <w:pStyle w:val="ListNumber"/>
        <w:spacing w:after="120"/>
      </w:pPr>
      <w:r>
        <w:rPr>
          <w:rFonts w:ascii="Calibri" w:hAnsi="Calibri"/>
          <w:b/>
          <w:i w:val="0"/>
          <w:color w:val="0053E2"/>
          <w:sz w:val="22"/>
        </w:rPr>
        <w:t xml:space="preserve">Incident Intelligence  —  </w:t>
      </w:r>
      <w:r>
        <w:rPr>
          <w:rFonts w:ascii="Calibri" w:hAnsi="Calibri"/>
          <w:b w:val="0"/>
          <w:i w:val="0"/>
          <w:sz w:val="22"/>
        </w:rPr>
        <w:t>Tracks retail security incidents — ORC (Organized Retail Crime), cargo theft, carjacking, cyber incidents, violence, fraud, and data breaches — with severity classification, regional breakdown, monthly trend analysis, and recommended actions.</w:t>
      </w:r>
    </w:p>
    <w:p>
      <w:pPr>
        <w:pStyle w:val="ListNumber"/>
        <w:spacing w:after="120"/>
      </w:pPr>
      <w:r>
        <w:rPr>
          <w:rFonts w:ascii="Calibri" w:hAnsi="Calibri"/>
          <w:b/>
          <w:i w:val="0"/>
          <w:color w:val="0053E2"/>
          <w:sz w:val="22"/>
        </w:rPr>
        <w:t xml:space="preserve">SENTRY-AI (Chat Assistant)  —  </w:t>
      </w:r>
      <w:r>
        <w:rPr>
          <w:rFonts w:ascii="Calibri" w:hAnsi="Calibri"/>
          <w:b w:val="0"/>
          <w:i w:val="0"/>
          <w:sz w:val="22"/>
        </w:rPr>
        <w:t>An embedded AI assistant powered by the Element LLM Gateway (GPT-4o-mini). Queries SENTRY’s live database for context and answers questions about vendor risk, VAR scores, regulatory obligations, incident patterns, and competitor intelligence. All AI processing stays within Walmart’s Eagle network.</w:t>
      </w:r>
    </w:p>
    <w:p>
      <w:pPr>
        <w:spacing w:after="0" w:before="0"/>
        <w:pBdr>
          <w:bottom w:val="single" w:sz="6" w:space="1" w:color="0053E2"/>
        </w:pBdr>
      </w:pPr>
    </w:p>
    <w:p/>
    <w:p>
      <w:pPr>
        <w:pStyle w:val="Heading1"/>
        <w:jc w:val="left"/>
      </w:pPr>
      <w:r>
        <w:rPr>
          <w:rFonts w:ascii="Calibri" w:hAnsi="Calibri"/>
          <w:b/>
          <w:color w:val="0053E2"/>
          <w:sz w:val="36"/>
        </w:rPr>
        <w:t>3.  Application Modules</w:t>
      </w:r>
    </w:p>
    <w:p>
      <w:pPr>
        <w:spacing w:after="120"/>
      </w:pPr>
      <w:r>
        <w:rPr>
          <w:rFonts w:ascii="Calibri" w:hAnsi="Calibri"/>
          <w:b w:val="0"/>
          <w:i w:val="0"/>
          <w:sz w:val="22"/>
        </w:rPr>
        <w:t>SENTRY is organized into 14 navigable modules accessible from the left-rail sidebar. Each module is lazy-loaded for performance and transitions with animated page transitions.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Module</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Purpose</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Key Features</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Command Center</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Home dashboard — mission control</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Morning brief, live stats tiles, quick navigation CTAs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Directory</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Full vendor catalog with 1,900+ records</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Search, category filter, pagination, risk badges, VAR download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Project Portfolio</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3D EST project lifecycle tracker</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8-phase EST pipeline, health indicators, compliance badges, $5.05M portfolio</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Market Analysis</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performance comparison</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Risk metric visualizations, links to Competitor Intelligence</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Competitor Intelligence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1,100+ competitor security events</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Event feed, orbital 3D viz, monthly trends, heatmap by category</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CSO Intelligence</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Exec security leadership competitive profiles</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Amazon, Target, Costco, Kroger CISO bios, strategic positioning</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Regulatory Intelligence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362 regulatory obligations</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RAG band filters, 3D globe by jurisdiction, obligation detail modals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Incident Intelligence</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Retail security incident tracker</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ORC, cyber, cargo theft, severity breakdown, monthly trend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Risk Galaxy</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3D risk scatter plot of all vendors</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Color-coded by risk level, interactive orbs, click to open detail</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VAR Administration</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Internal VAR management panel</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Score extraction, vendor linkage, batch processing, vendor CRUD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Project Administration</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Manual project metadata editor</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Phase gates, compliance IDs, vendor associations, health updates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Security Assessment</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GRC workflow intake form</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Submits assessment requests, generates reference ID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Emerging Tech Lab</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Lab visit scheduling form</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Schedules hands-on evaluation time in the secure EST lab</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SENTRY Architecture</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GCP 4-phase framework diagram</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Visual representation of the technical infrastructure</w:t>
            </w:r>
          </w:p>
        </w:tc>
      </w:tr>
    </w:tbl>
    <w:p/>
    <w:p>
      <w:pPr>
        <w:spacing w:after="0" w:before="0"/>
        <w:pBdr>
          <w:bottom w:val="single" w:sz="6" w:space="1" w:color="0053E2"/>
        </w:pBdr>
      </w:pPr>
    </w:p>
    <w:p/>
    <w:p>
      <w:pPr>
        <w:pStyle w:val="Heading1"/>
        <w:jc w:val="left"/>
      </w:pPr>
      <w:r>
        <w:rPr>
          <w:rFonts w:ascii="Calibri" w:hAnsi="Calibri"/>
          <w:b/>
          <w:color w:val="0053E2"/>
          <w:sz w:val="36"/>
        </w:rPr>
        <w:t>4.  Vendor Assessment Process</w:t>
      </w:r>
    </w:p>
    <w:p>
      <w:pPr>
        <w:spacing w:after="120"/>
      </w:pPr>
      <w:r>
        <w:rPr>
          <w:rFonts w:ascii="Calibri" w:hAnsi="Calibri"/>
          <w:b w:val="0"/>
          <w:i w:val="0"/>
          <w:sz w:val="22"/>
        </w:rPr>
        <w:t>SENTRY tracks vendors through a formal four-stage assessment pipeline before a full Vendor Assessment Report (VAR) is completed:</w:t>
      </w:r>
    </w:p>
    <w:p>
      <w:pPr>
        <w:spacing w:after="80"/>
      </w:pPr>
      <w:r>
        <w:rPr>
          <w:rFonts w:ascii="Calibri" w:hAnsi="Calibri"/>
          <w:b/>
          <w:i w:val="0"/>
          <w:color w:val="0053E2"/>
          <w:sz w:val="22"/>
        </w:rPr>
        <w:t xml:space="preserve">Stage 0 — Not Started:  </w:t>
      </w:r>
      <w:r>
        <w:rPr>
          <w:rFonts w:ascii="Calibri" w:hAnsi="Calibri"/>
          <w:b w:val="0"/>
          <w:i w:val="0"/>
          <w:sz w:val="22"/>
        </w:rPr>
        <w:t>Vendor has been logged in the system but no evaluation has begun.</w:t>
      </w:r>
    </w:p>
    <w:p>
      <w:pPr>
        <w:spacing w:after="80"/>
      </w:pPr>
      <w:r>
        <w:rPr>
          <w:rFonts w:ascii="Calibri" w:hAnsi="Calibri"/>
          <w:b/>
          <w:i w:val="0"/>
          <w:color w:val="0053E2"/>
          <w:sz w:val="22"/>
        </w:rPr>
        <w:t xml:space="preserve">Stage 1 — Pre-Assessment:  </w:t>
      </w:r>
      <w:r>
        <w:rPr>
          <w:rFonts w:ascii="Calibri" w:hAnsi="Calibri"/>
          <w:b w:val="0"/>
          <w:i w:val="0"/>
          <w:sz w:val="22"/>
        </w:rPr>
        <w:t>An initial pre-assessment score and pass/fail decision has been recorded for the vendor’s product.</w:t>
      </w:r>
    </w:p>
    <w:p>
      <w:pPr>
        <w:spacing w:after="80"/>
      </w:pPr>
      <w:r>
        <w:rPr>
          <w:rFonts w:ascii="Calibri" w:hAnsi="Calibri"/>
          <w:b/>
          <w:i w:val="0"/>
          <w:color w:val="0053E2"/>
          <w:sz w:val="22"/>
        </w:rPr>
        <w:t xml:space="preserve">Stage 2 — Initial Assessment:  </w:t>
      </w:r>
      <w:r>
        <w:rPr>
          <w:rFonts w:ascii="Calibri" w:hAnsi="Calibri"/>
          <w:b w:val="0"/>
          <w:i w:val="0"/>
          <w:sz w:val="22"/>
        </w:rPr>
        <w:t>The vendor has passed initial screening (Pass/Yes). Moves forward in the evaluation process.</w:t>
      </w:r>
    </w:p>
    <w:p>
      <w:pPr>
        <w:spacing w:after="80"/>
      </w:pPr>
      <w:r>
        <w:rPr>
          <w:rFonts w:ascii="Calibri" w:hAnsi="Calibri"/>
          <w:b/>
          <w:i w:val="0"/>
          <w:color w:val="0053E2"/>
          <w:sz w:val="22"/>
        </w:rPr>
        <w:t xml:space="preserve">Stage 3 — Technical Assessment:  </w:t>
      </w:r>
      <w:r>
        <w:rPr>
          <w:rFonts w:ascii="Calibri" w:hAnsi="Calibri"/>
          <w:b w:val="0"/>
          <w:i w:val="0"/>
          <w:sz w:val="22"/>
        </w:rPr>
        <w:t>A full technical assessment has been completed. The product has been evaluated against EST’s technical criteria.</w:t>
      </w:r>
    </w:p>
    <w:p>
      <w:pPr>
        <w:spacing w:after="80"/>
      </w:pPr>
      <w:r>
        <w:rPr>
          <w:rFonts w:ascii="Calibri" w:hAnsi="Calibri"/>
          <w:b/>
          <w:i w:val="0"/>
          <w:color w:val="0053E2"/>
          <w:sz w:val="22"/>
        </w:rPr>
        <w:t xml:space="preserve">Stage 4 — VAR Complete:  </w:t>
      </w:r>
      <w:r>
        <w:rPr>
          <w:rFonts w:ascii="Calibri" w:hAnsi="Calibri"/>
          <w:b w:val="0"/>
          <w:i w:val="0"/>
          <w:sz w:val="22"/>
        </w:rPr>
        <w:t>A formal Vendor Assessment Report (.docx) has been produced and stored in SharePoint. Scores have been extracted across 8 dimensions.</w:t>
      </w:r>
    </w:p>
    <w:p/>
    <w:p>
      <w:pPr>
        <w:pStyle w:val="Heading2"/>
        <w:jc w:val="left"/>
      </w:pPr>
      <w:r>
        <w:rPr>
          <w:rFonts w:ascii="Calibri" w:hAnsi="Calibri"/>
          <w:b/>
          <w:color w:val="001A5C"/>
          <w:sz w:val="26"/>
        </w:rPr>
        <w:t>VAR Scoring Dimensions</w:t>
      </w:r>
    </w:p>
    <w:p>
      <w:pPr>
        <w:spacing w:after="120"/>
      </w:pPr>
      <w:r>
        <w:rPr>
          <w:rFonts w:ascii="Calibri" w:hAnsi="Calibri"/>
          <w:b w:val="0"/>
          <w:i w:val="0"/>
          <w:sz w:val="22"/>
        </w:rPr>
        <w:t>Each completed VAR scores the vendor across eight weighted dimensions producing an overall score between 0.0 and 5.0:</w:t>
      </w:r>
    </w:p>
    <w:tbl>
      <w:tblPr>
        <w:tblStyle w:val="TableGrid"/>
        <w:tblW w:type="auto" w:w="0"/>
        <w:tblLook w:firstColumn="1" w:firstRow="1" w:lastColumn="0" w:lastRow="0" w:noHBand="0" w:noVBand="1" w:val="04A0"/>
      </w:tblPr>
      <w:tblGrid>
        <w:gridCol w:w="4392"/>
        <w:gridCol w:w="4392"/>
      </w:tblGrid>
      <w:tr>
        <w:tc>
          <w:tcPr>
            <w:tcW w:type="dxa" w:w="4392"/>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Dimension</w:t>
            </w:r>
          </w:p>
        </w:tc>
        <w:tc>
          <w:tcPr>
            <w:tcW w:type="dxa" w:w="4392"/>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What It Measures</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Compliance</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Regulatory and policy alignment, certifications</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Risk</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risk posture, vulnerability exposure</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Maturity</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Technology and organizational maturity</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Integration</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Ease of integration with Walmart systems</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ROI</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Return on investment potential</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Viability</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financial stability and longevity</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Differentiation</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Competitive uniqueness vs. alternatives</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Cloud Dependency</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Reliance on cloud infrastructure and data residency</w:t>
            </w:r>
          </w:p>
        </w:tc>
      </w:tr>
    </w:tbl>
    <w:p/>
    <w:p>
      <w:pPr>
        <w:pStyle w:val="Heading2"/>
        <w:jc w:val="left"/>
      </w:pPr>
      <w:r>
        <w:rPr>
          <w:rFonts w:ascii="Calibri" w:hAnsi="Calibri"/>
          <w:b/>
          <w:color w:val="001A5C"/>
          <w:sz w:val="26"/>
        </w:rPr>
        <w:t>Decision Bands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Score Range</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Decision Band</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Recommendation</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&gt; 4.0</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Advance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Proceed to procurement / pilot</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3.0 – 4.0</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Research Further</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Continue evaluation with additional diligence</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2.0 – 2.9</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Defer</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Put on hold — revisit when maturity improves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&lt; 2.0</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Reject</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Do not proceed with this vendor</w:t>
            </w:r>
          </w:p>
        </w:tc>
      </w:tr>
    </w:tbl>
    <w:p/>
    <w:p>
      <w:pPr>
        <w:spacing w:after="0" w:before="0"/>
        <w:pBdr>
          <w:bottom w:val="single" w:sz="6" w:space="1" w:color="0053E2"/>
        </w:pBdr>
      </w:pPr>
    </w:p>
    <w:p/>
    <w:p>
      <w:pPr>
        <w:pStyle w:val="Heading1"/>
        <w:jc w:val="left"/>
      </w:pPr>
      <w:r>
        <w:rPr>
          <w:rFonts w:ascii="Calibri" w:hAnsi="Calibri"/>
          <w:b/>
          <w:color w:val="0053E2"/>
          <w:sz w:val="36"/>
        </w:rPr>
        <w:t>5.  EST Project Lifecycle (8 Phases)</w:t>
      </w:r>
    </w:p>
    <w:p>
      <w:pPr>
        <w:spacing w:after="120"/>
      </w:pPr>
      <w:r>
        <w:rPr>
          <w:rFonts w:ascii="Calibri" w:hAnsi="Calibri"/>
          <w:b w:val="0"/>
          <w:i w:val="0"/>
          <w:sz w:val="22"/>
        </w:rPr>
        <w:t>Every technology project managed by the EST team moves through a formal 8-phase procurement and deployment lifecycle. SENTRY tracks each project’s current phase, health, blockers, compliance artifacts, and vendor associations.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Phase #</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Phase Name</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Key Activities</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Intake / VAR</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submitted for review. Initial VAR assessment begins.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2</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Engagement</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Vendor contacted. Discovery calls, demos, and capability review.</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3</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NDA &amp; Legal</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Non-Disclosure Agreement executed. Legal review underway.</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4</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ROM / Technical Assessment</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Rough Order of Magnitude costing. Full technical evaluation.</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5</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Lab Testing</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Hands-on testing in the Emerging Technology Lab in Bentonville.</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6</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APM / ERPA / SSP</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Application Portfolio Management, Privacy Assessment (ERPA), and Security Standards Profile completed.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7</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Pilot / LAO</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Limited Area Operation pilot deployed at select Walmart locations.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8</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BAU / Program</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Technology moved to Business-As-Usual. Full program deployment.</w:t>
            </w:r>
          </w:p>
        </w:tc>
      </w:tr>
    </w:tbl>
    <w:p/>
    <w:p>
      <w:pPr>
        <w:spacing w:after="120"/>
      </w:pPr>
      <w:r>
        <w:rPr>
          <w:rFonts w:ascii="Calibri" w:hAnsi="Calibri"/>
          <w:b w:val="0"/>
          <w:i w:val="0"/>
          <w:color w:val="4A5568"/>
          <w:sz w:val="22"/>
        </w:rPr>
        <w:t>Health is tracked as Green (on track), Amber (at risk), or Red (blocked). Projects that are rejected or discontinued are archived with an exit reason and retained for historical reference.</w:t>
      </w:r>
    </w:p>
    <w:p>
      <w:pPr>
        <w:spacing w:after="0" w:before="0"/>
        <w:pBdr>
          <w:bottom w:val="single" w:sz="6" w:space="1" w:color="0053E2"/>
        </w:pBdr>
      </w:pPr>
    </w:p>
    <w:p/>
    <w:p>
      <w:pPr>
        <w:pStyle w:val="Heading1"/>
        <w:jc w:val="left"/>
      </w:pPr>
      <w:r>
        <w:rPr>
          <w:rFonts w:ascii="Calibri" w:hAnsi="Calibri"/>
          <w:b/>
          <w:color w:val="0053E2"/>
          <w:sz w:val="36"/>
        </w:rPr>
        <w:t>6.  Regulatory Intelligence</w:t>
      </w:r>
    </w:p>
    <w:p>
      <w:pPr>
        <w:spacing w:after="120"/>
      </w:pPr>
      <w:r>
        <w:rPr>
          <w:rFonts w:ascii="Calibri" w:hAnsi="Calibri"/>
          <w:b w:val="0"/>
          <w:i w:val="0"/>
          <w:sz w:val="22"/>
        </w:rPr>
        <w:t>SENTRY’s Regulatory Intelligence module tracks 362 obligations across five technology domains that directly impact the EST team’s work:</w:t>
      </w:r>
    </w:p>
    <w:p>
      <w:pPr>
        <w:spacing w:after="80"/>
      </w:pPr>
      <w:r>
        <w:rPr>
          <w:rFonts w:ascii="Calibri" w:hAnsi="Calibri"/>
          <w:b/>
          <w:i w:val="0"/>
          <w:color w:val="0053E2"/>
          <w:sz w:val="22"/>
        </w:rPr>
        <w:t xml:space="preserve">Artificial Intelligence:  </w:t>
      </w:r>
      <w:r>
        <w:rPr>
          <w:rFonts w:ascii="Calibri" w:hAnsi="Calibri"/>
          <w:b w:val="0"/>
          <w:i w:val="0"/>
          <w:sz w:val="22"/>
        </w:rPr>
        <w:t>Federal and state AI regulation, algorithmic transparency, bias auditing requirements</w:t>
      </w:r>
    </w:p>
    <w:p>
      <w:pPr>
        <w:spacing w:after="80"/>
      </w:pPr>
      <w:r>
        <w:rPr>
          <w:rFonts w:ascii="Calibri" w:hAnsi="Calibri"/>
          <w:b/>
          <w:i w:val="0"/>
          <w:color w:val="0053E2"/>
          <w:sz w:val="22"/>
        </w:rPr>
        <w:t xml:space="preserve">Biometrics:  </w:t>
      </w:r>
      <w:r>
        <w:rPr>
          <w:rFonts w:ascii="Calibri" w:hAnsi="Calibri"/>
          <w:b w:val="0"/>
          <w:i w:val="0"/>
          <w:sz w:val="22"/>
        </w:rPr>
        <w:t>State biometric privacy laws (BIPA-style), facial recognition restrictions, consent requirements</w:t>
      </w:r>
    </w:p>
    <w:p>
      <w:pPr>
        <w:spacing w:after="80"/>
      </w:pPr>
      <w:r>
        <w:rPr>
          <w:rFonts w:ascii="Calibri" w:hAnsi="Calibri"/>
          <w:b/>
          <w:i w:val="0"/>
          <w:color w:val="0053E2"/>
          <w:sz w:val="22"/>
        </w:rPr>
        <w:t xml:space="preserve">ALPR / LPR:  </w:t>
      </w:r>
      <w:r>
        <w:rPr>
          <w:rFonts w:ascii="Calibri" w:hAnsi="Calibri"/>
          <w:b w:val="0"/>
          <w:i w:val="0"/>
          <w:sz w:val="22"/>
        </w:rPr>
        <w:t>Automated License Plate Reader regulations, data retention limits, law enforcement sharing rules</w:t>
      </w:r>
    </w:p>
    <w:p>
      <w:pPr>
        <w:spacing w:after="80"/>
      </w:pPr>
      <w:r>
        <w:rPr>
          <w:rFonts w:ascii="Calibri" w:hAnsi="Calibri"/>
          <w:b/>
          <w:i w:val="0"/>
          <w:color w:val="0053E2"/>
          <w:sz w:val="22"/>
        </w:rPr>
        <w:t xml:space="preserve">UAS / Drones:  </w:t>
      </w:r>
      <w:r>
        <w:rPr>
          <w:rFonts w:ascii="Calibri" w:hAnsi="Calibri"/>
          <w:b w:val="0"/>
          <w:i w:val="0"/>
          <w:sz w:val="22"/>
        </w:rPr>
        <w:t>FAA Part 107, BVLOS waivers, counter-UAS authority, drone security requirements</w:t>
      </w:r>
    </w:p>
    <w:p>
      <w:pPr>
        <w:spacing w:after="80"/>
      </w:pPr>
      <w:r>
        <w:rPr>
          <w:rFonts w:ascii="Calibri" w:hAnsi="Calibri"/>
          <w:b/>
          <w:i w:val="0"/>
          <w:color w:val="0053E2"/>
          <w:sz w:val="22"/>
        </w:rPr>
        <w:t xml:space="preserve">Data Privacy:  </w:t>
      </w:r>
      <w:r>
        <w:rPr>
          <w:rFonts w:ascii="Calibri" w:hAnsi="Calibri"/>
          <w:b w:val="0"/>
          <w:i w:val="0"/>
          <w:sz w:val="22"/>
        </w:rPr>
        <w:t>GDPR, CCPA/CPRA, state privacy laws, vendor data processing agreements</w:t>
      </w:r>
    </w:p>
    <w:p/>
    <w:p>
      <w:pPr>
        <w:spacing w:after="120"/>
      </w:pPr>
      <w:r>
        <w:rPr>
          <w:rFonts w:ascii="Calibri" w:hAnsi="Calibri"/>
          <w:b w:val="0"/>
          <w:i w:val="0"/>
          <w:sz w:val="22"/>
        </w:rPr>
        <w:t>Each obligation is scored on a RAG (Red/Amber/Yellow/Green) risk band:</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RAG Band</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Score Range</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Meaning</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  Red</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19 – 25</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Immediate action required — critical compliance gap</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  Amber</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13 – 18</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Priority attention — significant risk exposure</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  Yellow</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7 – 12</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Monitor — moderate risk, near-term attention needed</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  Green</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 – 6</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Low risk — compliant or minimal exposure</w:t>
            </w:r>
          </w:p>
        </w:tc>
      </w:tr>
    </w:tbl>
    <w:p/>
    <w:p>
      <w:pPr>
        <w:spacing w:after="0" w:before="0"/>
        <w:pBdr>
          <w:bottom w:val="single" w:sz="6" w:space="1" w:color="0053E2"/>
        </w:pBdr>
      </w:pPr>
    </w:p>
    <w:p/>
    <w:p>
      <w:pPr>
        <w:pStyle w:val="Heading1"/>
        <w:jc w:val="left"/>
      </w:pPr>
      <w:r>
        <w:rPr>
          <w:rFonts w:ascii="Calibri" w:hAnsi="Calibri"/>
          <w:b/>
          <w:color w:val="0053E2"/>
          <w:sz w:val="36"/>
        </w:rPr>
        <w:t>7.  Competitor Intelligence</w:t>
      </w:r>
    </w:p>
    <w:p>
      <w:pPr>
        <w:spacing w:after="120"/>
      </w:pPr>
      <w:r>
        <w:rPr>
          <w:rFonts w:ascii="Calibri" w:hAnsi="Calibri"/>
          <w:b w:val="0"/>
          <w:i w:val="0"/>
          <w:sz w:val="22"/>
        </w:rPr>
        <w:t>SENTRY’s Competitor Intelligence module provides the EST team and security leadership with visibility into security-relevant events at Walmart’s direct retail competitors. This intelligence informs proactive security posture decisions.</w:t>
      </w:r>
    </w:p>
    <w:p>
      <w:pPr>
        <w:spacing w:after="120"/>
      </w:pPr>
      <w:r>
        <w:rPr>
          <w:rFonts w:ascii="Calibri" w:hAnsi="Calibri"/>
          <w:b w:val="0"/>
          <w:i w:val="0"/>
          <w:sz w:val="22"/>
        </w:rPr>
        <w:t>The database currently indexes 1,100+ analyst-enriched events covering six months of data (September 2025 – February 2026) across:</w:t>
      </w:r>
    </w:p>
    <w:p>
      <w:pPr>
        <w:pStyle w:val="ListBullet"/>
        <w:spacing w:after="40"/>
      </w:pPr>
      <w:r>
        <w:rPr>
          <w:rFonts w:ascii="Calibri" w:hAnsi="Calibri"/>
          <w:b w:val="0"/>
          <w:i w:val="0"/>
          <w:sz w:val="21"/>
        </w:rPr>
        <w:t>Amazon, Target, Costco, Kroger, Home Depot, Lowe’s, ALDI, Carrefour, and others</w:t>
      </w:r>
    </w:p>
    <w:p>
      <w:pPr>
        <w:pStyle w:val="ListBullet"/>
        <w:spacing w:after="40"/>
      </w:pPr>
      <w:r>
        <w:rPr>
          <w:rFonts w:ascii="Calibri" w:hAnsi="Calibri"/>
          <w:b w:val="0"/>
          <w:i w:val="0"/>
          <w:sz w:val="21"/>
        </w:rPr>
        <w:t>Five event categories: Cyber, ORC/Theft, Recall, Legal, Strategic</w:t>
      </w:r>
    </w:p>
    <w:p>
      <w:pPr>
        <w:pStyle w:val="ListBullet"/>
        <w:spacing w:after="40"/>
      </w:pPr>
      <w:r>
        <w:rPr>
          <w:rFonts w:ascii="Calibri" w:hAnsi="Calibri"/>
          <w:b w:val="0"/>
          <w:i w:val="0"/>
          <w:sz w:val="21"/>
        </w:rPr>
        <w:t>Threat level scoring per competitor (Low / Medium / High / Critical)</w:t>
      </w:r>
    </w:p>
    <w:p>
      <w:pPr>
        <w:pStyle w:val="ListBullet"/>
        <w:spacing w:after="40"/>
      </w:pPr>
      <w:r>
        <w:rPr>
          <w:rFonts w:ascii="Calibri" w:hAnsi="Calibri"/>
          <w:b w:val="0"/>
          <w:i w:val="0"/>
          <w:sz w:val="21"/>
        </w:rPr>
        <w:t>Monthly event trends, category heatmaps, and 3D orbital visualizations</w:t>
      </w:r>
    </w:p>
    <w:p>
      <w:pPr>
        <w:pStyle w:val="ListBullet"/>
        <w:spacing w:after="40"/>
      </w:pPr>
      <w:r>
        <w:rPr>
          <w:rFonts w:ascii="Calibri" w:hAnsi="Calibri"/>
          <w:b w:val="0"/>
          <w:i w:val="0"/>
          <w:sz w:val="21"/>
        </w:rPr>
        <w:t>Executive CSO/CISO competitive profiles for Amazon, Target, Costco, and Kroger</w:t>
      </w:r>
    </w:p>
    <w:p>
      <w:pPr>
        <w:spacing w:after="0" w:before="0"/>
        <w:pBdr>
          <w:bottom w:val="single" w:sz="6" w:space="1" w:color="0053E2"/>
        </w:pBdr>
      </w:pPr>
    </w:p>
    <w:p/>
    <w:p>
      <w:pPr>
        <w:pStyle w:val="Heading1"/>
        <w:jc w:val="left"/>
      </w:pPr>
      <w:r>
        <w:rPr>
          <w:rFonts w:ascii="Calibri" w:hAnsi="Calibri"/>
          <w:b/>
          <w:color w:val="0053E2"/>
          <w:sz w:val="36"/>
        </w:rPr>
        <w:t>8.  Incident Intelligence</w:t>
      </w:r>
    </w:p>
    <w:p>
      <w:pPr>
        <w:spacing w:after="120"/>
      </w:pPr>
      <w:r>
        <w:rPr>
          <w:rFonts w:ascii="Calibri" w:hAnsi="Calibri"/>
          <w:b w:val="0"/>
          <w:i w:val="0"/>
          <w:sz w:val="22"/>
        </w:rPr>
        <w:t>SENTRY tracks retail security incidents to support situational awareness, trend analysis, and executive briefing preparation. Incidents are sourced from internal reporting and analyst-curated data.</w:t>
      </w:r>
    </w:p>
    <w:p>
      <w:pPr>
        <w:spacing w:after="120"/>
      </w:pPr>
      <w:r>
        <w:rPr>
          <w:rFonts w:ascii="Calibri" w:hAnsi="Calibri"/>
          <w:b w:val="0"/>
          <w:i w:val="0"/>
          <w:sz w:val="22"/>
        </w:rPr>
        <w:t>Incident types tracked include:</w:t>
      </w:r>
    </w:p>
    <w:p>
      <w:pPr>
        <w:pStyle w:val="ListBullet"/>
        <w:spacing w:after="40"/>
      </w:pPr>
      <w:r>
        <w:rPr>
          <w:rFonts w:ascii="Calibri" w:hAnsi="Calibri"/>
          <w:b w:val="0"/>
          <w:i w:val="0"/>
          <w:sz w:val="21"/>
        </w:rPr>
        <w:t>ORC (Organized Retail Crime) — coordinated theft, flash mob events</w:t>
      </w:r>
    </w:p>
    <w:p>
      <w:pPr>
        <w:pStyle w:val="ListBullet"/>
        <w:spacing w:after="40"/>
      </w:pPr>
      <w:r>
        <w:rPr>
          <w:rFonts w:ascii="Calibri" w:hAnsi="Calibri"/>
          <w:b w:val="0"/>
          <w:i w:val="0"/>
          <w:sz w:val="21"/>
        </w:rPr>
        <w:t>Cargo Theft — in-transit and distribution center theft</w:t>
      </w:r>
    </w:p>
    <w:p>
      <w:pPr>
        <w:pStyle w:val="ListBullet"/>
        <w:spacing w:after="40"/>
      </w:pPr>
      <w:r>
        <w:rPr>
          <w:rFonts w:ascii="Calibri" w:hAnsi="Calibri"/>
          <w:b w:val="0"/>
          <w:i w:val="0"/>
          <w:sz w:val="21"/>
        </w:rPr>
        <w:t>Carjacking — associate and customer vehicle incidents</w:t>
      </w:r>
    </w:p>
    <w:p>
      <w:pPr>
        <w:pStyle w:val="ListBullet"/>
        <w:spacing w:after="40"/>
      </w:pPr>
      <w:r>
        <w:rPr>
          <w:rFonts w:ascii="Calibri" w:hAnsi="Calibri"/>
          <w:b w:val="0"/>
          <w:i w:val="0"/>
          <w:sz w:val="21"/>
        </w:rPr>
        <w:t>Cyber Incidents — data breaches, ransomware, system intrusions</w:t>
      </w:r>
    </w:p>
    <w:p>
      <w:pPr>
        <w:pStyle w:val="ListBullet"/>
        <w:spacing w:after="40"/>
      </w:pPr>
      <w:r>
        <w:rPr>
          <w:rFonts w:ascii="Calibri" w:hAnsi="Calibri"/>
          <w:b w:val="0"/>
          <w:i w:val="0"/>
          <w:sz w:val="21"/>
        </w:rPr>
        <w:t>Violence — in-store and parking lot violent incidents</w:t>
      </w:r>
    </w:p>
    <w:p>
      <w:pPr>
        <w:pStyle w:val="ListBullet"/>
        <w:spacing w:after="40"/>
      </w:pPr>
      <w:r>
        <w:rPr>
          <w:rFonts w:ascii="Calibri" w:hAnsi="Calibri"/>
          <w:b w:val="0"/>
          <w:i w:val="0"/>
          <w:sz w:val="21"/>
        </w:rPr>
        <w:t>Fraud — payment fraud, return fraud, identity fraud</w:t>
      </w:r>
    </w:p>
    <w:p>
      <w:pPr>
        <w:pStyle w:val="ListBullet"/>
        <w:spacing w:after="40"/>
      </w:pPr>
      <w:r>
        <w:rPr>
          <w:rFonts w:ascii="Calibri" w:hAnsi="Calibri"/>
          <w:b w:val="0"/>
          <w:i w:val="0"/>
          <w:sz w:val="21"/>
        </w:rPr>
        <w:t>Data Breaches — PII exposure and unauthorized access events</w:t>
      </w:r>
    </w:p>
    <w:p/>
    <w:p>
      <w:pPr>
        <w:spacing w:after="120"/>
      </w:pPr>
      <w:r>
        <w:rPr>
          <w:rFonts w:ascii="Calibri" w:hAnsi="Calibri"/>
          <w:b w:val="0"/>
          <w:i w:val="0"/>
          <w:sz w:val="22"/>
        </w:rPr>
        <w:t>Severity classification:</w:t>
      </w:r>
    </w:p>
    <w:tbl>
      <w:tblPr>
        <w:tblStyle w:val="TableGrid"/>
        <w:tblW w:type="auto" w:w="0"/>
        <w:tblLook w:firstColumn="1" w:firstRow="1" w:lastColumn="0" w:lastRow="0" w:noHBand="0" w:noVBand="1" w:val="04A0"/>
      </w:tblPr>
      <w:tblGrid>
        <w:gridCol w:w="4392"/>
        <w:gridCol w:w="4392"/>
      </w:tblGrid>
      <w:tr>
        <w:tc>
          <w:tcPr>
            <w:tcW w:type="dxa" w:w="4392"/>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Severity</w:t>
            </w:r>
          </w:p>
        </w:tc>
        <w:tc>
          <w:tcPr>
            <w:tcW w:type="dxa" w:w="4392"/>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Typical Incident Types</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Critical</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Major cyber attacks, mass violence events</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High</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Armed robbery, large-scale cargo theft</w:t>
            </w:r>
          </w:p>
        </w:tc>
      </w:tr>
      <w:tr>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Medium</w:t>
            </w:r>
          </w:p>
        </w:tc>
        <w:tc>
          <w:tcPr>
            <w:tcW w:type="dxa" w:w="4392"/>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ORC events, organized fraud schemes</w:t>
            </w:r>
          </w:p>
        </w:tc>
      </w:tr>
      <w:tr>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Low</w:t>
            </w:r>
          </w:p>
        </w:tc>
        <w:tc>
          <w:tcPr>
            <w:tcW w:type="dxa" w:w="4392"/>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Individual arrests, policy violations</w:t>
            </w:r>
          </w:p>
        </w:tc>
      </w:tr>
    </w:tbl>
    <w:p/>
    <w:p>
      <w:pPr>
        <w:spacing w:after="0" w:before="0"/>
        <w:pBdr>
          <w:bottom w:val="single" w:sz="6" w:space="1" w:color="0053E2"/>
        </w:pBdr>
      </w:pPr>
    </w:p>
    <w:p/>
    <w:p>
      <w:pPr>
        <w:pStyle w:val="Heading1"/>
        <w:jc w:val="left"/>
      </w:pPr>
      <w:r>
        <w:rPr>
          <w:rFonts w:ascii="Calibri" w:hAnsi="Calibri"/>
          <w:b/>
          <w:color w:val="0053E2"/>
          <w:sz w:val="36"/>
        </w:rPr>
        <w:t>9.  SENTRY-AI — Embedded Intelligence Assistant</w:t>
      </w:r>
    </w:p>
    <w:p>
      <w:pPr>
        <w:spacing w:after="120"/>
      </w:pPr>
      <w:r>
        <w:rPr>
          <w:rFonts w:ascii="Calibri" w:hAnsi="Calibri"/>
          <w:b w:val="0"/>
          <w:i w:val="0"/>
          <w:sz w:val="22"/>
        </w:rPr>
        <w:t>SENTRY includes an embedded AI assistant (“SENTRY-AI”) powered by the Element LLM Gateway — Walmart’s internal AI service built on Anthropic Claude and OpenAI GPT-4o-mini models routed through the Eagle network.</w:t>
      </w:r>
    </w:p>
    <w:p>
      <w:pPr>
        <w:spacing w:after="120"/>
      </w:pPr>
      <w:r>
        <w:rPr>
          <w:rFonts w:ascii="Calibri" w:hAnsi="Calibri"/>
          <w:b w:val="0"/>
          <w:i w:val="0"/>
          <w:sz w:val="22"/>
        </w:rPr>
        <w:t>SENTRY-AI can answer questions about:</w:t>
      </w:r>
    </w:p>
    <w:p>
      <w:pPr>
        <w:pStyle w:val="ListBullet"/>
        <w:spacing w:after="40"/>
      </w:pPr>
      <w:r>
        <w:rPr>
          <w:rFonts w:ascii="Calibri" w:hAnsi="Calibri"/>
          <w:b w:val="0"/>
          <w:i w:val="0"/>
          <w:sz w:val="21"/>
        </w:rPr>
        <w:t>Vendor risk ratings, VAR scores, and decision bands</w:t>
      </w:r>
    </w:p>
    <w:p>
      <w:pPr>
        <w:pStyle w:val="ListBullet"/>
        <w:spacing w:after="40"/>
      </w:pPr>
      <w:r>
        <w:rPr>
          <w:rFonts w:ascii="Calibri" w:hAnsi="Calibri"/>
          <w:b w:val="0"/>
          <w:i w:val="0"/>
          <w:sz w:val="21"/>
        </w:rPr>
        <w:t>Assessment pipeline status for any vendor or product</w:t>
      </w:r>
    </w:p>
    <w:p>
      <w:pPr>
        <w:pStyle w:val="ListBullet"/>
        <w:spacing w:after="40"/>
      </w:pPr>
      <w:r>
        <w:rPr>
          <w:rFonts w:ascii="Calibri" w:hAnsi="Calibri"/>
          <w:b w:val="0"/>
          <w:i w:val="0"/>
          <w:sz w:val="21"/>
        </w:rPr>
        <w:t>Regulatory obligations by tech category or jurisdiction</w:t>
      </w:r>
    </w:p>
    <w:p>
      <w:pPr>
        <w:pStyle w:val="ListBullet"/>
        <w:spacing w:after="40"/>
      </w:pPr>
      <w:r>
        <w:rPr>
          <w:rFonts w:ascii="Calibri" w:hAnsi="Calibri"/>
          <w:b w:val="0"/>
          <w:i w:val="0"/>
          <w:sz w:val="21"/>
        </w:rPr>
        <w:t>Retail incident patterns, severity breakdowns, and regional trends</w:t>
      </w:r>
    </w:p>
    <w:p>
      <w:pPr>
        <w:pStyle w:val="ListBullet"/>
        <w:spacing w:after="40"/>
      </w:pPr>
      <w:r>
        <w:rPr>
          <w:rFonts w:ascii="Calibri" w:hAnsi="Calibri"/>
          <w:b w:val="0"/>
          <w:i w:val="0"/>
          <w:sz w:val="21"/>
        </w:rPr>
        <w:t>Competitor intelligence summaries and threat levels</w:t>
      </w:r>
    </w:p>
    <w:p>
      <w:pPr>
        <w:pStyle w:val="ListBullet"/>
        <w:spacing w:after="40"/>
      </w:pPr>
      <w:r>
        <w:rPr>
          <w:rFonts w:ascii="Calibri" w:hAnsi="Calibri"/>
          <w:b w:val="0"/>
          <w:i w:val="0"/>
          <w:sz w:val="21"/>
        </w:rPr>
        <w:t>SENTRY’s own GCP architecture and data model</w:t>
      </w:r>
    </w:p>
    <w:p/>
    <w:p>
      <w:pPr>
        <w:spacing w:after="120"/>
      </w:pPr>
      <w:r>
        <w:rPr>
          <w:rFonts w:ascii="Calibri" w:hAnsi="Calibri"/>
          <w:b w:val="0"/>
          <w:i w:val="0"/>
          <w:color w:val="4A5568"/>
          <w:sz w:val="22"/>
        </w:rPr>
        <w:t>SENTRY-AI pulls a live data snapshot from the SENTRY database as context for every conversation — including current vendor count, risk distribution, high-risk vendor names, recent critical incidents, and competitor event totals. This ensures responses reflect the current state of the platform, not static training data.</w:t>
      </w:r>
    </w:p>
    <w:p>
      <w:pPr>
        <w:spacing w:after="120"/>
      </w:pPr>
      <w:r>
        <w:rPr>
          <w:rFonts w:ascii="Calibri" w:hAnsi="Calibri"/>
          <w:b w:val="0"/>
          <w:i w:val="0"/>
          <w:color w:val="4A5568"/>
          <w:sz w:val="22"/>
        </w:rPr>
        <w:t>Security note: All AI processing occurs inside Walmart’s Eagle network via the Element LLM Gateway. No data is transmitted to external AI services. The Element LLM Gateway is InfoSec-approved for internal business data.</w:t>
      </w:r>
    </w:p>
    <w:p>
      <w:pPr>
        <w:spacing w:after="0" w:before="0"/>
        <w:pBdr>
          <w:bottom w:val="single" w:sz="6" w:space="1" w:color="0053E2"/>
        </w:pBdr>
      </w:pPr>
    </w:p>
    <w:p/>
    <w:p>
      <w:pPr>
        <w:pStyle w:val="Heading1"/>
        <w:jc w:val="left"/>
      </w:pPr>
      <w:r>
        <w:rPr>
          <w:rFonts w:ascii="Calibri" w:hAnsi="Calibri"/>
          <w:b/>
          <w:color w:val="0053E2"/>
          <w:sz w:val="36"/>
        </w:rPr>
        <w:t>10.  Technical Architecture</w:t>
      </w:r>
    </w:p>
    <w:p>
      <w:pPr>
        <w:spacing w:after="120"/>
      </w:pPr>
      <w:r>
        <w:rPr>
          <w:rFonts w:ascii="Calibri" w:hAnsi="Calibri"/>
          <w:b w:val="0"/>
          <w:i w:val="0"/>
          <w:sz w:val="22"/>
        </w:rPr>
        <w:t>SENTRY uses a modern, lightweight stack optimized for internal deployment on Google Cloud Platform within Walmart’s infrastructure.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Layer</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Technology</w:t>
            </w:r>
          </w:p>
        </w:tc>
        <w:tc>
          <w:tcPr>
            <w:tcW w:type="dxa" w:w="2928"/>
            <w:shd w:val="clear" w:color="auto" w:fill="0053E2"/>
            <w:tcBorders>
              <w:top w:val="single" w:sz="4" w:space="0" w:color="0053E2"/>
              <w:left w:val="single" w:sz="4" w:space="0" w:color="0053E2"/>
              <w:bottom w:val="single" w:sz="4" w:space="0" w:color="0053E2"/>
              <w:right w:val="single" w:sz="4" w:space="0" w:color="0053E2"/>
            </w:tcBorders>
          </w:tcPr>
          <w:p>
            <w:r>
              <w:rPr>
                <w:rFonts w:ascii="Calibri" w:hAnsi="Calibri"/>
                <w:b/>
                <w:i w:val="0"/>
                <w:color w:val="FFFFFF"/>
                <w:sz w:val="20"/>
              </w:rPr>
              <w:t>Details</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Frontend</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React 18 + TypeScript</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Vite build, lazy-loaded modules, Three.js for 3D visualizations</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Backend</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FastAPI (Python 3.11)</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Port 8082, uvicorn, async + thread-pool hybrid</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Database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SQLite (WAL mode)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~1,931 vendor rows, 6 tables, 30s lock timeout for concurrency</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AI</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Element LLM Gateway</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GPT-4o-mini via Walmart’s internal LLM proxy (Eagle network)</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Storage</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SharePoint + Graph API</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VAR .docx files stored in SharePoint, proxied via Microsoft Graph</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Auth</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Walmart SSO / Azure AD</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Associate authentication via PingFed / Azure AD SSO</w:t>
            </w:r>
          </w:p>
        </w:tc>
      </w:tr>
      <w:tr>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Hosting</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Google Cloud Platform (GCP)</w:t>
            </w:r>
          </w:p>
        </w:tc>
        <w:tc>
          <w:tcPr>
            <w:tcW w:type="dxa" w:w="292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Cloud Run (backend) + Firebase Hosting (frontend)</w:t>
            </w:r>
          </w:p>
        </w:tc>
      </w:tr>
      <w:tr>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Styles</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Tailwind CSS + custom CSS</w:t>
            </w:r>
          </w:p>
        </w:tc>
        <w:tc>
          <w:tcPr>
            <w:tcW w:type="dxa" w:w="292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Walmart brand colors (#0053E2 blue, #FFC220 spark yellow)</w:t>
            </w:r>
          </w:p>
        </w:tc>
      </w:tr>
    </w:tbl>
    <w:p/>
    <w:p>
      <w:pPr>
        <w:spacing w:after="0" w:before="0"/>
        <w:pBdr>
          <w:bottom w:val="single" w:sz="6" w:space="1" w:color="0053E2"/>
        </w:pBdr>
      </w:pPr>
    </w:p>
    <w:p/>
    <w:p>
      <w:pPr>
        <w:pStyle w:val="Heading1"/>
        <w:jc w:val="left"/>
      </w:pPr>
      <w:r>
        <w:rPr>
          <w:rFonts w:ascii="Calibri" w:hAnsi="Calibri"/>
          <w:b/>
          <w:color w:val="0053E2"/>
          <w:sz w:val="36"/>
        </w:rPr>
        <w:t>11.  Security &amp; Compliance Posture</w:t>
      </w:r>
    </w:p>
    <w:p>
      <w:pPr>
        <w:spacing w:after="120"/>
      </w:pPr>
      <w:r>
        <w:rPr>
          <w:rFonts w:ascii="Calibri" w:hAnsi="Calibri"/>
          <w:b w:val="0"/>
          <w:i w:val="0"/>
          <w:sz w:val="22"/>
        </w:rPr>
        <w:t>SENTRY is designed with a security-first posture throughout:</w:t>
      </w:r>
    </w:p>
    <w:p>
      <w:pPr>
        <w:spacing w:after="100"/>
      </w:pPr>
      <w:r>
        <w:rPr>
          <w:rFonts w:ascii="Calibri" w:hAnsi="Calibri"/>
          <w:b/>
          <w:i w:val="0"/>
          <w:color w:val="0053E2"/>
          <w:sz w:val="22"/>
        </w:rPr>
        <w:t xml:space="preserve">Internal only:  </w:t>
      </w:r>
      <w:r>
        <w:rPr>
          <w:rFonts w:ascii="Calibri" w:hAnsi="Calibri"/>
          <w:b w:val="0"/>
          <w:i w:val="0"/>
          <w:sz w:val="22"/>
        </w:rPr>
        <w:t>SENTRY is not internet-facing. Accessible only to authenticated EST team members behind Walmart SSO.</w:t>
      </w:r>
    </w:p>
    <w:p>
      <w:pPr>
        <w:spacing w:after="100"/>
      </w:pPr>
      <w:r>
        <w:rPr>
          <w:rFonts w:ascii="Calibri" w:hAnsi="Calibri"/>
          <w:b/>
          <w:i w:val="0"/>
          <w:color w:val="0053E2"/>
          <w:sz w:val="22"/>
        </w:rPr>
        <w:t xml:space="preserve">No consumer PII:  </w:t>
      </w:r>
      <w:r>
        <w:rPr>
          <w:rFonts w:ascii="Calibri" w:hAnsi="Calibri"/>
          <w:b w:val="0"/>
          <w:i w:val="0"/>
          <w:sz w:val="22"/>
        </w:rPr>
        <w:t>SENTRY processes no consumer personal information. Vendor data is limited to business contact information (company name, business email) from public sources.</w:t>
      </w:r>
    </w:p>
    <w:p>
      <w:pPr>
        <w:spacing w:after="100"/>
      </w:pPr>
      <w:r>
        <w:rPr>
          <w:rFonts w:ascii="Calibri" w:hAnsi="Calibri"/>
          <w:b/>
          <w:i w:val="0"/>
          <w:color w:val="0053E2"/>
          <w:sz w:val="22"/>
        </w:rPr>
        <w:t xml:space="preserve">No HIPAA / PCI data:  </w:t>
      </w:r>
      <w:r>
        <w:rPr>
          <w:rFonts w:ascii="Calibri" w:hAnsi="Calibri"/>
          <w:b w:val="0"/>
          <w:i w:val="0"/>
          <w:sz w:val="22"/>
        </w:rPr>
        <w:t>The platform has no health data or payment card data touchpoints.</w:t>
      </w:r>
    </w:p>
    <w:p>
      <w:pPr>
        <w:spacing w:after="100"/>
      </w:pPr>
      <w:r>
        <w:rPr>
          <w:rFonts w:ascii="Calibri" w:hAnsi="Calibri"/>
          <w:b/>
          <w:i w:val="0"/>
          <w:color w:val="0053E2"/>
          <w:sz w:val="22"/>
        </w:rPr>
        <w:t xml:space="preserve">Data residency:  </w:t>
      </w:r>
      <w:r>
        <w:rPr>
          <w:rFonts w:ascii="Calibri" w:hAnsi="Calibri"/>
          <w:b w:val="0"/>
          <w:i w:val="0"/>
          <w:sz w:val="22"/>
        </w:rPr>
        <w:t>All data — vendor records, incidents, regulatory data, and AI processing — stays within Walmart’s U.S. infrastructure at all times.</w:t>
      </w:r>
    </w:p>
    <w:p>
      <w:pPr>
        <w:spacing w:after="100"/>
      </w:pPr>
      <w:r>
        <w:rPr>
          <w:rFonts w:ascii="Calibri" w:hAnsi="Calibri"/>
          <w:b/>
          <w:i w:val="0"/>
          <w:color w:val="0053E2"/>
          <w:sz w:val="22"/>
        </w:rPr>
        <w:t xml:space="preserve">Element LLM Gateway:  </w:t>
      </w:r>
      <w:r>
        <w:rPr>
          <w:rFonts w:ascii="Calibri" w:hAnsi="Calibri"/>
          <w:b w:val="0"/>
          <w:i w:val="0"/>
          <w:sz w:val="22"/>
        </w:rPr>
        <w:t>All AI/ML processing is handled by the Element LLM Gateway, an InfoSec-approved internal Walmart service. No data is transmitted to external AI vendors.</w:t>
      </w:r>
    </w:p>
    <w:p>
      <w:pPr>
        <w:spacing w:after="100"/>
      </w:pPr>
      <w:r>
        <w:rPr>
          <w:rFonts w:ascii="Calibri" w:hAnsi="Calibri"/>
          <w:b/>
          <w:i w:val="0"/>
          <w:color w:val="0053E2"/>
          <w:sz w:val="22"/>
        </w:rPr>
        <w:t xml:space="preserve">APM registered:  </w:t>
      </w:r>
      <w:r>
        <w:rPr>
          <w:rFonts w:ascii="Calibri" w:hAnsi="Calibri"/>
          <w:b w:val="0"/>
          <w:i w:val="0"/>
          <w:sz w:val="22"/>
        </w:rPr>
        <w:t>SENTRY is registered in Walmart’s Application Portfolio Management system as APM0023225.</w:t>
      </w:r>
    </w:p>
    <w:p>
      <w:pPr>
        <w:spacing w:after="100"/>
      </w:pPr>
      <w:r>
        <w:rPr>
          <w:rFonts w:ascii="Calibri" w:hAnsi="Calibri"/>
          <w:b/>
          <w:i w:val="0"/>
          <w:color w:val="0053E2"/>
          <w:sz w:val="22"/>
        </w:rPr>
        <w:t xml:space="preserve">EPRA completed:  </w:t>
      </w:r>
      <w:r>
        <w:rPr>
          <w:rFonts w:ascii="Calibri" w:hAnsi="Calibri"/>
          <w:b w:val="0"/>
          <w:i w:val="0"/>
          <w:sz w:val="22"/>
        </w:rPr>
        <w:t>An Enterprise Privacy Risk Assessment (EPRA) has been submitted to the Walmart Privacy team (OneTrust Assessment #73510). Assessment is Under Review.</w:t>
      </w:r>
    </w:p>
    <w:p>
      <w:pPr>
        <w:spacing w:after="0" w:before="0"/>
        <w:pBdr>
          <w:bottom w:val="single" w:sz="6" w:space="1" w:color="0053E2"/>
        </w:pBdr>
      </w:pPr>
    </w:p>
    <w:p/>
    <w:p>
      <w:pPr>
        <w:pStyle w:val="Heading1"/>
        <w:jc w:val="left"/>
      </w:pPr>
      <w:r>
        <w:rPr>
          <w:rFonts w:ascii="Calibri" w:hAnsi="Calibri"/>
          <w:b/>
          <w:color w:val="0053E2"/>
          <w:sz w:val="36"/>
        </w:rPr>
        <w:t>12.  Business Value &amp; Strategic Impact</w:t>
      </w:r>
    </w:p>
    <w:p>
      <w:pPr>
        <w:spacing w:after="120"/>
      </w:pPr>
      <w:r>
        <w:rPr>
          <w:rFonts w:ascii="Calibri" w:hAnsi="Calibri"/>
          <w:b w:val="0"/>
          <w:i w:val="0"/>
          <w:sz w:val="22"/>
        </w:rPr>
        <w:t>SENTRY delivers measurable value to the Emerging Technology Security team and Walmart Global Security leadership:</w:t>
      </w:r>
    </w:p>
    <w:p>
      <w:pPr>
        <w:spacing w:after="120"/>
      </w:pPr>
      <w:r>
        <w:rPr>
          <w:rFonts w:ascii="Calibri" w:hAnsi="Calibri"/>
          <w:b/>
          <w:i w:val="0"/>
          <w:color w:val="001A5C"/>
          <w:sz w:val="22"/>
        </w:rPr>
        <w:t xml:space="preserve">Faster Vendor Decisions:  </w:t>
      </w:r>
      <w:r>
        <w:rPr>
          <w:rFonts w:ascii="Calibri" w:hAnsi="Calibri"/>
          <w:b w:val="0"/>
          <w:i w:val="0"/>
          <w:sz w:val="22"/>
        </w:rPr>
        <w:t>Centralizing 1,900+ vendor records with pre-computed risk scores eliminates hours of manual spreadsheet work per assessment cycle.</w:t>
      </w:r>
    </w:p>
    <w:p>
      <w:pPr>
        <w:spacing w:after="120"/>
      </w:pPr>
      <w:r>
        <w:rPr>
          <w:rFonts w:ascii="Calibri" w:hAnsi="Calibri"/>
          <w:b/>
          <w:i w:val="0"/>
          <w:color w:val="001A5C"/>
          <w:sz w:val="22"/>
        </w:rPr>
        <w:t xml:space="preserve">Executive Readiness:  </w:t>
      </w:r>
      <w:r>
        <w:rPr>
          <w:rFonts w:ascii="Calibri" w:hAnsi="Calibri"/>
          <w:b w:val="0"/>
          <w:i w:val="0"/>
          <w:sz w:val="22"/>
        </w:rPr>
        <w:t>The morning brief, competitor intelligence, and regulatory dashboards give security leadership a real-time picture of the threat landscape before every briefing or leadership call.</w:t>
      </w:r>
    </w:p>
    <w:p>
      <w:pPr>
        <w:spacing w:after="120"/>
      </w:pPr>
      <w:r>
        <w:rPr>
          <w:rFonts w:ascii="Calibri" w:hAnsi="Calibri"/>
          <w:b/>
          <w:i w:val="0"/>
          <w:color w:val="001A5C"/>
          <w:sz w:val="22"/>
        </w:rPr>
        <w:t xml:space="preserve">Compliance Defensibility:  </w:t>
      </w:r>
      <w:r>
        <w:rPr>
          <w:rFonts w:ascii="Calibri" w:hAnsi="Calibri"/>
          <w:b w:val="0"/>
          <w:i w:val="0"/>
          <w:sz w:val="22"/>
        </w:rPr>
        <w:t>Tracking NDA, APM, ERPA, and SSP compliance artifacts per project and per vendor creates an auditable record of due diligence across the EST project portfolio.</w:t>
      </w:r>
    </w:p>
    <w:p>
      <w:pPr>
        <w:spacing w:after="120"/>
      </w:pPr>
      <w:r>
        <w:rPr>
          <w:rFonts w:ascii="Calibri" w:hAnsi="Calibri"/>
          <w:b/>
          <w:i w:val="0"/>
          <w:color w:val="001A5C"/>
          <w:sz w:val="22"/>
        </w:rPr>
        <w:t xml:space="preserve">Regulatory Awareness:  </w:t>
      </w:r>
      <w:r>
        <w:rPr>
          <w:rFonts w:ascii="Calibri" w:hAnsi="Calibri"/>
          <w:b w:val="0"/>
          <w:i w:val="0"/>
          <w:sz w:val="22"/>
        </w:rPr>
        <w:t>362 indexed regulatory obligations across AI, biometrics, ALPR, UAS, and data privacy — with RAG scoring — ensures the EST team stays ahead of obligations that directly impact the technology portfolio they manage.</w:t>
      </w:r>
    </w:p>
    <w:p>
      <w:pPr>
        <w:spacing w:after="120"/>
      </w:pPr>
      <w:r>
        <w:rPr>
          <w:rFonts w:ascii="Calibri" w:hAnsi="Calibri"/>
          <w:b/>
          <w:i w:val="0"/>
          <w:color w:val="001A5C"/>
          <w:sz w:val="22"/>
        </w:rPr>
        <w:t xml:space="preserve">Proactive Competitor Intelligence:  </w:t>
      </w:r>
      <w:r>
        <w:rPr>
          <w:rFonts w:ascii="Calibri" w:hAnsi="Calibri"/>
          <w:b w:val="0"/>
          <w:i w:val="0"/>
          <w:sz w:val="22"/>
        </w:rPr>
        <w:t>Monitoring 1,100+ competitor security events allows EST to learn from competitor incidents and adjust Walmart’s own security posture proactively.</w:t>
      </w:r>
    </w:p>
    <w:p>
      <w:pPr>
        <w:spacing w:after="120"/>
      </w:pPr>
      <w:r>
        <w:rPr>
          <w:rFonts w:ascii="Calibri" w:hAnsi="Calibri"/>
          <w:b/>
          <w:i w:val="0"/>
          <w:color w:val="001A5C"/>
          <w:sz w:val="22"/>
        </w:rPr>
        <w:t xml:space="preserve">AI-Assisted Analysis:  </w:t>
      </w:r>
      <w:r>
        <w:rPr>
          <w:rFonts w:ascii="Calibri" w:hAnsi="Calibri"/>
          <w:b w:val="0"/>
          <w:i w:val="0"/>
          <w:sz w:val="22"/>
        </w:rPr>
        <w:t>SENTRY-AI reduces the time to synthesize vendor, incident, and regulatory data from hours to seconds — keeping the team focused on decisions, not data gathering.</w:t>
      </w:r>
    </w:p>
    <w:p>
      <w:pPr>
        <w:spacing w:after="0" w:before="0"/>
        <w:pBdr>
          <w:bottom w:val="single" w:sz="6" w:space="1" w:color="0053E2"/>
        </w:pBdr>
      </w:pPr>
    </w:p>
    <w:p/>
    <w:p>
      <w:pPr>
        <w:pStyle w:val="Heading1"/>
        <w:jc w:val="left"/>
      </w:pPr>
      <w:r>
        <w:rPr>
          <w:rFonts w:ascii="Calibri" w:hAnsi="Calibri"/>
          <w:b/>
          <w:color w:val="0053E2"/>
          <w:sz w:val="36"/>
        </w:rPr>
        <w:t>13.  Contacts &amp; Support</w:t>
      </w:r>
    </w:p>
    <w:tbl>
      <w:tblPr>
        <w:tblStyle w:val="TableGrid"/>
        <w:tblW w:type="auto" w:w="0"/>
        <w:tblLook w:firstColumn="1" w:firstRow="1" w:lastColumn="0" w:lastRow="0" w:noHBand="0" w:noVBand="1" w:val="04A0"/>
      </w:tblPr>
      <w:tblGrid>
        <w:gridCol w:w="4392"/>
        <w:gridCol w:w="4392"/>
      </w:tblGrid>
      <w:tr>
        <w:tc>
          <w:tcPr>
            <w:tcW w:type="dxa" w:w="316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Platform Owner</w:t>
            </w:r>
          </w:p>
        </w:tc>
        <w:tc>
          <w:tcPr>
            <w:tcW w:type="dxa" w:w="576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Jason Wilbur (j0w16ja) — Emerging Technology Security</w:t>
            </w:r>
          </w:p>
        </w:tc>
      </w:tr>
      <w:tr>
        <w:tc>
          <w:tcPr>
            <w:tcW w:type="dxa" w:w="316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Executive Sponsor</w:t>
            </w:r>
          </w:p>
        </w:tc>
        <w:tc>
          <w:tcPr>
            <w:tcW w:type="dxa" w:w="5760"/>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Richard Ivy, Group Director, Enterprise Security</w:t>
            </w:r>
          </w:p>
        </w:tc>
      </w:tr>
      <w:tr>
        <w:tc>
          <w:tcPr>
            <w:tcW w:type="dxa" w:w="316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AI / Element Gateway</w:t>
            </w:r>
          </w:p>
        </w:tc>
        <w:tc>
          <w:tcPr>
            <w:tcW w:type="dxa" w:w="576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#element-genai-support (Slack)</w:t>
            </w:r>
          </w:p>
        </w:tc>
      </w:tr>
      <w:tr>
        <w:tc>
          <w:tcPr>
            <w:tcW w:type="dxa" w:w="316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Privacy / EPRA</w:t>
            </w:r>
          </w:p>
        </w:tc>
        <w:tc>
          <w:tcPr>
            <w:tcW w:type="dxa" w:w="5760"/>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OneTrust #73510 — Tyler Vera (reviewer)</w:t>
            </w:r>
          </w:p>
        </w:tc>
      </w:tr>
      <w:tr>
        <w:tc>
          <w:tcPr>
            <w:tcW w:type="dxa" w:w="3168"/>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APM Registration</w:t>
            </w:r>
          </w:p>
        </w:tc>
        <w:tc>
          <w:tcPr>
            <w:tcW w:type="dxa" w:w="5760"/>
            <w:shd w:val="clear" w:color="auto" w:fill="F1F5F9"/>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APM0023225</w:t>
            </w:r>
          </w:p>
        </w:tc>
      </w:tr>
      <w:tr>
        <w:tc>
          <w:tcPr>
            <w:tcW w:type="dxa" w:w="3168"/>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i w:val="0"/>
                <w:color w:val="001A5C"/>
                <w:sz w:val="20"/>
              </w:rPr>
              <w:t>Code Puppy / Atlas</w:t>
            </w:r>
          </w:p>
        </w:tc>
        <w:tc>
          <w:tcPr>
            <w:tcW w:type="dxa" w:w="5760"/>
            <w:shd w:val="clear" w:color="auto" w:fill="FFFFFF"/>
            <w:tcBorders>
              <w:top w:val="single" w:sz="4" w:space="0" w:color="BFCDE0"/>
              <w:left w:val="single" w:sz="4" w:space="0" w:color="BFCDE0"/>
              <w:bottom w:val="single" w:sz="4" w:space="0" w:color="BFCDE0"/>
              <w:right w:val="single" w:sz="4" w:space="0" w:color="BFCDE0"/>
            </w:tcBorders>
          </w:tcPr>
          <w:p>
            <w:r>
              <w:rPr>
                <w:rFonts w:ascii="Calibri" w:hAnsi="Calibri"/>
                <w:b w:val="0"/>
                <w:i w:val="0"/>
                <w:sz w:val="20"/>
              </w:rPr>
              <w:t>puppy.walmart.com | #code-puppy (Slack)</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